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1CF" w:rsidRDefault="009141CF" w:rsidP="009141CF">
      <w:pPr>
        <w:jc w:val="center"/>
      </w:pPr>
      <w:r>
        <w:t>Temas pendientes en los procedimientos aduaneros vinculados al sistema ZOFRATACNA y propuesta de solución correspondientes al cuadro presentado en la reunión de trabajo del 29 de marzo de 2017.</w:t>
      </w:r>
    </w:p>
    <w:tbl>
      <w:tblPr>
        <w:tblStyle w:val="Tablaconcuadrcula"/>
        <w:tblW w:w="0" w:type="auto"/>
        <w:tblLook w:val="04A0"/>
      </w:tblPr>
      <w:tblGrid>
        <w:gridCol w:w="2942"/>
        <w:gridCol w:w="2943"/>
        <w:gridCol w:w="2943"/>
      </w:tblGrid>
      <w:tr w:rsidR="009141CF" w:rsidTr="000E3703">
        <w:tc>
          <w:tcPr>
            <w:tcW w:w="8828" w:type="dxa"/>
            <w:gridSpan w:val="3"/>
            <w:shd w:val="clear" w:color="auto" w:fill="4472C4" w:themeFill="accent1"/>
          </w:tcPr>
          <w:p w:rsidR="009141CF" w:rsidRPr="009141CF" w:rsidRDefault="009141CF" w:rsidP="009141CF">
            <w:pPr>
              <w:jc w:val="center"/>
              <w:rPr>
                <w:b/>
                <w:color w:val="FFFFFF" w:themeColor="background1"/>
              </w:rPr>
            </w:pPr>
            <w:r w:rsidRPr="009141CF">
              <w:rPr>
                <w:b/>
                <w:color w:val="FFFFFF" w:themeColor="background1"/>
              </w:rPr>
              <w:t>PRIORIDAD 1</w:t>
            </w:r>
          </w:p>
        </w:tc>
      </w:tr>
      <w:tr w:rsidR="009141CF" w:rsidTr="009141CF">
        <w:tc>
          <w:tcPr>
            <w:tcW w:w="2942" w:type="dxa"/>
            <w:shd w:val="clear" w:color="auto" w:fill="4472C4" w:themeFill="accent1"/>
          </w:tcPr>
          <w:p w:rsidR="009141CF" w:rsidRPr="007F75B7" w:rsidRDefault="009141CF" w:rsidP="00EB1072">
            <w:pPr>
              <w:jc w:val="both"/>
              <w:rPr>
                <w:b/>
                <w:color w:val="FFFFFF" w:themeColor="background1"/>
              </w:rPr>
            </w:pPr>
            <w:r w:rsidRPr="007F75B7">
              <w:rPr>
                <w:b/>
                <w:color w:val="FFFFFF" w:themeColor="background1"/>
              </w:rPr>
              <w:t>Planteamiento</w:t>
            </w:r>
          </w:p>
        </w:tc>
        <w:tc>
          <w:tcPr>
            <w:tcW w:w="2943" w:type="dxa"/>
            <w:shd w:val="clear" w:color="auto" w:fill="4472C4" w:themeFill="accent1"/>
          </w:tcPr>
          <w:p w:rsidR="009141CF" w:rsidRPr="007F75B7" w:rsidRDefault="009141CF" w:rsidP="009141CF">
            <w:pPr>
              <w:jc w:val="center"/>
              <w:rPr>
                <w:b/>
                <w:color w:val="FFFFFF" w:themeColor="background1"/>
              </w:rPr>
            </w:pPr>
            <w:r w:rsidRPr="007F75B7">
              <w:rPr>
                <w:b/>
                <w:color w:val="FFFFFF" w:themeColor="background1"/>
              </w:rPr>
              <w:t>Descripción</w:t>
            </w:r>
          </w:p>
        </w:tc>
        <w:tc>
          <w:tcPr>
            <w:tcW w:w="2943" w:type="dxa"/>
            <w:shd w:val="clear" w:color="auto" w:fill="4472C4" w:themeFill="accent1"/>
          </w:tcPr>
          <w:p w:rsidR="009141CF" w:rsidRPr="007F75B7" w:rsidRDefault="009141CF" w:rsidP="009141CF">
            <w:pPr>
              <w:jc w:val="center"/>
              <w:rPr>
                <w:b/>
                <w:color w:val="FFFFFF" w:themeColor="background1"/>
              </w:rPr>
            </w:pPr>
            <w:r w:rsidRPr="007F75B7">
              <w:rPr>
                <w:b/>
                <w:color w:val="FFFFFF" w:themeColor="background1"/>
              </w:rPr>
              <w:t>Solución</w:t>
            </w:r>
          </w:p>
        </w:tc>
      </w:tr>
      <w:tr w:rsidR="009141CF" w:rsidTr="009141CF">
        <w:tc>
          <w:tcPr>
            <w:tcW w:w="2942" w:type="dxa"/>
          </w:tcPr>
          <w:p w:rsidR="009141CF" w:rsidRDefault="00EB1072" w:rsidP="00EB1072">
            <w:pPr>
              <w:jc w:val="both"/>
            </w:pPr>
            <w:bookmarkStart w:id="0" w:name="_GoBack"/>
            <w:bookmarkEnd w:id="0"/>
            <w:r>
              <w:t>1. REFERENCIA PUNTO N° 5</w:t>
            </w:r>
          </w:p>
          <w:p w:rsidR="00EB1072" w:rsidRDefault="00EB1072" w:rsidP="00EB1072">
            <w:pPr>
              <w:jc w:val="center"/>
            </w:pPr>
            <w:r>
              <w:t>Demoras en el proceso de Despacho de Importación de las mercancías manufacturadas en la ZOFRATACNA, debido a que SUNAT solicita la numeración de un manifiesto manual para tramitar la DAM correspondiente.</w:t>
            </w:r>
          </w:p>
          <w:p w:rsidR="00EB1072" w:rsidRDefault="00EB1072" w:rsidP="00EB1072">
            <w:pPr>
              <w:pStyle w:val="Prrafodelista"/>
              <w:jc w:val="both"/>
            </w:pPr>
          </w:p>
        </w:tc>
        <w:tc>
          <w:tcPr>
            <w:tcW w:w="2943" w:type="dxa"/>
          </w:tcPr>
          <w:p w:rsidR="009141CF" w:rsidRDefault="00EB1072" w:rsidP="009141CF">
            <w:pPr>
              <w:jc w:val="center"/>
            </w:pPr>
            <w:r>
              <w:t xml:space="preserve">Para la nacionalización del producto elaborado en la ZOFRATACNA, hasta el mes de Noviembre de 2016 se aplicaba en el casillero “Número de Manifiesto”, el código único 172-Año-9999, sin que se haya presentado inconveniente alguno. Actualmente, se viene exigiendo la numeración de un manifestó de carga manual y su correspondiente tarja, a efectos de su registro en el Sistema Integrado de Gestión Aduanera – SIGAD, para lo cual se debe presentar un expediente, esperar se emita el Manifiesto Manual y recién poder enumerar la correspondiente DAM. </w:t>
            </w:r>
          </w:p>
          <w:p w:rsidR="00EB1072" w:rsidRDefault="00EB1072" w:rsidP="009141CF">
            <w:pPr>
              <w:jc w:val="center"/>
            </w:pPr>
            <w:r>
              <w:t>Cabe señalar, que el valor declarado es el de la venta de la mercancía manufacturada en ZOFRATACNA puesta en los almacenes del vendedor, por lo tanto, no existe un costo de transporte a ser declarado en la DAM, ya que el traslado de mercancías se realiza dentro del país.</w:t>
            </w:r>
          </w:p>
        </w:tc>
        <w:tc>
          <w:tcPr>
            <w:tcW w:w="2943" w:type="dxa"/>
          </w:tcPr>
          <w:p w:rsidR="009141CF" w:rsidRDefault="00EB1072" w:rsidP="009141CF">
            <w:pPr>
              <w:jc w:val="center"/>
            </w:pPr>
            <w:r>
              <w:t>Se solicita que se instruya a la Aduana de Tacna aceptar se aplique un código único 172-Año-9999 en el casillero “Número de Manifiesto”, tal como se venía trabajando anteriormente.</w:t>
            </w:r>
          </w:p>
        </w:tc>
      </w:tr>
      <w:tr w:rsidR="009141CF" w:rsidTr="009141CF">
        <w:tc>
          <w:tcPr>
            <w:tcW w:w="2942" w:type="dxa"/>
          </w:tcPr>
          <w:p w:rsidR="009141CF" w:rsidRDefault="00EB1072" w:rsidP="009141CF">
            <w:pPr>
              <w:jc w:val="center"/>
            </w:pPr>
            <w:r>
              <w:t>2. REFERENCIA PUNTO N° 4</w:t>
            </w:r>
          </w:p>
          <w:p w:rsidR="00EB1072" w:rsidRDefault="00EB1072" w:rsidP="009141CF">
            <w:pPr>
              <w:jc w:val="center"/>
            </w:pPr>
            <w:r>
              <w:t>Trámite para la importación de mercancía desde la ZOFRATACNA, con la exigencia de consignar un solo manifestó en la Declaración Aduanera de Mercancía – DAM</w:t>
            </w:r>
          </w:p>
        </w:tc>
        <w:tc>
          <w:tcPr>
            <w:tcW w:w="2943" w:type="dxa"/>
          </w:tcPr>
          <w:p w:rsidR="009141CF" w:rsidRDefault="00EB1072" w:rsidP="009141CF">
            <w:pPr>
              <w:jc w:val="center"/>
            </w:pPr>
            <w:r>
              <w:t xml:space="preserve">En la ZOFRATACNA se producen ventas de mercancías ingresadas con varios manifiestos y a la vez declaradas en una sola factura. </w:t>
            </w:r>
          </w:p>
          <w:p w:rsidR="00EB1072" w:rsidRDefault="00EB1072" w:rsidP="009141CF">
            <w:pPr>
              <w:jc w:val="center"/>
            </w:pPr>
            <w:r>
              <w:t xml:space="preserve">El Procedimiento INTA.PG.23 V2”, establece que la nacionalización de mercancías provenientes del exterior que no han sido sometidas a </w:t>
            </w:r>
            <w:r>
              <w:lastRenderedPageBreak/>
              <w:t>ningún proceso de transformación o reparación se realiza conforme a los procedimientos de Importación para el Consumo.</w:t>
            </w:r>
          </w:p>
          <w:p w:rsidR="00EB1072" w:rsidRDefault="00EB1072" w:rsidP="009141CF">
            <w:pPr>
              <w:jc w:val="center"/>
            </w:pPr>
            <w:r>
              <w:t>La Aduana de Tacna aplica el INTA.PG.001, que exige como requisito que para cada DAM debe corresponder un solo manifiesto de carga.</w:t>
            </w:r>
          </w:p>
        </w:tc>
        <w:tc>
          <w:tcPr>
            <w:tcW w:w="2943" w:type="dxa"/>
          </w:tcPr>
          <w:p w:rsidR="009141CF" w:rsidRDefault="00843929" w:rsidP="00843929">
            <w:pPr>
              <w:jc w:val="center"/>
            </w:pPr>
            <w:r>
              <w:lastRenderedPageBreak/>
              <w:t>Se solicita que se puede tramitar una DAM correspondiente a una sola factura y que ampara a mercancías de varios manifiestos de carga.</w:t>
            </w:r>
          </w:p>
        </w:tc>
      </w:tr>
      <w:tr w:rsidR="009141CF" w:rsidTr="009141CF">
        <w:tc>
          <w:tcPr>
            <w:tcW w:w="2942" w:type="dxa"/>
          </w:tcPr>
          <w:p w:rsidR="009141CF" w:rsidRDefault="00843929" w:rsidP="009141CF">
            <w:pPr>
              <w:jc w:val="center"/>
            </w:pPr>
            <w:r>
              <w:lastRenderedPageBreak/>
              <w:t>3. REFERENCIA PUNTO N° 16</w:t>
            </w:r>
          </w:p>
          <w:p w:rsidR="00843929" w:rsidRDefault="00843929" w:rsidP="009141CF">
            <w:pPr>
              <w:jc w:val="center"/>
            </w:pPr>
            <w:r>
              <w:t>Problema operativo para la nacionalización de vehículos menores(motocicletas)</w:t>
            </w:r>
          </w:p>
        </w:tc>
        <w:tc>
          <w:tcPr>
            <w:tcW w:w="2943" w:type="dxa"/>
          </w:tcPr>
          <w:p w:rsidR="009141CF" w:rsidRDefault="00843929" w:rsidP="009141CF">
            <w:pPr>
              <w:jc w:val="center"/>
            </w:pPr>
            <w:r>
              <w:t>Dichos vehículos menores ingresan a ZOFRATACNA en cajas individuales, donde por temas de embalaje, el neumático delantero y el volante se encuentran desmontados de la motocicleta y dentro del mismo embalaje, conformando una sola unidad.</w:t>
            </w:r>
          </w:p>
          <w:p w:rsidR="00843929" w:rsidRDefault="00843929" w:rsidP="009141CF">
            <w:pPr>
              <w:jc w:val="center"/>
            </w:pPr>
            <w:r>
              <w:t xml:space="preserve">Al momento de ser nacionalizada, funcionarios de Aduanas en el campo Estado lo clasifica con el código 14 (Nuevo </w:t>
            </w:r>
            <w:proofErr w:type="spellStart"/>
            <w:r>
              <w:t>semi</w:t>
            </w:r>
            <w:proofErr w:type="spellEnd"/>
            <w:r>
              <w:t xml:space="preserve"> armado/ </w:t>
            </w:r>
            <w:proofErr w:type="spellStart"/>
            <w:r>
              <w:t>semi</w:t>
            </w:r>
            <w:proofErr w:type="spellEnd"/>
            <w:r>
              <w:t xml:space="preserve"> desarmado) ocasionando que al momento de ser registrada en S</w:t>
            </w:r>
            <w:r w:rsidR="005D61EA">
              <w:t>UNARP se solicite una serie de requisitos como certificado de ensamblaje.</w:t>
            </w:r>
          </w:p>
        </w:tc>
        <w:tc>
          <w:tcPr>
            <w:tcW w:w="2943" w:type="dxa"/>
          </w:tcPr>
          <w:p w:rsidR="005D61EA" w:rsidRDefault="005D61EA" w:rsidP="005D61EA">
            <w:pPr>
              <w:jc w:val="center"/>
            </w:pPr>
            <w:r>
              <w:t xml:space="preserve">Se acepte la declaración en la correspondiente DAM en el casillero “ESTADO” el código 10 en vez del número 14 que viene exigiendo la Aduana de Tacna, tal como viene ocurriendo en otras Intendencias. </w:t>
            </w:r>
          </w:p>
          <w:p w:rsidR="005D61EA" w:rsidRDefault="005D61EA" w:rsidP="005D61EA">
            <w:pPr>
              <w:jc w:val="center"/>
            </w:pPr>
            <w:r>
              <w:t>DAM N°: 118-2016-10-340620-00; 118-2016-10-348328-0; 118-2016-10-492651-00; 118-2017-10-41038-00; 118-2017-10-097539-20</w:t>
            </w:r>
          </w:p>
        </w:tc>
      </w:tr>
      <w:tr w:rsidR="009141CF" w:rsidTr="009141CF">
        <w:tc>
          <w:tcPr>
            <w:tcW w:w="2942" w:type="dxa"/>
          </w:tcPr>
          <w:p w:rsidR="009141CF" w:rsidRDefault="009141CF" w:rsidP="009141CF">
            <w:pPr>
              <w:jc w:val="center"/>
            </w:pPr>
          </w:p>
        </w:tc>
        <w:tc>
          <w:tcPr>
            <w:tcW w:w="2943" w:type="dxa"/>
          </w:tcPr>
          <w:p w:rsidR="009141CF" w:rsidRDefault="009141CF" w:rsidP="009141CF">
            <w:pPr>
              <w:jc w:val="center"/>
            </w:pPr>
          </w:p>
        </w:tc>
        <w:tc>
          <w:tcPr>
            <w:tcW w:w="2943" w:type="dxa"/>
          </w:tcPr>
          <w:p w:rsidR="009141CF" w:rsidRDefault="009141CF" w:rsidP="009141CF">
            <w:pPr>
              <w:jc w:val="center"/>
            </w:pPr>
          </w:p>
        </w:tc>
      </w:tr>
      <w:tr w:rsidR="009141CF" w:rsidTr="009141CF">
        <w:tc>
          <w:tcPr>
            <w:tcW w:w="2942" w:type="dxa"/>
          </w:tcPr>
          <w:p w:rsidR="009141CF" w:rsidRDefault="009141CF" w:rsidP="009141CF">
            <w:pPr>
              <w:jc w:val="center"/>
            </w:pPr>
          </w:p>
        </w:tc>
        <w:tc>
          <w:tcPr>
            <w:tcW w:w="2943" w:type="dxa"/>
          </w:tcPr>
          <w:p w:rsidR="009141CF" w:rsidRDefault="009141CF" w:rsidP="009141CF">
            <w:pPr>
              <w:jc w:val="center"/>
            </w:pPr>
          </w:p>
        </w:tc>
        <w:tc>
          <w:tcPr>
            <w:tcW w:w="2943" w:type="dxa"/>
          </w:tcPr>
          <w:p w:rsidR="009141CF" w:rsidRDefault="009141CF" w:rsidP="009141CF">
            <w:pPr>
              <w:jc w:val="center"/>
            </w:pPr>
          </w:p>
        </w:tc>
      </w:tr>
      <w:tr w:rsidR="009141CF" w:rsidTr="009141CF">
        <w:tc>
          <w:tcPr>
            <w:tcW w:w="2942" w:type="dxa"/>
          </w:tcPr>
          <w:p w:rsidR="009141CF" w:rsidRDefault="009141CF" w:rsidP="009141CF">
            <w:pPr>
              <w:jc w:val="center"/>
            </w:pPr>
          </w:p>
        </w:tc>
        <w:tc>
          <w:tcPr>
            <w:tcW w:w="2943" w:type="dxa"/>
          </w:tcPr>
          <w:p w:rsidR="009141CF" w:rsidRDefault="009141CF" w:rsidP="009141CF">
            <w:pPr>
              <w:jc w:val="center"/>
            </w:pPr>
          </w:p>
        </w:tc>
        <w:tc>
          <w:tcPr>
            <w:tcW w:w="2943" w:type="dxa"/>
          </w:tcPr>
          <w:p w:rsidR="009141CF" w:rsidRDefault="009141CF" w:rsidP="009141CF">
            <w:pPr>
              <w:jc w:val="center"/>
            </w:pPr>
          </w:p>
        </w:tc>
      </w:tr>
      <w:tr w:rsidR="009141CF" w:rsidTr="009141CF">
        <w:tc>
          <w:tcPr>
            <w:tcW w:w="2942" w:type="dxa"/>
          </w:tcPr>
          <w:p w:rsidR="009141CF" w:rsidRDefault="009141CF" w:rsidP="009141CF">
            <w:pPr>
              <w:jc w:val="center"/>
            </w:pPr>
          </w:p>
        </w:tc>
        <w:tc>
          <w:tcPr>
            <w:tcW w:w="2943" w:type="dxa"/>
          </w:tcPr>
          <w:p w:rsidR="009141CF" w:rsidRDefault="009141CF" w:rsidP="009141CF">
            <w:pPr>
              <w:jc w:val="center"/>
            </w:pPr>
          </w:p>
        </w:tc>
        <w:tc>
          <w:tcPr>
            <w:tcW w:w="2943" w:type="dxa"/>
          </w:tcPr>
          <w:p w:rsidR="009141CF" w:rsidRDefault="009141CF" w:rsidP="009141CF">
            <w:pPr>
              <w:jc w:val="center"/>
            </w:pPr>
          </w:p>
        </w:tc>
      </w:tr>
    </w:tbl>
    <w:p w:rsidR="009141CF" w:rsidRDefault="009141CF" w:rsidP="009141CF">
      <w:pPr>
        <w:jc w:val="center"/>
      </w:pPr>
    </w:p>
    <w:p w:rsidR="009141CF" w:rsidRDefault="009141CF" w:rsidP="009141CF">
      <w:pPr>
        <w:jc w:val="center"/>
      </w:pPr>
    </w:p>
    <w:tbl>
      <w:tblPr>
        <w:tblStyle w:val="Tablaconcuadrcula"/>
        <w:tblW w:w="0" w:type="auto"/>
        <w:tblLook w:val="04A0"/>
      </w:tblPr>
      <w:tblGrid>
        <w:gridCol w:w="2942"/>
        <w:gridCol w:w="2943"/>
        <w:gridCol w:w="2943"/>
      </w:tblGrid>
      <w:tr w:rsidR="009141CF" w:rsidTr="007B1CEB">
        <w:tc>
          <w:tcPr>
            <w:tcW w:w="8828" w:type="dxa"/>
            <w:gridSpan w:val="3"/>
            <w:shd w:val="clear" w:color="auto" w:fill="4472C4" w:themeFill="accent1"/>
          </w:tcPr>
          <w:p w:rsidR="009141CF" w:rsidRPr="009141CF" w:rsidRDefault="009141CF" w:rsidP="007B1CEB">
            <w:pPr>
              <w:jc w:val="center"/>
              <w:rPr>
                <w:b/>
                <w:color w:val="FFFFFF" w:themeColor="background1"/>
              </w:rPr>
            </w:pPr>
            <w:r w:rsidRPr="009141CF">
              <w:rPr>
                <w:b/>
                <w:color w:val="FFFFFF" w:themeColor="background1"/>
              </w:rPr>
              <w:t>PRIORIDAD 2</w:t>
            </w:r>
          </w:p>
        </w:tc>
      </w:tr>
      <w:tr w:rsidR="009141CF" w:rsidTr="007B1CEB">
        <w:tc>
          <w:tcPr>
            <w:tcW w:w="2942" w:type="dxa"/>
            <w:shd w:val="clear" w:color="auto" w:fill="4472C4" w:themeFill="accent1"/>
          </w:tcPr>
          <w:p w:rsidR="009141CF" w:rsidRPr="007F75B7" w:rsidRDefault="009141CF" w:rsidP="007B1CEB">
            <w:pPr>
              <w:jc w:val="center"/>
              <w:rPr>
                <w:b/>
                <w:color w:val="FFFFFF" w:themeColor="background1"/>
              </w:rPr>
            </w:pPr>
            <w:r w:rsidRPr="007F75B7">
              <w:rPr>
                <w:b/>
                <w:color w:val="FFFFFF" w:themeColor="background1"/>
              </w:rPr>
              <w:t>Planteamiento</w:t>
            </w:r>
          </w:p>
        </w:tc>
        <w:tc>
          <w:tcPr>
            <w:tcW w:w="2943" w:type="dxa"/>
            <w:shd w:val="clear" w:color="auto" w:fill="4472C4" w:themeFill="accent1"/>
          </w:tcPr>
          <w:p w:rsidR="009141CF" w:rsidRPr="007F75B7" w:rsidRDefault="009141CF" w:rsidP="007B1CEB">
            <w:pPr>
              <w:jc w:val="center"/>
              <w:rPr>
                <w:b/>
                <w:color w:val="FFFFFF" w:themeColor="background1"/>
              </w:rPr>
            </w:pPr>
            <w:r w:rsidRPr="007F75B7">
              <w:rPr>
                <w:b/>
                <w:color w:val="FFFFFF" w:themeColor="background1"/>
              </w:rPr>
              <w:t>Descripción</w:t>
            </w:r>
          </w:p>
        </w:tc>
        <w:tc>
          <w:tcPr>
            <w:tcW w:w="2943" w:type="dxa"/>
            <w:shd w:val="clear" w:color="auto" w:fill="4472C4" w:themeFill="accent1"/>
          </w:tcPr>
          <w:p w:rsidR="009141CF" w:rsidRPr="007F75B7" w:rsidRDefault="009141CF" w:rsidP="007B1CEB">
            <w:pPr>
              <w:jc w:val="center"/>
              <w:rPr>
                <w:b/>
                <w:color w:val="FFFFFF" w:themeColor="background1"/>
              </w:rPr>
            </w:pPr>
            <w:r w:rsidRPr="007F75B7">
              <w:rPr>
                <w:b/>
                <w:color w:val="FFFFFF" w:themeColor="background1"/>
              </w:rPr>
              <w:t>Solución</w:t>
            </w:r>
          </w:p>
        </w:tc>
      </w:tr>
      <w:tr w:rsidR="009141CF" w:rsidTr="007B1CEB">
        <w:tc>
          <w:tcPr>
            <w:tcW w:w="2942" w:type="dxa"/>
          </w:tcPr>
          <w:p w:rsidR="009141CF" w:rsidRDefault="009141CF" w:rsidP="007B1CEB">
            <w:pPr>
              <w:jc w:val="center"/>
            </w:pPr>
          </w:p>
        </w:tc>
        <w:tc>
          <w:tcPr>
            <w:tcW w:w="2943" w:type="dxa"/>
          </w:tcPr>
          <w:p w:rsidR="009141CF" w:rsidRDefault="009141CF" w:rsidP="007B1CEB">
            <w:pPr>
              <w:jc w:val="center"/>
            </w:pPr>
          </w:p>
        </w:tc>
        <w:tc>
          <w:tcPr>
            <w:tcW w:w="2943" w:type="dxa"/>
          </w:tcPr>
          <w:p w:rsidR="009141CF" w:rsidRDefault="009141CF" w:rsidP="007B1CEB">
            <w:pPr>
              <w:jc w:val="center"/>
            </w:pPr>
          </w:p>
        </w:tc>
      </w:tr>
      <w:tr w:rsidR="009141CF" w:rsidTr="007B1CEB">
        <w:tc>
          <w:tcPr>
            <w:tcW w:w="2942" w:type="dxa"/>
          </w:tcPr>
          <w:p w:rsidR="009141CF" w:rsidRDefault="009141CF" w:rsidP="007B1CEB">
            <w:pPr>
              <w:jc w:val="center"/>
            </w:pPr>
          </w:p>
        </w:tc>
        <w:tc>
          <w:tcPr>
            <w:tcW w:w="2943" w:type="dxa"/>
          </w:tcPr>
          <w:p w:rsidR="009141CF" w:rsidRDefault="009141CF" w:rsidP="007B1CEB">
            <w:pPr>
              <w:jc w:val="center"/>
            </w:pPr>
          </w:p>
        </w:tc>
        <w:tc>
          <w:tcPr>
            <w:tcW w:w="2943" w:type="dxa"/>
          </w:tcPr>
          <w:p w:rsidR="009141CF" w:rsidRDefault="009141CF" w:rsidP="007B1CEB">
            <w:pPr>
              <w:jc w:val="center"/>
            </w:pPr>
          </w:p>
        </w:tc>
      </w:tr>
      <w:tr w:rsidR="009141CF" w:rsidTr="007B1CEB">
        <w:tc>
          <w:tcPr>
            <w:tcW w:w="2942" w:type="dxa"/>
          </w:tcPr>
          <w:p w:rsidR="009141CF" w:rsidRDefault="009141CF" w:rsidP="007B1CEB">
            <w:pPr>
              <w:jc w:val="center"/>
            </w:pPr>
          </w:p>
        </w:tc>
        <w:tc>
          <w:tcPr>
            <w:tcW w:w="2943" w:type="dxa"/>
          </w:tcPr>
          <w:p w:rsidR="009141CF" w:rsidRDefault="009141CF" w:rsidP="007B1CEB">
            <w:pPr>
              <w:jc w:val="center"/>
            </w:pPr>
          </w:p>
        </w:tc>
        <w:tc>
          <w:tcPr>
            <w:tcW w:w="2943" w:type="dxa"/>
          </w:tcPr>
          <w:p w:rsidR="009141CF" w:rsidRDefault="009141CF" w:rsidP="007B1CEB">
            <w:pPr>
              <w:jc w:val="center"/>
            </w:pPr>
          </w:p>
        </w:tc>
      </w:tr>
      <w:tr w:rsidR="009141CF" w:rsidTr="007B1CEB">
        <w:tc>
          <w:tcPr>
            <w:tcW w:w="2942" w:type="dxa"/>
          </w:tcPr>
          <w:p w:rsidR="009141CF" w:rsidRDefault="009141CF" w:rsidP="007B1CEB">
            <w:pPr>
              <w:jc w:val="center"/>
            </w:pPr>
          </w:p>
        </w:tc>
        <w:tc>
          <w:tcPr>
            <w:tcW w:w="2943" w:type="dxa"/>
          </w:tcPr>
          <w:p w:rsidR="009141CF" w:rsidRDefault="009141CF" w:rsidP="007B1CEB">
            <w:pPr>
              <w:jc w:val="center"/>
            </w:pPr>
          </w:p>
        </w:tc>
        <w:tc>
          <w:tcPr>
            <w:tcW w:w="2943" w:type="dxa"/>
          </w:tcPr>
          <w:p w:rsidR="009141CF" w:rsidRDefault="009141CF" w:rsidP="007B1CEB">
            <w:pPr>
              <w:jc w:val="center"/>
            </w:pPr>
          </w:p>
        </w:tc>
      </w:tr>
      <w:tr w:rsidR="009141CF" w:rsidTr="007B1CEB">
        <w:tc>
          <w:tcPr>
            <w:tcW w:w="2942" w:type="dxa"/>
          </w:tcPr>
          <w:p w:rsidR="009141CF" w:rsidRDefault="009141CF" w:rsidP="007B1CEB">
            <w:pPr>
              <w:jc w:val="center"/>
            </w:pPr>
          </w:p>
        </w:tc>
        <w:tc>
          <w:tcPr>
            <w:tcW w:w="2943" w:type="dxa"/>
          </w:tcPr>
          <w:p w:rsidR="009141CF" w:rsidRDefault="009141CF" w:rsidP="007B1CEB">
            <w:pPr>
              <w:jc w:val="center"/>
            </w:pPr>
          </w:p>
        </w:tc>
        <w:tc>
          <w:tcPr>
            <w:tcW w:w="2943" w:type="dxa"/>
          </w:tcPr>
          <w:p w:rsidR="009141CF" w:rsidRDefault="009141CF" w:rsidP="007B1CEB">
            <w:pPr>
              <w:jc w:val="center"/>
            </w:pPr>
          </w:p>
        </w:tc>
      </w:tr>
      <w:tr w:rsidR="009141CF" w:rsidTr="007B1CEB">
        <w:tc>
          <w:tcPr>
            <w:tcW w:w="2942" w:type="dxa"/>
          </w:tcPr>
          <w:p w:rsidR="009141CF" w:rsidRDefault="009141CF" w:rsidP="007B1CEB">
            <w:pPr>
              <w:jc w:val="center"/>
            </w:pPr>
          </w:p>
        </w:tc>
        <w:tc>
          <w:tcPr>
            <w:tcW w:w="2943" w:type="dxa"/>
          </w:tcPr>
          <w:p w:rsidR="009141CF" w:rsidRDefault="009141CF" w:rsidP="007B1CEB">
            <w:pPr>
              <w:jc w:val="center"/>
            </w:pPr>
          </w:p>
        </w:tc>
        <w:tc>
          <w:tcPr>
            <w:tcW w:w="2943" w:type="dxa"/>
          </w:tcPr>
          <w:p w:rsidR="009141CF" w:rsidRDefault="009141CF" w:rsidP="007B1CEB">
            <w:pPr>
              <w:jc w:val="center"/>
            </w:pPr>
          </w:p>
        </w:tc>
      </w:tr>
      <w:tr w:rsidR="009141CF" w:rsidTr="007B1CEB">
        <w:tc>
          <w:tcPr>
            <w:tcW w:w="2942" w:type="dxa"/>
          </w:tcPr>
          <w:p w:rsidR="009141CF" w:rsidRDefault="009141CF" w:rsidP="007B1CEB">
            <w:pPr>
              <w:jc w:val="center"/>
            </w:pPr>
          </w:p>
        </w:tc>
        <w:tc>
          <w:tcPr>
            <w:tcW w:w="2943" w:type="dxa"/>
          </w:tcPr>
          <w:p w:rsidR="009141CF" w:rsidRDefault="009141CF" w:rsidP="007B1CEB">
            <w:pPr>
              <w:jc w:val="center"/>
            </w:pPr>
          </w:p>
        </w:tc>
        <w:tc>
          <w:tcPr>
            <w:tcW w:w="2943" w:type="dxa"/>
          </w:tcPr>
          <w:p w:rsidR="009141CF" w:rsidRDefault="009141CF" w:rsidP="007B1CEB">
            <w:pPr>
              <w:jc w:val="center"/>
            </w:pPr>
          </w:p>
        </w:tc>
      </w:tr>
    </w:tbl>
    <w:p w:rsidR="009141CF" w:rsidRDefault="009141CF" w:rsidP="009141CF">
      <w:pPr>
        <w:jc w:val="center"/>
      </w:pPr>
    </w:p>
    <w:p w:rsidR="009141CF" w:rsidRDefault="009141CF" w:rsidP="009141CF">
      <w:pPr>
        <w:jc w:val="center"/>
      </w:pPr>
    </w:p>
    <w:p w:rsidR="009141CF" w:rsidRDefault="009141CF" w:rsidP="009141CF">
      <w:pPr>
        <w:jc w:val="center"/>
      </w:pPr>
    </w:p>
    <w:sectPr w:rsidR="009141CF" w:rsidSect="002B215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C386A"/>
    <w:multiLevelType w:val="hybridMultilevel"/>
    <w:tmpl w:val="598CC4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4BF4FEF"/>
    <w:multiLevelType w:val="hybridMultilevel"/>
    <w:tmpl w:val="E3E6AC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141CF"/>
    <w:rsid w:val="002B2158"/>
    <w:rsid w:val="00383E57"/>
    <w:rsid w:val="00440CD4"/>
    <w:rsid w:val="005D61EA"/>
    <w:rsid w:val="007F75B7"/>
    <w:rsid w:val="00843929"/>
    <w:rsid w:val="009141CF"/>
    <w:rsid w:val="00EB10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15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14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B107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512</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Zegarra Norma Angelica</dc:creator>
  <cp:keywords/>
  <dc:description/>
  <cp:lastModifiedBy>prac-scabana</cp:lastModifiedBy>
  <cp:revision>2</cp:revision>
  <dcterms:created xsi:type="dcterms:W3CDTF">2018-08-23T19:53:00Z</dcterms:created>
  <dcterms:modified xsi:type="dcterms:W3CDTF">2018-08-23T20:53:00Z</dcterms:modified>
</cp:coreProperties>
</file>