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/>
        <w:jc w:val="center"/>
        <w:rPr>
          <w:rFonts w:eastAsia="Calibri"/>
          <w:b/>
          <w:szCs w:val="28"/>
          <w:lang w:eastAsia="en-US"/>
        </w:rPr>
      </w:pPr>
      <w:r>
        <w:rPr>
          <w:rFonts w:eastAsia="Calibri"/>
          <w:b/>
          <w:szCs w:val="28"/>
          <w:lang w:eastAsia="en-US"/>
        </w:rPr>
        <w:t xml:space="preserve">[Учебное заведение]</w:t>
      </w: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[Подразделение]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[Направление]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[Кафедра]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b/>
          <w:szCs w:val="28"/>
          <w:lang w:eastAsia="en-US"/>
        </w:rPr>
      </w:pPr>
      <w:r>
        <w:t xml:space="preserve">[Вид и номер работы]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t xml:space="preserve">по дисциплине «[Дисциплина]»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  <w:r>
        <w:t xml:space="preserve">Тема «[Тема]»</w:t>
      </w: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Выполнил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[ФИО]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Группа [Группа]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Проверил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  <w:t xml:space="preserve">[Преподаватель]</w:t>
      </w: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ind w:left="5103"/>
        <w:jc w:val="left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</w:pPr>
    </w:p>
    <w:p>
      <w:pPr>
        <w:spacing w:before="0"/>
        <w:jc w:val="center"/>
        <w:rPr>
          <w:rFonts w:eastAsia="Calibri"/>
          <w:szCs w:val="28"/>
          <w:lang w:eastAsia="en-US"/>
        </w:rPr>
        <w:sectPr>
          <w:footerReference w:type="even" r:id="rId11"/>
          <w:footerReference w:type="default" r:id="rId12"/>
          <w:footerReference w:type="first" r:id="rId13"/>
          <w:pgSz w:w="11906" w:h="16838"/>
          <w:pgMar w:top="1134" w:right="851" w:bottom="1134" w:left="1701" w:header="0" w:footer="720" w:gutter="0"/>
          <w:cols w:space="720"/>
          <w:formProt w:val="0"/>
          <w:titlePg/>
          <w:docGrid w:linePitch="381"/>
        </w:sectPr>
      </w:pPr>
      <w:r>
        <w:rPr>
          <w:rFonts w:eastAsia="Calibri"/>
          <w:szCs w:val="28"/>
          <w:lang w:eastAsia="en-US"/>
        </w:rPr>
        <w:t xml:space="preserve">[Город] [Год]</w:t>
      </w:r>
    </w:p>
    <w:p>
      <w:pPr>
        <w:jc w:val="center"/>
      </w:pPr>
      <w:r>
        <w:rPr>
          <w:b/>
          <w:sz w:val="32"/>
        </w:rPr>
        <w:t xml:space="preserve">ОГЛАВЛЕНИЕ</w:t>
      </w:r>
    </w:p>
    <w:sdt>
      <w:sdtPr>
        <w:id w:val="1"/>
        <w:docPartObj>
          <w:docPartGallery w:val="Table of Contents"/>
          <w:docPartUnique/>
        </w:docPartObj>
      </w:sdtPr>
      <w:sdtContent>
        <w:p>
          <w:pPr>
            <w:pStyle w:val="13"/>
            <w:tabs>
              <w:tab w:val="right" w:leader="dot" w:pos="934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wf_intro" w:history="1">
            <w:r>
              <w:rPr>
                <w:rFonts w:ascii="Times New Roman" w:hAnsi="Times New Roman" w:cs="Times New Roman"/>
                <w:sz w:val="22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 PAGEREF wf_intro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3</w:t>
            </w:r>
            <w:r>
              <w:fldChar w:fldCharType="end"/>
            </w:r>
          </w:hyperlink>
        </w:p>
        <w:p>
          <w:pPr>
            <w:pStyle w:val="13"/>
            <w:tabs>
              <w:tab w:val="right" w:leader="dot" w:pos="9344"/>
            </w:tabs>
          </w:pPr>
          <w:hyperlink w:anchor="wf_main" w:history="1">
            <w:r>
              <w:rPr>
                <w:rFonts w:ascii="Times New Roman" w:hAnsi="Times New Roman" w:cs="Times New Roman"/>
                <w:sz w:val="22"/>
              </w:rPr>
              <w:t>1. Основная часть</w:t>
            </w:r>
            <w:r>
              <w:tab/>
            </w:r>
            <w:r>
              <w:fldChar w:fldCharType="begin"/>
            </w:r>
            <w:r>
              <w:instrText xml:space="preserve"> PAGEREF wf_main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fldChar w:fldCharType="end"/>
            </w:r>
          </w:hyperlink>
        </w:p>
        <w:p>
          <w:pPr>
            <w:pStyle w:val="21"/>
            <w:tabs>
              <w:tab w:val="right" w:leader="dot" w:pos="9344"/>
            </w:tabs>
          </w:pPr>
          <w:hyperlink w:anchor="wf_structure" w:history="1">
            <w:r>
              <w:rPr>
                <w:rFonts w:ascii="Times New Roman" w:hAnsi="Times New Roman" w:cs="Times New Roman"/>
                <w:sz w:val="22"/>
              </w:rPr>
              <w:t>1.1. Структура текста</w:t>
            </w:r>
            <w:r>
              <w:tab/>
            </w:r>
            <w:r>
              <w:fldChar w:fldCharType="begin"/>
            </w:r>
            <w:r>
              <w:instrText xml:space="preserve"> PAGEREF wf_structure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fldChar w:fldCharType="end"/>
            </w:r>
          </w:hyperlink>
        </w:p>
        <w:p>
          <w:pPr>
            <w:pStyle w:val="30"/>
            <w:tabs>
              <w:tab w:val="right" w:leader="dot" w:pos="9344"/>
            </w:tabs>
          </w:pPr>
          <w:hyperlink w:anchor="wf_nested" w:history="1">
            <w:r>
              <w:rPr>
                <w:rFonts w:ascii="Times New Roman" w:hAnsi="Times New Roman" w:cs="Times New Roman"/>
                <w:sz w:val="22"/>
              </w:rPr>
              <w:t>1.1.1. Вложенный подраздел</w:t>
            </w:r>
            <w:r>
              <w:tab/>
            </w:r>
            <w:r>
              <w:fldChar w:fldCharType="begin"/>
            </w:r>
            <w:r>
              <w:instrText xml:space="preserve"> PAGEREF wf_nested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4</w:t>
            </w:r>
            <w:r>
              <w:fldChar w:fldCharType="end"/>
            </w:r>
          </w:hyperlink>
        </w:p>
        <w:p>
          <w:pPr>
            <w:pStyle w:val="13"/>
            <w:tabs>
              <w:tab w:val="right" w:leader="dot" w:pos="9344"/>
            </w:tabs>
          </w:pPr>
          <w:hyperlink w:anchor="wf_figures" w:history="1">
            <w:r>
              <w:rPr>
                <w:rFonts w:ascii="Times New Roman" w:hAnsi="Times New Roman" w:cs="Times New Roman"/>
                <w:sz w:val="22"/>
              </w:rPr>
              <w:t>2. Иллюстрации</w:t>
            </w:r>
            <w:r>
              <w:tab/>
            </w:r>
            <w:r>
              <w:fldChar w:fldCharType="begin"/>
            </w:r>
            <w:r>
              <w:instrText xml:space="preserve"> PAGEREF wf_figures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5</w:t>
            </w:r>
            <w:r>
              <w:fldChar w:fldCharType="end"/>
            </w:r>
          </w:hyperlink>
        </w:p>
        <w:p>
          <w:pPr>
            <w:pStyle w:val="21"/>
            <w:tabs>
              <w:tab w:val="right" w:leader="dot" w:pos="9344"/>
            </w:tabs>
          </w:pPr>
          <w:hyperlink w:anchor="wf_chart" w:history="1">
            <w:r>
              <w:rPr>
                <w:rFonts w:ascii="Times New Roman" w:hAnsi="Times New Roman" w:cs="Times New Roman"/>
                <w:sz w:val="22"/>
              </w:rPr>
              <w:t>2.1. Сравнение значений</w:t>
            </w:r>
            <w:r>
              <w:tab/>
            </w:r>
            <w:r>
              <w:fldChar w:fldCharType="begin"/>
            </w:r>
            <w:r>
              <w:instrText xml:space="preserve"> PAGEREF wf_chart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5</w:t>
            </w:r>
            <w:r>
              <w:fldChar w:fldCharType="end"/>
            </w:r>
          </w:hyperlink>
        </w:p>
        <w:p>
          <w:pPr>
            <w:pStyle w:val="21"/>
            <w:tabs>
              <w:tab w:val="right" w:leader="dot" w:pos="9344"/>
            </w:tabs>
          </w:pPr>
          <w:hyperlink w:anchor="wf_gradient" w:history="1">
            <w:r>
              <w:rPr>
                <w:rFonts w:ascii="Times New Roman" w:hAnsi="Times New Roman" w:cs="Times New Roman"/>
                <w:sz w:val="22"/>
              </w:rPr>
              <w:t>2.2. Градации серого</w:t>
            </w:r>
            <w:r>
              <w:tab/>
            </w:r>
            <w:r>
              <w:fldChar w:fldCharType="begin"/>
            </w:r>
            <w:r>
              <w:instrText xml:space="preserve"> PAGEREF wf_gradient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6</w:t>
            </w:r>
            <w:r>
              <w:fldChar w:fldCharType="end"/>
            </w:r>
          </w:hyperlink>
        </w:p>
        <w:p>
          <w:pPr>
            <w:pStyle w:val="21"/>
            <w:tabs>
              <w:tab w:val="right" w:leader="dot" w:pos="9344"/>
            </w:tabs>
          </w:pPr>
          <w:hyperlink w:anchor="wf_matrix" w:history="1">
            <w:r>
              <w:rPr>
                <w:rFonts w:ascii="Times New Roman" w:hAnsi="Times New Roman" w:cs="Times New Roman"/>
                <w:sz w:val="22"/>
              </w:rPr>
              <w:t>2.3. Матрица</w:t>
            </w:r>
            <w:r>
              <w:tab/>
            </w:r>
            <w:r>
              <w:fldChar w:fldCharType="begin"/>
            </w:r>
            <w:r>
              <w:instrText xml:space="preserve"> PAGEREF wf_matrix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7</w:t>
            </w:r>
            <w:r>
              <w:fldChar w:fldCharType="end"/>
            </w:r>
          </w:hyperlink>
        </w:p>
        <w:p>
          <w:pPr>
            <w:pStyle w:val="13"/>
            <w:tabs>
              <w:tab w:val="right" w:leader="dot" w:pos="9344"/>
            </w:tabs>
          </w:pPr>
          <w:hyperlink w:anchor="wf_conclusion" w:history="1">
            <w:r>
              <w:rPr>
                <w:rFonts w:ascii="Times New Roman" w:hAnsi="Times New Roman" w:cs="Times New Roman"/>
                <w:sz w:val="22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 PAGEREF wf_conclusion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8</w:t>
            </w:r>
            <w:r>
              <w:fldChar w:fldCharType="end"/>
            </w:r>
          </w:hyperlink>
        </w:p>
        <w:p>
          <w:pPr>
            <w:pStyle w:val="13"/>
            <w:tabs>
              <w:tab w:val="right" w:leader="dot" w:pos="9344"/>
            </w:tabs>
          </w:pPr>
          <w:hyperlink w:anchor="wf_sources" w:history="1">
            <w:r>
              <w:rPr>
                <w:rFonts w:ascii="Times New Roman" w:hAnsi="Times New Roman" w:cs="Times New Roman"/>
                <w:sz w:val="22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 PAGEREF wf_sources \h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2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>
      <w:r>
        <w:br w:type="page"/>
      </w:r>
    </w:p>
    <w:p>
      <w:pPr>
        <w:pStyle w:val="1"/>
        <w:spacing w:before="0" w:after="0" w:line="360" w:lineRule="auto"/>
        <w:ind w:left="432"/>
        <w:jc w:val="center"/>
        <w:rPr>
          <w:rFonts w:ascii="Times New Roman" w:hAnsi="Times New Roman" w:cs="Times New Roman"/>
        </w:rPr>
      </w:pPr>
      <w:bookmarkStart w:id="1" w:name="wf_intro"/>
      <w:r>
        <w:rPr>
          <w:rFonts w:ascii="Times New Roman" w:hAnsi="Times New Roman" w:cs="Times New Roman"/>
        </w:rPr>
        <w:t xml:space="preserve">Введение</w:t>
      </w:r>
      <w:bookmarkEnd w:id="1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Образец показывает оформление титульного листа, оглавления, основного текста, таблицы и рисунков. Его содержание предназначено для выбора и проверки макета. Тему, результаты и источники конкретной работы заполняют по заданию.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В основной части приведены короткие примеры заголовков и представления данных. Условные значения служат примерами для таблицы и иллюстраций.</w:t>
      </w:r>
    </w:p>
    <w:p>
      <w:pPr>
        <w:pStyle w:val="af4"/>
        <w:numPr>
          <w:ilvl w:val="0"/>
          <w:numId w:val="8"/>
        </w:numPr>
        <w:spacing w:before="0" w:line="360" w:lineRule="auto"/>
        <w:ind w:left="357" w:firstLine="709"/>
      </w:pPr>
      <w:r>
        <w:t xml:space="preserve">Определить структуру работы по требованиям задания.</w:t>
      </w:r>
    </w:p>
    <w:p>
      <w:pPr>
        <w:pStyle w:val="af4"/>
        <w:numPr>
          <w:ilvl w:val="0"/>
          <w:numId w:val="8"/>
        </w:numPr>
        <w:spacing w:before="0" w:line="360" w:lineRule="auto"/>
        <w:ind w:left="357" w:firstLine="709"/>
      </w:pPr>
      <w:r>
        <w:t xml:space="preserve">Заполнить текст и иллюстрации проверенными материалами.</w:t>
      </w:r>
    </w:p>
    <w:p>
      <w:pPr>
        <w:pStyle w:val="af4"/>
        <w:numPr>
          <w:ilvl w:val="0"/>
          <w:numId w:val="8"/>
        </w:numPr>
        <w:spacing w:before="0" w:line="360" w:lineRule="auto"/>
        <w:ind w:left="357" w:firstLine="709"/>
      </w:pPr>
      <w:r>
        <w:t xml:space="preserve">Проверить оформление и соответствие оглавления страницам.</w:t>
      </w:r>
    </w:p>
    <w:p>
      <w:pPr>
        <w:spacing w:before="0" w:line="360" w:lineRule="auto"/>
        <w:sectPr>
          <w:pgSz w:w="11906" w:h="16838"/>
          <w:pgMar w:top="1134" w:right="851" w:bottom="1134" w:left="1701" w:header="0" w:footer="720" w:gutter="0"/>
          <w:cols w:space="720"/>
          <w:formProt w:val="0"/>
          <w:docGrid w:linePitch="381"/>
        </w:sectPr>
      </w:pPr>
    </w:p>
    <w:p>
      <w:pPr>
        <w:pStyle w:val="1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bookmarkStart w:id="2" w:name="wf_main"/>
      <w:r>
        <w:rPr>
          <w:rFonts w:ascii="Times New Roman" w:hAnsi="Times New Roman" w:cs="Times New Roman"/>
        </w:rPr>
        <w:t xml:space="preserve">Основная часть</w:t>
      </w:r>
      <w:bookmarkEnd w:id="2"/>
    </w:p>
    <w:p>
      <w:pPr>
        <w:pStyle w:val="2"/>
        <w:numPr>
          <w:ilvl w:val="1"/>
          <w:numId w:val="11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</w:rPr>
      </w:pPr>
      <w:bookmarkStart w:id="3" w:name="wf_structure"/>
      <w:r>
        <w:rPr>
          <w:rFonts w:ascii="Times New Roman" w:hAnsi="Times New Roman" w:cs="Times New Roman"/>
        </w:rPr>
        <w:t xml:space="preserve">Структура текста</w:t>
      </w:r>
      <w:bookmarkEnd w:id="3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Основной текст оформлен абзацами с выравниванием по ширине. Заголовки отражают последовательность изложения; таблицы и рисунки сопровождаются пояснениями. В таблице 1 показаны три условных значения.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Таблица 1 – Условные значения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242"/>
        <w:gridCol w:w="3119"/>
        <w:gridCol w:w="5209"/>
      </w:tblGrid>
      <w:tr>
        <w:trPr>
          <w:cantSplit/>
          <w:tblHeader/>
        </w:trPr>
        <w:tc>
          <w:tcPr>
            <w:tcW w:w="1242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Объект</w:t>
            </w:r>
          </w:p>
        </w:tc>
        <w:tc>
          <w:tcPr>
            <w:tcW w:w="311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Значение</w:t>
            </w:r>
          </w:p>
        </w:tc>
        <w:tc>
          <w:tcPr>
            <w:tcW w:w="520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1242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A</w:t>
            </w:r>
          </w:p>
        </w:tc>
        <w:tc>
          <w:tcPr>
            <w:tcW w:w="311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2</w:t>
            </w:r>
          </w:p>
        </w:tc>
        <w:tc>
          <w:tcPr>
            <w:tcW w:w="520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t xml:space="preserve">Первое условное значение</w:t>
            </w:r>
          </w:p>
        </w:tc>
      </w:tr>
      <w:tr>
        <w:trPr>
          <w:cantSplit/>
        </w:trPr>
        <w:tc>
          <w:tcPr>
            <w:tcW w:w="1242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B</w:t>
            </w:r>
          </w:p>
        </w:tc>
        <w:tc>
          <w:tcPr>
            <w:tcW w:w="311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4</w:t>
            </w:r>
          </w:p>
        </w:tc>
        <w:tc>
          <w:tcPr>
            <w:tcW w:w="520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t xml:space="preserve">Второе условное значение</w:t>
            </w:r>
          </w:p>
        </w:tc>
      </w:tr>
      <w:tr>
        <w:trPr>
          <w:cantSplit/>
        </w:trPr>
        <w:tc>
          <w:tcPr>
            <w:tcW w:w="1242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C</w:t>
            </w:r>
          </w:p>
        </w:tc>
        <w:tc>
          <w:tcPr>
            <w:tcW w:w="311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rPr>
                <w:lang w:val="ru-KZ"/>
              </w:rPr>
              <w:t xml:space="preserve">3</w:t>
            </w:r>
          </w:p>
        </w:tc>
        <w:tc>
          <w:tcPr>
            <w:tcW w:w="5209" w:type="dxa"/>
          </w:tcPr>
          <w:p>
            <w:pPr>
              <w:spacing w:before="0" w:line="360" w:lineRule="auto"/>
              <w:rPr>
                <w:lang w:val="ru-KZ"/>
              </w:rPr>
            </w:pPr>
            <w:r>
              <w:t xml:space="preserve">Третье условное значение</w:t>
            </w:r>
          </w:p>
        </w:tc>
      </w:tr>
    </w:tbl>
    <w:p>
      <w:pPr>
        <w:spacing w:before="0" w:line="360" w:lineRule="auto"/>
        <w:ind w:firstLine="709"/>
        <w:rPr>
          <w:lang w:val="ru-KZ"/>
        </w:rPr>
      </w:pP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В примере значение B больше значений A и C. Таблица использует простую сетку; пояснение связывает данные с текстом.</w:t>
      </w:r>
    </w:p>
    <w:p>
      <w:pPr>
        <w:pStyle w:val="3"/>
        <w:numPr>
          <w:ilvl w:val="2"/>
          <w:numId w:val="11"/>
        </w:numPr>
        <w:tabs>
          <w:tab w:val="left" w:pos="1080"/>
        </w:tabs>
        <w:spacing w:line="360" w:lineRule="auto"/>
        <w:ind w:left="1080" w:hanging="1080"/>
        <w:rPr>
          <w:rFonts w:ascii="Times New Roman" w:hAnsi="Times New Roman" w:cs="Times New Roman"/>
        </w:rPr>
      </w:pPr>
      <w:bookmarkStart w:id="4" w:name="wf_nested"/>
      <w:r>
        <w:rPr>
          <w:rFonts w:ascii="Times New Roman" w:hAnsi="Times New Roman" w:cs="Times New Roman"/>
        </w:rPr>
        <w:t xml:space="preserve">Вложенный подраздел</w:t>
      </w:r>
      <w:bookmarkEnd w:id="4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Заголовок третьего уровня связан с той же многоуровневой нумерацией. Его уровень отражается в оглавлении, а внешний вид остается согласованным с остальными подзаголовками.</w:t>
      </w:r>
    </w:p>
    <w:p>
      <w:pPr>
        <w:pStyle w:val="1"/>
        <w:pageBreakBefore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bookmarkStart w:id="5" w:name="wf_figures"/>
      <w:r>
        <w:rPr>
          <w:rFonts w:ascii="Times New Roman" w:hAnsi="Times New Roman" w:cs="Times New Roman"/>
        </w:rPr>
        <w:t xml:space="preserve">Иллюстрации</w:t>
      </w:r>
      <w:bookmarkEnd w:id="5"/>
    </w:p>
    <w:p>
      <w:pPr>
        <w:pStyle w:val="2"/>
        <w:numPr>
          <w:ilvl w:val="1"/>
          <w:numId w:val="11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</w:rPr>
      </w:pPr>
      <w:bookmarkStart w:id="6" w:name="wf_chart"/>
      <w:r>
        <w:rPr>
          <w:rFonts w:ascii="Times New Roman" w:hAnsi="Times New Roman" w:cs="Times New Roman"/>
        </w:rPr>
        <w:t xml:space="preserve">Сравнение значений</w:t>
      </w:r>
      <w:bookmarkEnd w:id="6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Условные значения из таблицы представлены на рисунке 1.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5939790" cy="3563874"/>
            <wp:effectExtent l="0" t="0" r="0" b="0"/>
            <wp:docPr id="1" name="Neutral figure 1" descr="Сравнение знач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utral figure 1" descr="Сравнение значений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360" w:lineRule="auto"/>
        <w:jc w:val="center"/>
      </w:pPr>
      <w:r>
        <w:t xml:space="preserve">Рисунок 1 – Сравнение условных значений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Столбцы отражают значения 2, 4 и 3; их порядок совпадает с порядком строк таблицы.</w:t>
      </w:r>
    </w:p>
    <w:p>
      <w:pPr>
        <w:pStyle w:val="2"/>
        <w:pageBreakBefore/>
        <w:numPr>
          <w:ilvl w:val="1"/>
          <w:numId w:val="11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</w:rPr>
      </w:pPr>
      <w:bookmarkStart w:id="7" w:name="wf_gradient"/>
      <w:r>
        <w:rPr>
          <w:rFonts w:ascii="Times New Roman" w:hAnsi="Times New Roman" w:cs="Times New Roman"/>
        </w:rPr>
        <w:t xml:space="preserve">Градации серого</w:t>
      </w:r>
      <w:bookmarkEnd w:id="7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На рисунке 2 показан нейтральный переход от черного к белому.</w:t>
      </w:r>
    </w:p>
    <w:p>
      <w:pPr>
        <w:keepNext/>
        <w:jc w:val="center"/>
      </w:pPr>
      <w:r>
        <w:rPr>
          <w:noProof/>
        </w:rPr>
        <w:lastRenderedPageBreak/>
        <w:drawing>
          <wp:inline distT="0" distB="0" distL="0" distR="0">
            <wp:extent cx="5939790" cy="3563874"/>
            <wp:effectExtent l="0" t="0" r="0" b="0"/>
            <wp:docPr id="2" name="Neutral figure 2" descr="Градации сер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utral figure 2" descr="Градации серог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360" w:lineRule="auto"/>
        <w:jc w:val="center"/>
      </w:pPr>
      <w:r>
        <w:t xml:space="preserve">Рисунок 2 – Шкала градаций серого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Шкала позволяет сопоставить темные, средние и светлые участки при сохранении читаемой подписи.</w:t>
      </w:r>
    </w:p>
    <w:p>
      <w:pPr>
        <w:pStyle w:val="2"/>
        <w:pageBreakBefore/>
        <w:numPr>
          <w:ilvl w:val="1"/>
          <w:numId w:val="11"/>
        </w:numPr>
        <w:tabs>
          <w:tab w:val="left" w:pos="720"/>
        </w:tabs>
        <w:spacing w:line="360" w:lineRule="auto"/>
        <w:ind w:left="720" w:hanging="720"/>
        <w:rPr>
          <w:rFonts w:ascii="Times New Roman" w:hAnsi="Times New Roman" w:cs="Times New Roman"/>
        </w:rPr>
      </w:pPr>
      <w:bookmarkStart w:id="8" w:name="wf_matrix"/>
      <w:r>
        <w:rPr>
          <w:rFonts w:ascii="Times New Roman" w:hAnsi="Times New Roman" w:cs="Times New Roman"/>
        </w:rPr>
        <w:t xml:space="preserve">Матрица</w:t>
      </w:r>
      <w:bookmarkEnd w:id="8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На рисунке 3 показано условное расположение заполненных ячеек.</w:t>
      </w:r>
    </w:p>
    <w:p>
      <w:pPr>
        <w:keepNext/>
        <w:jc w:val="center"/>
      </w:pPr>
      <w:r>
        <w:rPr>
          <w:noProof/>
        </w:rPr>
        <w:drawing>
          <wp:inline distT="0" distB="0" distL="0" distR="0">
            <wp:extent cx="5939790" cy="3563874"/>
            <wp:effectExtent l="0" t="0" r="0" b="0"/>
            <wp:docPr id="3" name="Neutral figure 3" descr="Матри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Neutral figure 3" descr="Матрица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 w:line="360" w:lineRule="auto"/>
        <w:jc w:val="center"/>
      </w:pPr>
      <w:r>
        <w:t xml:space="preserve">Рисунок 3 – Пример матрицы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Контуры позволяют различать отдельные ячейки. Пример демонстрирует читаемость изображения и пояснения.</w:t>
      </w:r>
    </w:p>
    <w:p>
      <w:pPr>
        <w:pStyle w:val="1"/>
        <w:pageBreakBefore/>
        <w:spacing w:line="360" w:lineRule="auto"/>
        <w:ind w:left="432"/>
        <w:jc w:val="center"/>
        <w:rPr>
          <w:rFonts w:ascii="Times New Roman" w:hAnsi="Times New Roman" w:cs="Times New Roman"/>
        </w:rPr>
      </w:pPr>
      <w:bookmarkStart w:id="9" w:name="wf_conclusion"/>
      <w:r>
        <w:rPr>
          <w:rFonts w:ascii="Times New Roman" w:hAnsi="Times New Roman" w:cs="Times New Roman"/>
        </w:rPr>
        <w:t xml:space="preserve">Заключение</w:t>
      </w:r>
      <w:bookmarkEnd w:id="9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В образце представлены основные элементы оформления: титульный лист, живое оглавление, заголовки трех уровней, таблица и рисунки с пояснениями. При подготовке конкретной работы содержание и состав разделов определяются заданием. Перед выдачей документа проверяют фактические результаты, подписи и номера страниц.</w:t>
      </w:r>
    </w:p>
    <w:p>
      <w:pPr>
        <w:pStyle w:val="1"/>
        <w:pageBreakBefore/>
        <w:spacing w:line="360" w:lineRule="auto"/>
        <w:ind w:left="432"/>
        <w:jc w:val="center"/>
        <w:rPr>
          <w:rFonts w:ascii="Times New Roman" w:hAnsi="Times New Roman" w:cs="Times New Roman"/>
        </w:rPr>
      </w:pPr>
      <w:bookmarkStart w:id="10" w:name="wf_sources"/>
      <w:r>
        <w:rPr>
          <w:rFonts w:ascii="Times New Roman" w:hAnsi="Times New Roman" w:cs="Times New Roman"/>
        </w:rPr>
        <w:t xml:space="preserve">Список использованных источников</w:t>
      </w:r>
      <w:bookmarkEnd w:id="10"/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[Автор]. [Название источника]. [Место издания], [Год].</w:t>
      </w:r>
    </w:p>
    <w:p>
      <w:pPr>
        <w:spacing w:before="0" w:line="360" w:lineRule="auto"/>
        <w:ind w:firstLine="709"/>
        <w:rPr>
          <w:lang w:val="ru-KZ"/>
        </w:rPr>
      </w:pPr>
      <w:r>
        <w:rPr>
          <w:lang w:val="ru-KZ"/>
        </w:rPr>
        <w:t xml:space="preserve">[Название электронного ресурса]. [Адрес]. [Дата обращения].</w:t>
      </w:r>
    </w:p>
    <w:sectPr>
      <w:pgSz w:w="11906" w:h="16838"/>
      <w:pgMar w:top="1134" w:right="851" w:bottom="1134" w:left="1701" w:header="0" w:footer="720" w:gutter="0"/>
      <w:cols w:space="720"/>
      <w:formProt w:val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>
      <w:pPr>
        <w:spacing w:before="0"/>
      </w:pPr>
      <w:r>
        <w:separator/>
      </w:r>
    </w:p>
  </w:endnote>
  <w:endnote w:type="continuationSeparator" w:id="0">
    <w:p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  <w:jc w:val="center"/>
      <w:rPr>
        <w:sz w:val="24"/>
        <w:szCs w:val="22"/>
      </w:rPr>
    </w:pPr>
    <w:r>
      <w:rPr>
        <w:sz w:val="24"/>
        <w:szCs w:val="22"/>
      </w:rPr>
      <w:fldChar w:fldCharType="begin"/>
    </w:r>
    <w:r>
      <w:rPr>
        <w:sz w:val="24"/>
        <w:szCs w:val="22"/>
      </w:rPr>
      <w:instrText xml:space="preserve"> PAGE </w:instrText>
    </w:r>
    <w:r>
      <w:rPr>
        <w:sz w:val="24"/>
        <w:szCs w:val="22"/>
      </w:rPr>
      <w:fldChar w:fldCharType="separate"/>
    </w:r>
    <w:r>
      <w:rPr>
        <w:sz w:val="24"/>
        <w:szCs w:val="22"/>
      </w:rPr>
      <w:t>3</w:t>
    </w:r>
    <w:r>
      <w:rPr>
        <w:sz w:val="24"/>
        <w:szCs w:val="22"/>
      </w:rPr>
      <w:fldChar w:fldCharType="end"/>
    </w:r>
  </w:p>
  <w:p>
    <w:pPr>
      <w:pStyle w:val="aa"/>
      <w:rPr>
        <w:sz w:val="24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>
      <w:pPr>
        <w:spacing w:before="0"/>
      </w:pPr>
      <w:r>
        <w:separator/>
      </w:r>
    </w:p>
  </w:footnote>
  <w:footnote w:type="continuationSeparator" w:id="0">
    <w:p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suff w:val="tab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suff w:val="tab"/>
      <w:lvlText w:val="%1.%2.%3.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multiLevelType w:val="multilevel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0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multiLevelType w:val="hybridMultilevel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multiLevelType w:val="hybridMultilevel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364455">
    <w:abstractNumId w:val="9"/>
  </w:num>
  <w:num w:numId="2" w16cid:durableId="959216436">
    <w:abstractNumId w:val="8"/>
  </w:num>
  <w:num w:numId="3" w16cid:durableId="6828339">
    <w:abstractNumId w:val="4"/>
  </w:num>
  <w:num w:numId="4" w16cid:durableId="1019888402">
    <w:abstractNumId w:val="6"/>
  </w:num>
  <w:num w:numId="5" w16cid:durableId="1633294089">
    <w:abstractNumId w:val="10"/>
  </w:num>
  <w:num w:numId="6" w16cid:durableId="1766725947">
    <w:abstractNumId w:val="3"/>
  </w:num>
  <w:num w:numId="7" w16cid:durableId="980229351">
    <w:abstractNumId w:val="11"/>
  </w:num>
  <w:num w:numId="8" w16cid:durableId="1205555817">
    <w:abstractNumId w:val="12"/>
  </w:num>
  <w:num w:numId="9" w16cid:durableId="1896313560">
    <w:abstractNumId w:val="2"/>
  </w:num>
  <w:num w:numId="10" w16cid:durableId="844199925">
    <w:abstractNumId w:val="7"/>
  </w:num>
  <w:num w:numId="11" w16cid:durableId="1648893201">
    <w:abstractNumId w:val="5"/>
  </w:num>
  <w:num w:numId="12" w16cid:durableId="1020163413">
    <w:abstractNumId w:val="1"/>
  </w:num>
  <w:num w:numId="13" w16cid:durableId="1868252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/>
      <w:jc w:val="both"/>
    </w:pPr>
    <w:rPr>
      <w:sz w:val="28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Times New Roman" w:hAnsi="Times New Roman" w:cs="Times New Roman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rFonts w:ascii="Times New Roman" w:hAnsi="Times New Roman" w:cs="Times New Roman"/>
      <w:b/>
      <w:bCs/>
      <w:iCs/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1"/>
      </w:numPr>
      <w:spacing w:before="240" w:after="60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customStyle="1" w:styleId="FootnoteCharacters">
    <w:name w:val="Footnote Characters"/>
    <w:basedOn w:val="a0"/>
    <w:semiHidden/>
    <w:qFormat/>
    <w:rPr>
      <w:vertAlign w:val="superscript"/>
    </w:rPr>
  </w:style>
  <w:style w:type="character" w:styleId="a4">
    <w:name w:val="footnote reference"/>
    <w:rPr>
      <w:vertAlign w:val="superscript"/>
    </w:rPr>
  </w:style>
  <w:style w:type="character" w:styleId="a5">
    <w:name w:val="annotation reference"/>
    <w:basedOn w:val="a0"/>
    <w:semiHidden/>
    <w:qFormat/>
    <w:rPr>
      <w:sz w:val="16"/>
      <w:szCs w:val="16"/>
    </w:rPr>
  </w:style>
  <w:style w:type="character" w:styleId="a6">
    <w:name w:val="FollowedHyperlink"/>
    <w:basedOn w:val="a0"/>
    <w:rPr>
      <w:color w:val="800080"/>
      <w:u w:val="single"/>
    </w:rPr>
  </w:style>
  <w:style w:type="character" w:customStyle="1" w:styleId="value3">
    <w:name w:val="value3"/>
    <w:basedOn w:val="a0"/>
    <w:qFormat/>
    <w:rPr>
      <w:rFonts w:ascii="Verdana" w:hAnsi="Verdana"/>
      <w:i/>
      <w:iCs/>
      <w:color w:val="000000"/>
    </w:rPr>
  </w:style>
  <w:style w:type="character" w:customStyle="1" w:styleId="10">
    <w:name w:val="Заголовок 1 Знак"/>
    <w:basedOn w:val="a0"/>
    <w:link w:val="1"/>
    <w:qFormat/>
    <w:rPr>
      <w:rFonts w:ascii="Arial" w:hAnsi="Arial" w:cs="Arial"/>
      <w:b/>
      <w:bCs/>
      <w:kern w:val="2"/>
      <w:sz w:val="32"/>
      <w:szCs w:val="32"/>
    </w:rPr>
  </w:style>
  <w:style w:type="character" w:customStyle="1" w:styleId="a7">
    <w:name w:val="Верхний колонтитул Знак"/>
    <w:basedOn w:val="a0"/>
    <w:link w:val="a8"/>
    <w:uiPriority w:val="99"/>
    <w:qFormat/>
    <w:rPr>
      <w:sz w:val="24"/>
      <w:szCs w:val="24"/>
    </w:rPr>
  </w:style>
  <w:style w:type="character" w:customStyle="1" w:styleId="a9">
    <w:name w:val="Нижний колонтитул Знак"/>
    <w:basedOn w:val="a0"/>
    <w:link w:val="aa"/>
    <w:uiPriority w:val="99"/>
    <w:qFormat/>
    <w:rPr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c">
    <w:name w:val="Body Text"/>
    <w:basedOn w:val="a"/>
    <w:pPr>
      <w:spacing w:before="0" w:after="140" w:line="276" w:lineRule="auto"/>
    </w:pPr>
  </w:style>
  <w:style w:type="paragraph" w:styleId="ad">
    <w:name w:val="List"/>
    <w:basedOn w:val="ac"/>
    <w:rPr>
      <w:rFonts w:cs="Lohit Devanagari"/>
    </w:rPr>
  </w:style>
  <w:style w:type="paragraph" w:styleId="ae">
    <w:name w:val="caption"/>
    <w:basedOn w:val="a"/>
    <w:qFormat/>
    <w:pPr>
      <w:suppressLineNumbers/>
      <w:spacing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">
    <w:name w:val="Normal (Web)"/>
    <w:basedOn w:val="a"/>
    <w:uiPriority w:val="99"/>
    <w:qFormat/>
    <w:pPr>
      <w:spacing w:beforeAutospacing="1" w:afterAutospacing="1"/>
    </w:pPr>
  </w:style>
  <w:style w:type="paragraph" w:customStyle="1" w:styleId="12">
    <w:name w:val="Верхний колонтитул1"/>
    <w:basedOn w:val="a"/>
    <w:qFormat/>
    <w:pPr>
      <w:ind w:left="4956"/>
    </w:pPr>
    <w:rPr>
      <w:i/>
    </w:rPr>
  </w:style>
  <w:style w:type="paragraph" w:styleId="af0">
    <w:name w:val="footnote text"/>
    <w:basedOn w:val="a"/>
    <w:semiHidden/>
    <w:rPr>
      <w:sz w:val="20"/>
      <w:szCs w:val="20"/>
    </w:rPr>
  </w:style>
  <w:style w:type="paragraph" w:styleId="af1">
    <w:name w:val="annotation text"/>
    <w:basedOn w:val="a"/>
    <w:semiHidden/>
    <w:rPr>
      <w:sz w:val="20"/>
      <w:szCs w:val="20"/>
    </w:rPr>
  </w:style>
  <w:style w:type="paragraph" w:styleId="af2">
    <w:name w:val="annotation subject"/>
    <w:basedOn w:val="af1"/>
    <w:next w:val="af1"/>
    <w:semiHidden/>
    <w:qFormat/>
    <w:rPr>
      <w:b/>
      <w:bCs/>
    </w:rPr>
  </w:style>
  <w:style w:type="paragraph" w:styleId="af3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f4">
    <w:name w:val="List Paragraph"/>
    <w:basedOn w:val="a"/>
    <w:uiPriority w:val="34"/>
    <w:qFormat/>
    <w:pPr>
      <w:ind w:left="720"/>
      <w:contextualSpacing/>
    </w:pPr>
  </w:style>
  <w:style w:type="paragraph" w:styleId="af5">
    <w:name w:val="index heading"/>
    <w:basedOn w:val="Heading"/>
  </w:style>
  <w:style w:type="paragraph" w:styleId="af6">
    <w:name w:val="TOC Heading"/>
    <w:basedOn w:val="1"/>
    <w:next w:val="a"/>
    <w:uiPriority w:val="39"/>
    <w:unhideWhenUsed/>
    <w:qFormat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pPr>
      <w:spacing w:before="0" w:after="100" w:line="276" w:lineRule="auto"/>
      <w:jc w:val="left"/>
    </w:pPr>
    <w:rPr>
      <w:rFonts w:ascii="Times New Roman" w:hAnsi="Times New Roman" w:cs="Times New Roman"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pPr>
      <w:spacing w:before="0" w:after="100" w:line="259" w:lineRule="auto"/>
      <w:ind w:left="220"/>
      <w:jc w:val="left"/>
    </w:pPr>
    <w:rPr>
      <w:rFonts w:ascii="Times New Roman" w:hAnsi="Times New Roman" w:cs="Times New Roman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pPr>
      <w:spacing w:before="0" w:after="100" w:line="259" w:lineRule="auto"/>
      <w:ind w:left="440"/>
      <w:jc w:val="left"/>
    </w:pPr>
    <w:rPr>
      <w:rFonts w:ascii="Times New Roman" w:hAnsi="Times New Roman" w:cs="Times New Roman"/>
      <w:sz w:val="22"/>
      <w:szCs w:val="22"/>
    </w:rPr>
  </w:style>
  <w:style w:type="paragraph" w:styleId="41">
    <w:name w:val="toc 4"/>
    <w:basedOn w:val="a"/>
    <w:next w:val="a"/>
    <w:autoRedefine/>
    <w:uiPriority w:val="39"/>
    <w:unhideWhenUsed/>
    <w:pPr>
      <w:spacing w:before="0" w:after="100" w:line="259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pPr>
      <w:spacing w:before="0"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pPr>
      <w:spacing w:before="0"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pPr>
      <w:spacing w:before="0"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a"/>
    <w:link w:val="a7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styleId="aa">
    <w:name w:val="footer"/>
    <w:basedOn w:val="a"/>
    <w:link w:val="a9"/>
    <w:uiPriority w:val="99"/>
    <w:unhideWhenUsed/>
    <w:pPr>
      <w:tabs>
        <w:tab w:val="center" w:pos="4677"/>
        <w:tab w:val="right" w:pos="9355"/>
      </w:tabs>
      <w:spacing w:before="0"/>
    </w:pPr>
  </w:style>
  <w:style w:type="paragraph" w:customStyle="1" w:styleId="Default">
    <w:name w:val="Default"/>
    <w:qFormat/>
    <w:rPr>
      <w:color w:val="000000"/>
      <w:sz w:val="24"/>
      <w:szCs w:val="24"/>
    </w:rPr>
  </w:style>
  <w:style w:type="paragraph" w:customStyle="1" w:styleId="af7">
    <w:name w:val="Îáû÷íûé"/>
    <w:qFormat/>
  </w:style>
  <w:style w:type="table" w:styleId="af8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rPr>
      <w:rFonts w:ascii="Arial" w:hAnsi="Arial" w:cs="Arial"/>
      <w:b/>
      <w:bCs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26" Type="http://schemas.openxmlformats.org/officeDocument/2006/relationships/image" Target="media/image2.png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5" Type="http://schemas.openxmlformats.org/officeDocument/2006/relationships/image" Target="media/image1.png"/><Relationship Id="rId29" Type="http://schemas.openxmlformats.org/officeDocument/2006/relationships/theme" Target="theme/theme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2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>
  <dc:title>Neutral formatting preset</dc:title>
</cp:coreProperties>
</file>