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1819" w14:textId="77777777" w:rsidR="00805A6B" w:rsidRPr="00B422BB" w:rsidRDefault="00000000">
      <w:pPr>
        <w:spacing w:before="1300" w:after="80"/>
        <w:jc w:val="center"/>
        <w:rPr>
          <w:rFonts w:ascii="ＭＳ Ｐゴシック" w:eastAsia="ＭＳ Ｐゴシック" w:hAnsi="ＭＳ Ｐゴシック"/>
        </w:rPr>
      </w:pPr>
      <w:r w:rsidRPr="00B422BB">
        <w:rPr>
          <w:rFonts w:ascii="ＭＳ Ｐゴシック" w:eastAsia="ＭＳ Ｐゴシック" w:hAnsi="ＭＳ Ｐゴシック"/>
          <w:b/>
          <w:bCs/>
          <w:sz w:val="28"/>
          <w:szCs w:val="28"/>
        </w:rPr>
        <w:t>リサーチ資料</w:t>
      </w:r>
    </w:p>
    <w:p w14:paraId="202B4F80" w14:textId="77777777" w:rsidR="00805A6B" w:rsidRPr="00B422BB" w:rsidRDefault="00000000">
      <w:pPr>
        <w:spacing w:after="60"/>
        <w:jc w:val="center"/>
        <w:rPr>
          <w:rFonts w:ascii="ＭＳ Ｐゴシック" w:eastAsia="ＭＳ Ｐゴシック" w:hAnsi="ＭＳ Ｐゴシック"/>
        </w:rPr>
      </w:pPr>
      <w:r w:rsidRPr="00B422BB">
        <w:rPr>
          <w:rFonts w:ascii="ＭＳ Ｐゴシック" w:eastAsia="ＭＳ Ｐゴシック" w:hAnsi="ＭＳ Ｐゴシック"/>
          <w:b/>
          <w:bCs/>
          <w:sz w:val="22"/>
          <w:szCs w:val="22"/>
        </w:rPr>
        <w:t>『THE CURIOUS INCIDENT OF THE DOG IN THE NIGHT-TIME』</w:t>
      </w:r>
    </w:p>
    <w:p w14:paraId="3895A1DD" w14:textId="77777777" w:rsidR="00805A6B" w:rsidRPr="00B422BB" w:rsidRDefault="00000000">
      <w:pPr>
        <w:pBdr>
          <w:bottom w:val="single" w:sz="6" w:space="8" w:color="8A6D3B"/>
        </w:pBdr>
        <w:spacing w:after="60"/>
        <w:jc w:val="center"/>
        <w:rPr>
          <w:rFonts w:ascii="ＭＳ Ｐゴシック" w:eastAsia="ＭＳ Ｐゴシック" w:hAnsi="ＭＳ Ｐゴシック"/>
        </w:rPr>
      </w:pPr>
      <w:r w:rsidRPr="00B422BB">
        <w:rPr>
          <w:rFonts w:ascii="ＭＳ Ｐゴシック" w:eastAsia="ＭＳ Ｐゴシック" w:hAnsi="ＭＳ Ｐゴシック"/>
          <w:sz w:val="19"/>
          <w:szCs w:val="19"/>
        </w:rPr>
        <w:t>第1部 創作プロセス／第2部 製作モデルと公的資金の費用対効果</w:t>
      </w:r>
    </w:p>
    <w:p w14:paraId="5F6F763F" w14:textId="6D118A82" w:rsidR="00805A6B" w:rsidRPr="00B422BB" w:rsidRDefault="00805A6B">
      <w:pPr>
        <w:spacing w:before="700"/>
        <w:jc w:val="center"/>
        <w:rPr>
          <w:rFonts w:ascii="ＭＳ Ｐゴシック" w:eastAsia="ＭＳ Ｐゴシック" w:hAnsi="ＭＳ Ｐゴシック" w:hint="eastAsia"/>
        </w:rPr>
      </w:pPr>
    </w:p>
    <w:p w14:paraId="52183C5B" w14:textId="77777777" w:rsidR="00805A6B" w:rsidRPr="00B422BB" w:rsidRDefault="00000000">
      <w:pPr>
        <w:spacing w:after="40"/>
        <w:jc w:val="center"/>
        <w:rPr>
          <w:rFonts w:ascii="ＭＳ Ｐゴシック" w:eastAsia="ＭＳ Ｐゴシック" w:hAnsi="ＭＳ Ｐゴシック"/>
        </w:rPr>
      </w:pPr>
      <w:r w:rsidRPr="00B422BB">
        <w:rPr>
          <w:rFonts w:ascii="ＭＳ Ｐゴシック" w:eastAsia="ＭＳ Ｐゴシック" w:hAnsi="ＭＳ Ｐゴシック"/>
          <w:sz w:val="19"/>
          <w:szCs w:val="19"/>
        </w:rPr>
        <w:t>2026年6月</w:t>
      </w:r>
    </w:p>
    <w:p w14:paraId="06D0575D" w14:textId="77777777" w:rsidR="00805A6B" w:rsidRPr="00B422BB" w:rsidRDefault="00000000">
      <w:pPr>
        <w:rPr>
          <w:rFonts w:ascii="ＭＳ Ｐゴシック" w:eastAsia="ＭＳ Ｐゴシック" w:hAnsi="ＭＳ Ｐゴシック"/>
        </w:rPr>
      </w:pPr>
      <w:r w:rsidRPr="00B422BB">
        <w:rPr>
          <w:rFonts w:ascii="ＭＳ Ｐゴシック" w:eastAsia="ＭＳ Ｐゴシック" w:hAnsi="ＭＳ Ｐゴシック"/>
        </w:rPr>
        <w:br w:type="page"/>
      </w:r>
    </w:p>
    <w:p w14:paraId="01B43845" w14:textId="77777777" w:rsidR="00805A6B" w:rsidRPr="00B422BB" w:rsidRDefault="00000000">
      <w:pPr>
        <w:spacing w:after="200" w:line="30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lastRenderedPageBreak/>
        <w:t>本資料は、オリジナル演出による会話劇版企画の参考として、原典であるナショナル・シアター（NT）版を二部構成で整理したものである。第1部は創作プロセス（NTスタジオでの立ち上げからウエストエンド・ロングランまで）、第2部は製作モデルと公的資金の費用対効果（NTの交差補助構造、英国の還流機構をめぐる政策論争）を扱う。脚色者サイモン・スティーヴンスとの創作対話、許諾交渉、文化資本循環モデルの論考、社内・関係者への説明の下敷きとしての使用を想定する。事実関係は巻末の主な出典に基づく。</w:t>
      </w:r>
    </w:p>
    <w:p w14:paraId="79DF6C5B" w14:textId="77777777" w:rsidR="00805A6B" w:rsidRPr="00B422BB" w:rsidRDefault="00000000">
      <w:pPr>
        <w:pBdr>
          <w:top w:val="single" w:sz="4" w:space="6" w:color="8A6D3B"/>
          <w:bottom w:val="single" w:sz="4" w:space="6" w:color="8A6D3B"/>
        </w:pBdr>
        <w:spacing w:before="120" w:after="160"/>
        <w:jc w:val="center"/>
        <w:rPr>
          <w:rFonts w:ascii="ＭＳ Ｐゴシック" w:eastAsia="ＭＳ Ｐゴシック" w:hAnsi="ＭＳ Ｐゴシック"/>
        </w:rPr>
      </w:pPr>
      <w:r w:rsidRPr="00B422BB">
        <w:rPr>
          <w:rFonts w:ascii="ＭＳ Ｐゴシック" w:eastAsia="ＭＳ Ｐゴシック" w:hAnsi="ＭＳ Ｐゴシック"/>
          <w:b/>
          <w:bCs/>
          <w:sz w:val="24"/>
          <w:szCs w:val="24"/>
        </w:rPr>
        <w:t>第 1 部 ― 創作プロセス</w:t>
      </w:r>
    </w:p>
    <w:p w14:paraId="0B4CCF3B"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1. 出会いときっかけ ― ナショナル・シアター・スタジオでの友情</w:t>
      </w:r>
    </w:p>
    <w:p w14:paraId="1CB6D1B1"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企画の発端はナショナル・シアター・スタジオにあった。サイモン・スティーヴンスがレジデント劇作家として在籍していた時期に、原作者マーク・ハッドンが8週間のアタッチメント（滞在創作）で来ており、二人はそこで出会っている。</w:t>
      </w:r>
    </w:p>
    <w:p w14:paraId="2C97432D"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同世代で、ともに父親であり、似た音楽を聴き、いずれも「本当はバンドをやりたかった」と思っているような人間同士。作家としてだけでなく個人として意気投合し、以後およそ5年にわたって互いのキャリアを応援し合う関係を築いた。ハッドンは学生による脚色から商業ミュージカルまで多数の舞台化オファーを受けていたが、長年互いを支え合ってきたスティーヴンスを選んで脚色を持ちかけた。</w:t>
      </w:r>
    </w:p>
    <w:p w14:paraId="41F8E0F3"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決定的に重要なのは、この企画がコミッション（委嘱契約）なしの「友人への手助け」として始まったことである。スティーヴンスは委嘱の重圧を意図的に避け、もし力不足でも失望させる相手はハッドン一人で済む、という気楽さの中で着手した。ハッドン本人が小説を「舞台化不可能」と考えていたこと自体が、むしろ挑戦欲を煽った。スティーヴンスは自分に一か月の猶予を与え、「四週間やってダメなら不可能だったと報告できる」状態に置いたことで、遊び心をもって取り組めたと振り返っている。</w:t>
      </w:r>
    </w:p>
    <w:p w14:paraId="03DAAEAF"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2. 脚色の方法 ― 「言語的に忠実」であること</w:t>
      </w:r>
    </w:p>
    <w:p w14:paraId="776C3255"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スティーヴンスの作業は、いわば技術的な解体から始まった。小説の物語（ナラティブ）を散文（プロース）から切り離し、物語上で起こる出来事をすべてリストアップし、そのうえで直接話法をすべて書き起こした。</w:t>
      </w:r>
    </w:p>
    <w:p w14:paraId="0CD3E104"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鍵となったのは、ハッドンの登場人物が「相手を変えようとするときに声に出して話す」という性質、すなわち直接話法そのものが演劇的に能動的だった点である。スティーヴンスはハッドンを「劇作家の筋肉でものを考える」小説家と評し、だからこそ脚色は意外なほど容易だったと述べる。彼が自分の全脚色作品に課すルールは「言語的に極めて忠実であること」だった。</w:t>
      </w:r>
    </w:p>
    <w:p w14:paraId="376C0CC7"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この一点は、会話劇版の最大の論拠に直結する。本戯曲のテキストは、もともとハッドンの能動的な対話を忠実に立てることで成立しており、スペクタクルは後から乗った層にすぎない。</w:t>
      </w:r>
    </w:p>
    <w:p w14:paraId="4732FC38" w14:textId="77777777" w:rsidR="00805A6B" w:rsidRPr="00B422BB" w:rsidRDefault="00000000">
      <w:pPr>
        <w:pStyle w:val="2"/>
        <w:rPr>
          <w:rFonts w:ascii="ＭＳ Ｐゴシック" w:eastAsia="ＭＳ Ｐゴシック" w:hAnsi="ＭＳ Ｐゴシック"/>
          <w:color w:val="auto"/>
        </w:rPr>
      </w:pPr>
      <w:r w:rsidRPr="00B422BB">
        <w:rPr>
          <w:rFonts w:ascii="ＭＳ Ｐゴシック" w:eastAsia="ＭＳ Ｐゴシック" w:hAnsi="ＭＳ Ｐゴシック"/>
          <w:color w:val="auto"/>
        </w:rPr>
        <w:t>劇中劇構造の発見</w:t>
      </w:r>
    </w:p>
    <w:p w14:paraId="0A02C697"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一人称の内面をどう舞台化するかという最大の難問に対し、スティーヴンスが見出した当初の解法は、「クリストファーが書いた本を、彼の学校（と教師シヴォーン）が朗読・上演する」という枠組みだった。シヴォーンがクリストファーの本を読み上げ、時に彼の内なる声を兼ねる。この入れ子構造（劇中劇）が、主観的世界の外在化を可能にした。</w:t>
      </w:r>
    </w:p>
    <w:p w14:paraId="278944F5"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lastRenderedPageBreak/>
        <w:t>3. エリオットの参加と、稽古場での創作</w:t>
      </w:r>
    </w:p>
    <w:p w14:paraId="58272406"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スティーヴンスは早い段階の草稿を旧知のマリアン・エリオットに渡した。二人はともにストックポート出身でロイヤル・エクスチェンジ以来の仲間であり、エリオットは2008年にナショナル・シアターでスティーヴンスの戯曲『ハーパー・リーガン』を演出していた。</w:t>
      </w:r>
    </w:p>
    <w:p w14:paraId="709DDCC8"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エリオットはスティーヴンスの「学校が本を上演する」という枠組みを、さらに一段抽象化した。すなわち「クリストファーの学校が本を劇にする」設定から「クリストファーの心の中にいる」設定へと移し替えたのである。この抽象化が、6週間にわたる想像力豊かなワークショップへと彼女を解き放った。創作には出演者・スタッフに加え、フランティック・アセンブリーのスコット・グレアムとスティーヴン・ホゲットが参加した。</w:t>
      </w:r>
    </w:p>
    <w:p w14:paraId="732BE65B" w14:textId="77777777" w:rsidR="00805A6B" w:rsidRPr="00B422BB" w:rsidRDefault="00000000">
      <w:pPr>
        <w:pStyle w:val="2"/>
        <w:rPr>
          <w:rFonts w:ascii="ＭＳ Ｐゴシック" w:eastAsia="ＭＳ Ｐゴシック" w:hAnsi="ＭＳ Ｐゴシック"/>
          <w:color w:val="auto"/>
        </w:rPr>
      </w:pPr>
      <w:r w:rsidRPr="00B422BB">
        <w:rPr>
          <w:rFonts w:ascii="ＭＳ Ｐゴシック" w:eastAsia="ＭＳ Ｐゴシック" w:hAnsi="ＭＳ Ｐゴシック"/>
          <w:color w:val="auto"/>
        </w:rPr>
        <w:t>稽古場の進め方</w:t>
      </w:r>
    </w:p>
    <w:p w14:paraId="76311B14"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エリオットはまず俳優の身体だけで何ができるかを試した。ロンドンへの長い移動や混雑したパディントン駅の雑踏を、わずか8人の俳優で小道具なしに立ち上げられると分かった瞬間に「これは作品になる」と確信したという。多くの没アイデアの中から良いものだけが残った。</w:t>
      </w:r>
    </w:p>
    <w:p w14:paraId="54E8CF5E"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ワークショップ後、エリオットと美術のバニー・クリスティは1対25の模型箱を用いて全場面をストーリーボード化し、立て込んでいった。60を超える精密な場面（わずか10行ほどの短い場面も含む）があり、決定すべきことは膨大だった。フランティック・アセンブリーは、その骨組みに肉付けして「美しくした」存在と位置づけられている。</w:t>
      </w:r>
    </w:p>
    <w:p w14:paraId="026821CB" w14:textId="77777777" w:rsidR="00805A6B" w:rsidRPr="00B422BB" w:rsidRDefault="00000000">
      <w:pPr>
        <w:pStyle w:val="2"/>
        <w:rPr>
          <w:rFonts w:ascii="ＭＳ Ｐゴシック" w:eastAsia="ＭＳ Ｐゴシック" w:hAnsi="ＭＳ Ｐゴシック"/>
          <w:color w:val="auto"/>
        </w:rPr>
      </w:pPr>
      <w:r w:rsidRPr="00B422BB">
        <w:rPr>
          <w:rFonts w:ascii="ＭＳ Ｐゴシック" w:eastAsia="ＭＳ Ｐゴシック" w:hAnsi="ＭＳ Ｐゴシック"/>
          <w:color w:val="auto"/>
        </w:rPr>
        <w:t>イン・ザ・ラウンドという選択</w:t>
      </w:r>
    </w:p>
    <w:p w14:paraId="6FE517A6"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初演がコトズロー劇場（NT内の小空間）で、しかも四方囲み（イン・ザ・ラウンド）だったのも意図的だった。エリオットは観客がクリストファーの一部であると本能的に感じ、観客がその体験と行動の内側に入る最良の方法が四方囲みだと考えた。空間形式そのものが、観客を主人公の内面の共同体に巻き込む装置として選ばれていた。</w:t>
      </w:r>
    </w:p>
    <w:p w14:paraId="42C93045"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4. 開発プロセスの構造</w:t>
      </w:r>
    </w:p>
    <w:p w14:paraId="3B4DA64D"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視覚・身体の層は、戯曲そのものではなく稽古場とデザインの工程で後から積層された。この順序を図式的に整理すると次のとおりである。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5060"/>
      </w:tblGrid>
      <w:tr w:rsidR="00805A6B" w:rsidRPr="00B422BB" w14:paraId="74AE96A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F3A5F"/>
            <w:tcMar>
              <w:top w:w="90" w:type="dxa"/>
              <w:left w:w="130" w:type="dxa"/>
              <w:bottom w:w="90" w:type="dxa"/>
              <w:right w:w="130" w:type="dxa"/>
            </w:tcMar>
          </w:tcPr>
          <w:p w14:paraId="2CF1ACA5" w14:textId="77777777" w:rsidR="00805A6B" w:rsidRPr="00B422BB" w:rsidRDefault="00000000">
            <w:pPr>
              <w:rPr>
                <w:rFonts w:ascii="ＭＳ Ｐゴシック" w:eastAsia="ＭＳ Ｐゴシック" w:hAnsi="ＭＳ Ｐゴシック"/>
              </w:rPr>
            </w:pPr>
            <w:r w:rsidRPr="00B422BB">
              <w:rPr>
                <w:rFonts w:ascii="ＭＳ Ｐゴシック" w:eastAsia="ＭＳ Ｐゴシック" w:hAnsi="ＭＳ Ｐゴシック"/>
                <w:b/>
                <w:bCs/>
                <w:sz w:val="19"/>
                <w:szCs w:val="19"/>
              </w:rPr>
              <w:t>段階</w:t>
            </w:r>
          </w:p>
        </w:tc>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90" w:type="dxa"/>
              <w:left w:w="130" w:type="dxa"/>
              <w:bottom w:w="90" w:type="dxa"/>
              <w:right w:w="130" w:type="dxa"/>
            </w:tcMar>
          </w:tcPr>
          <w:p w14:paraId="4E78F328" w14:textId="77777777" w:rsidR="00805A6B" w:rsidRPr="00B422BB" w:rsidRDefault="00000000">
            <w:pPr>
              <w:rPr>
                <w:rFonts w:ascii="ＭＳ Ｐゴシック" w:eastAsia="ＭＳ Ｐゴシック" w:hAnsi="ＭＳ Ｐゴシック"/>
              </w:rPr>
            </w:pPr>
            <w:r w:rsidRPr="00B422BB">
              <w:rPr>
                <w:rFonts w:ascii="ＭＳ Ｐゴシック" w:eastAsia="ＭＳ Ｐゴシック" w:hAnsi="ＭＳ Ｐゴシック"/>
                <w:b/>
                <w:bCs/>
                <w:sz w:val="19"/>
                <w:szCs w:val="19"/>
              </w:rPr>
              <w:t>担い手</w:t>
            </w:r>
          </w:p>
        </w:tc>
        <w:tc>
          <w:tcPr>
            <w:tcW w:w="5060" w:type="dxa"/>
            <w:tcBorders>
              <w:top w:val="single" w:sz="1" w:space="0" w:color="CCCCCC"/>
              <w:left w:val="single" w:sz="1" w:space="0" w:color="CCCCCC"/>
              <w:bottom w:val="single" w:sz="1" w:space="0" w:color="CCCCCC"/>
              <w:right w:val="single" w:sz="1" w:space="0" w:color="CCCCCC"/>
            </w:tcBorders>
            <w:shd w:val="clear" w:color="auto" w:fill="1F3A5F"/>
            <w:tcMar>
              <w:top w:w="90" w:type="dxa"/>
              <w:left w:w="130" w:type="dxa"/>
              <w:bottom w:w="90" w:type="dxa"/>
              <w:right w:w="130" w:type="dxa"/>
            </w:tcMar>
          </w:tcPr>
          <w:p w14:paraId="11152EBC" w14:textId="77777777" w:rsidR="00805A6B" w:rsidRPr="00B422BB" w:rsidRDefault="00000000">
            <w:pPr>
              <w:rPr>
                <w:rFonts w:ascii="ＭＳ Ｐゴシック" w:eastAsia="ＭＳ Ｐゴシック" w:hAnsi="ＭＳ Ｐゴシック"/>
              </w:rPr>
            </w:pPr>
            <w:r w:rsidRPr="00B422BB">
              <w:rPr>
                <w:rFonts w:ascii="ＭＳ Ｐゴシック" w:eastAsia="ＭＳ Ｐゴシック" w:hAnsi="ＭＳ Ｐゴシック"/>
                <w:b/>
                <w:bCs/>
                <w:sz w:val="19"/>
                <w:szCs w:val="19"/>
              </w:rPr>
              <w:t>内容</w:t>
            </w:r>
          </w:p>
        </w:tc>
      </w:tr>
      <w:tr w:rsidR="00805A6B" w:rsidRPr="00B422BB" w14:paraId="1C6957C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68D71D0C"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b/>
                <w:bCs/>
                <w:sz w:val="19"/>
                <w:szCs w:val="19"/>
              </w:rPr>
              <w:t>① テキスト</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824A06" w14:textId="69FD63C0" w:rsidR="00805A6B" w:rsidRPr="00B422BB" w:rsidRDefault="00B422BB">
            <w:pPr>
              <w:spacing w:line="270" w:lineRule="auto"/>
              <w:rPr>
                <w:rFonts w:ascii="ＭＳ Ｐゴシック" w:eastAsia="ＭＳ Ｐゴシック" w:hAnsi="ＭＳ Ｐゴシック"/>
              </w:rPr>
            </w:pPr>
            <w:r>
              <w:rPr>
                <w:rFonts w:ascii="ＭＳ Ｐゴシック" w:eastAsia="ＭＳ Ｐゴシック" w:hAnsi="ＭＳ Ｐゴシック" w:hint="eastAsia"/>
                <w:sz w:val="19"/>
                <w:szCs w:val="19"/>
              </w:rPr>
              <w:t>サイモン・</w:t>
            </w:r>
            <w:r w:rsidR="00000000" w:rsidRPr="00B422BB">
              <w:rPr>
                <w:rFonts w:ascii="ＭＳ Ｐゴシック" w:eastAsia="ＭＳ Ｐゴシック" w:hAnsi="ＭＳ Ｐゴシック"/>
                <w:sz w:val="19"/>
                <w:szCs w:val="19"/>
              </w:rPr>
              <w:t>スティーヴンス</w:t>
            </w:r>
          </w:p>
        </w:tc>
        <w:tc>
          <w:tcPr>
            <w:tcW w:w="50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5E9AE6"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ハッドンの能動的対話に言語的に忠実な脚色。劇中劇フレームの発明。</w:t>
            </w:r>
          </w:p>
        </w:tc>
      </w:tr>
      <w:tr w:rsidR="00805A6B" w:rsidRPr="00B422BB" w14:paraId="4E66CB8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0592831"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b/>
                <w:bCs/>
                <w:sz w:val="19"/>
                <w:szCs w:val="19"/>
              </w:rPr>
              <w:t>② コンセプト抽象化</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678A6F" w14:textId="61FAE109" w:rsidR="00805A6B" w:rsidRPr="00B422BB" w:rsidRDefault="00B422BB">
            <w:pPr>
              <w:spacing w:line="270" w:lineRule="auto"/>
              <w:rPr>
                <w:rFonts w:ascii="ＭＳ Ｐゴシック" w:eastAsia="ＭＳ Ｐゴシック" w:hAnsi="ＭＳ Ｐゴシック"/>
              </w:rPr>
            </w:pPr>
            <w:r>
              <w:rPr>
                <w:rFonts w:ascii="ＭＳ Ｐゴシック" w:eastAsia="ＭＳ Ｐゴシック" w:hAnsi="ＭＳ Ｐゴシック" w:hint="eastAsia"/>
                <w:sz w:val="19"/>
                <w:szCs w:val="19"/>
              </w:rPr>
              <w:t>マリアン・</w:t>
            </w:r>
            <w:r w:rsidR="00000000" w:rsidRPr="00B422BB">
              <w:rPr>
                <w:rFonts w:ascii="ＭＳ Ｐゴシック" w:eastAsia="ＭＳ Ｐゴシック" w:hAnsi="ＭＳ Ｐゴシック"/>
                <w:sz w:val="19"/>
                <w:szCs w:val="19"/>
              </w:rPr>
              <w:t>エリオット</w:t>
            </w:r>
          </w:p>
        </w:tc>
        <w:tc>
          <w:tcPr>
            <w:tcW w:w="50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36ABB9"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「学校が本を上演」から「クリストファーの心の中」へ。</w:t>
            </w:r>
          </w:p>
        </w:tc>
      </w:tr>
      <w:tr w:rsidR="00805A6B" w:rsidRPr="00B422BB" w14:paraId="28EC87F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589A9C0F"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b/>
                <w:bCs/>
                <w:sz w:val="19"/>
                <w:szCs w:val="19"/>
              </w:rPr>
              <w:t>③ 場面設計</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E61D71F"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エリオット＋クリスティ</w:t>
            </w:r>
          </w:p>
        </w:tc>
        <w:tc>
          <w:tcPr>
            <w:tcW w:w="50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869AC6"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1対25模型箱で60超の全場面をストーリーボード化・立て込み。</w:t>
            </w:r>
          </w:p>
        </w:tc>
      </w:tr>
      <w:tr w:rsidR="00805A6B" w:rsidRPr="00B422BB" w14:paraId="1868113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528764F"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b/>
                <w:bCs/>
                <w:sz w:val="19"/>
                <w:szCs w:val="19"/>
              </w:rPr>
              <w:t>④ 身体表現の充填</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4F5FEF"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フランティック・アセンブリー</w:t>
            </w:r>
          </w:p>
        </w:tc>
        <w:tc>
          <w:tcPr>
            <w:tcW w:w="50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20263F" w14:textId="77777777" w:rsidR="00805A6B" w:rsidRPr="00B422BB" w:rsidRDefault="00000000">
            <w:pPr>
              <w:spacing w:line="27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骨組みに肉付けし、視覚・身体の層を付加。</w:t>
            </w:r>
          </w:p>
        </w:tc>
      </w:tr>
    </w:tbl>
    <w:p w14:paraId="6B69F62C" w14:textId="77777777" w:rsidR="00805A6B" w:rsidRPr="00B422BB" w:rsidRDefault="00000000" w:rsidP="00B422BB">
      <w:pPr>
        <w:spacing w:after="20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含意：身体・視覚の層は戯曲から分離可能であり、テキストは「ハッドンの対話に忠実」であることで自立している。会話劇に振ることは、NT版を引き算するというより、④や③が乗る前の層へ立ち返る作業</w:t>
      </w:r>
      <w:r w:rsidRPr="00B422BB">
        <w:rPr>
          <w:rFonts w:ascii="ＭＳ Ｐゴシック" w:eastAsia="ＭＳ Ｐゴシック" w:hAnsi="ＭＳ Ｐゴシック"/>
        </w:rPr>
        <w:lastRenderedPageBreak/>
        <w:t>に近い。</w:t>
      </w:r>
    </w:p>
    <w:p w14:paraId="5B15EBD8"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5. 初演からウエストエンド・ロングランへ</w:t>
      </w:r>
    </w:p>
    <w:p w14:paraId="7305B307"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初演は2012年夏、ナショナル・シアターのコトズロー劇場（2012年7月24日初日、プレス初日は8月初旬）。ルーク・トレッダウェイがクリストファーを創出し、ナイーム・キューザックがシヴォーン、ポール・リッターが父エド、ニコラ・ウォーカーが母ジュディを演じた。</w:t>
      </w:r>
    </w:p>
    <w:p w14:paraId="3CB21385" w14:textId="77777777" w:rsidR="00805A6B" w:rsidRPr="00B422BB" w:rsidRDefault="00000000">
      <w:pPr>
        <w:spacing w:after="120" w:line="300" w:lineRule="auto"/>
        <w:rPr>
          <w:rFonts w:ascii="ＭＳ Ｐゴシック" w:eastAsia="ＭＳ Ｐゴシック" w:hAnsi="ＭＳ Ｐゴシック"/>
        </w:rPr>
      </w:pPr>
      <w:r w:rsidRPr="00B422BB">
        <w:rPr>
          <w:rFonts w:ascii="ＭＳ Ｐゴシック" w:eastAsia="ＭＳ Ｐゴシック" w:hAnsi="ＭＳ Ｐゴシック"/>
        </w:rPr>
        <w:t>2013年3月、ウエストエンドのアポロ劇場へ移行。最優秀新作戯曲を含む7つのオリヴィエ賞を受賞した。四方囲みからプロセニアム（額縁舞台）への移行は、演出を一から組み直す大規模な再創作作業だった。</w:t>
      </w:r>
    </w:p>
    <w:p w14:paraId="16A3B873" w14:textId="77777777" w:rsidR="00805A6B" w:rsidRPr="00B422BB" w:rsidRDefault="00000000">
      <w:pPr>
        <w:pStyle w:val="2"/>
        <w:rPr>
          <w:rFonts w:ascii="ＭＳ Ｐゴシック" w:eastAsia="ＭＳ Ｐゴシック" w:hAnsi="ＭＳ Ｐゴシック"/>
          <w:color w:val="auto"/>
        </w:rPr>
      </w:pPr>
      <w:r w:rsidRPr="00B422BB">
        <w:rPr>
          <w:rFonts w:ascii="ＭＳ Ｐゴシック" w:eastAsia="ＭＳ Ｐゴシック" w:hAnsi="ＭＳ Ｐゴシック"/>
          <w:color w:val="auto"/>
        </w:rPr>
        <w:t>アポロ劇場の天井崩落（2013年12月19日）</w:t>
      </w:r>
    </w:p>
    <w:p w14:paraId="21E7D32B"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2013年12月19日午後8時15分頃、上演開始から約40分後に、客席の装飾的な漆喰天井の一部（約10平方メートル）がバルコニーの一部とともに崩落し、約80人が負傷した。原因は、石膏に練り込まれていた麻の詰め物（wadding）が経年で脆くなっていたこととされた。アポロは改修に伴い経済的に成立しなくなり、公演続行を断念した。</w:t>
      </w:r>
    </w:p>
    <w:p w14:paraId="559CE5B9"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本企画にとって最重要の事実がここにある。休演期間中、ナショナル・シアターはアポロ版のキャストにより、稽古場形式・最小限の装置と照明で、学校と若者向けの無料公演を行った。スティーヴンス自身も、すべてのテクノロジーを剥ぎ取って物語の力だけに頼る上演を経験したと語り、ハッドンの対話が持つ内在的な劇的推進力ゆえに作品はきわめて舞台化に適していると述べている。すなわち本作は、スペクタクルを全て外しても成立することを、不本意な形ながら歴史的に実証している。</w:t>
      </w:r>
    </w:p>
    <w:p w14:paraId="7F25C085" w14:textId="77777777" w:rsidR="00805A6B" w:rsidRPr="00B422BB" w:rsidRDefault="00000000">
      <w:pPr>
        <w:pStyle w:val="2"/>
        <w:rPr>
          <w:rFonts w:ascii="ＭＳ Ｐゴシック" w:eastAsia="ＭＳ Ｐゴシック" w:hAnsi="ＭＳ Ｐゴシック"/>
          <w:color w:val="auto"/>
        </w:rPr>
      </w:pPr>
      <w:r w:rsidRPr="00B422BB">
        <w:rPr>
          <w:rFonts w:ascii="ＭＳ Ｐゴシック" w:eastAsia="ＭＳ Ｐゴシック" w:hAnsi="ＭＳ Ｐゴシック"/>
          <w:color w:val="auto"/>
        </w:rPr>
        <w:t>ジールグッド劇場とブロードウェイ</w:t>
      </w:r>
    </w:p>
    <w:p w14:paraId="6657B81C" w14:textId="77777777" w:rsidR="00805A6B" w:rsidRPr="00B422BB" w:rsidRDefault="00000000" w:rsidP="00B422BB">
      <w:pPr>
        <w:spacing w:after="20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公演は2014年6月にジールグッド劇場で再開し（プレビュー6月24日、開幕7月8日）、2017年6月3日の同劇場での公演をもってウエストエンドのランを終えた。ブロードウェイは2014年10月5日にエセル・バリモア劇場で開幕。本作は7つのオリヴィエ賞と5つのトニー賞を受賞し、10年以上ぶりにブロードウェイで最長ロングランの戯曲となった。</w:t>
      </w:r>
    </w:p>
    <w:p w14:paraId="4E3EE582"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6. 創作プロセスからの示唆</w:t>
      </w:r>
    </w:p>
    <w:p w14:paraId="5DF7962C" w14:textId="77777777" w:rsidR="00805A6B" w:rsidRPr="00B422BB" w:rsidRDefault="00000000">
      <w:pPr>
        <w:spacing w:after="120" w:line="300" w:lineRule="auto"/>
        <w:rPr>
          <w:rFonts w:ascii="ＭＳ Ｐゴシック" w:eastAsia="ＭＳ Ｐゴシック" w:hAnsi="ＭＳ Ｐゴシック"/>
        </w:rPr>
      </w:pPr>
      <w:r w:rsidRPr="00B422BB">
        <w:rPr>
          <w:rFonts w:ascii="ＭＳ Ｐゴシック" w:eastAsia="ＭＳ Ｐゴシック" w:hAnsi="ＭＳ Ｐゴシック"/>
        </w:rPr>
        <w:t>この開発史は、オリジナル演出・会話劇版の設計に直接効く。要点は三つ。</w:t>
      </w:r>
    </w:p>
    <w:p w14:paraId="7E49100A" w14:textId="77777777" w:rsidR="00805A6B" w:rsidRPr="00B422BB" w:rsidRDefault="00000000">
      <w:pPr>
        <w:pStyle w:val="a4"/>
        <w:numPr>
          <w:ilvl w:val="0"/>
          <w:numId w:val="2"/>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起点の同型性：本作は「友人同士のコミッションなしの手助け」から生まれた。代表とサイモンの関係はこの起点と同型であり、しかも発明者本人と直接つながっている。本人監修（型B）の正統性は、作品のDNAそのものと言える。</w:t>
      </w:r>
    </w:p>
    <w:p w14:paraId="53F94BB7" w14:textId="77777777" w:rsidR="00805A6B" w:rsidRPr="00B422BB" w:rsidRDefault="00000000">
      <w:pPr>
        <w:pStyle w:val="a4"/>
        <w:numPr>
          <w:ilvl w:val="0"/>
          <w:numId w:val="2"/>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テキストの自立性：スペクタクルは戯曲ではなく稽古場の産物だった。会話劇に振ることは、エリオットやフランティックの層が乗る前の段階へ立ち返る作業に近い。サイモンの当初フレーム（学校が本を上演する）を残すか別の枠組みを探るかは、本人と詰める価値のある創作の分岐点。</w:t>
      </w:r>
    </w:p>
    <w:p w14:paraId="1DDA7D88" w14:textId="77777777" w:rsidR="00805A6B" w:rsidRPr="00B422BB" w:rsidRDefault="00000000">
      <w:pPr>
        <w:pStyle w:val="a4"/>
        <w:numPr>
          <w:ilvl w:val="0"/>
          <w:numId w:val="2"/>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耐久性の実証：天井崩落後の稽古場形式・最小装置の無料上演が、本作の会話劇としての耐久性を歴史的に証明している。「テクノロジーを剥いでも物語が立つ」ことは、許諾交渉でも広報でも使える事実。</w:t>
      </w:r>
    </w:p>
    <w:p w14:paraId="6067BFA0" w14:textId="763F6C22" w:rsidR="00805A6B" w:rsidRPr="00B422BB" w:rsidRDefault="00805A6B">
      <w:pPr>
        <w:rPr>
          <w:rFonts w:ascii="ＭＳ Ｐゴシック" w:eastAsia="ＭＳ Ｐゴシック" w:hAnsi="ＭＳ Ｐゴシック"/>
        </w:rPr>
      </w:pPr>
    </w:p>
    <w:p w14:paraId="072F511E" w14:textId="77777777" w:rsidR="00805A6B" w:rsidRPr="00B422BB" w:rsidRDefault="00000000">
      <w:pPr>
        <w:pBdr>
          <w:top w:val="single" w:sz="4" w:space="6" w:color="8A6D3B"/>
          <w:bottom w:val="single" w:sz="4" w:space="6" w:color="8A6D3B"/>
        </w:pBdr>
        <w:spacing w:before="120" w:after="200"/>
        <w:jc w:val="center"/>
        <w:rPr>
          <w:rFonts w:ascii="ＭＳ Ｐゴシック" w:eastAsia="ＭＳ Ｐゴシック" w:hAnsi="ＭＳ Ｐゴシック"/>
        </w:rPr>
      </w:pPr>
      <w:r w:rsidRPr="00B422BB">
        <w:rPr>
          <w:rFonts w:ascii="ＭＳ Ｐゴシック" w:eastAsia="ＭＳ Ｐゴシック" w:hAnsi="ＭＳ Ｐゴシック"/>
          <w:b/>
          <w:bCs/>
          <w:sz w:val="24"/>
          <w:szCs w:val="24"/>
        </w:rPr>
        <w:lastRenderedPageBreak/>
        <w:t>第 2 部 ― 製作モデルと公的資金の費用対効果</w:t>
      </w:r>
    </w:p>
    <w:p w14:paraId="3D47A645" w14:textId="77777777" w:rsidR="00805A6B" w:rsidRPr="00B422BB" w:rsidRDefault="00000000">
      <w:pPr>
        <w:spacing w:after="200" w:line="30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第2部は、本作を生んだナショナル・シアターを「製作する公共劇場」として捉え、その資金循環構造と、公的資金の費用対効果をめぐる論考・批判を整理する。文化資本循環モデル・還流機構（転生装置）の設計に直接資する内容である。</w:t>
      </w:r>
    </w:p>
    <w:p w14:paraId="00C26BA7"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7. NTという「製作する公共劇場」 ― ハイトナー＝スター体制</w:t>
      </w:r>
    </w:p>
    <w:p w14:paraId="3DA89D31"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本作が生まれた2003〜2015年のナショナル・シアターは、芸術監督ニコラス・ハイトナーとエグゼクティブ・ディレクター、ニック・スターの芸術＋経営の二頭体制で運営されていた。この10年で収入は倍以上に伸び、2012-13年度には記録的な8,700万ポンド（10年前の倍を大きく超える水準）に達した。</w:t>
      </w:r>
    </w:p>
    <w:p w14:paraId="08A32B22"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収入構成が重要である。2011-12年度の収入8,000万ポンドのうち、約56%が本拠地・ツアー・ウエストエンド・国際公演の興行収入、約23%がアーツカウンシル・イングランド（ACE）を通じた政府助成だった。注目すべきは、この高収入が低価格政策と両立していた点である。アクセス向上のため低価格を貫き、8万7千人が12ポンドのチケットで観劇した。すなわち公的助成は、興行収入の最大化とは別に「安価なアクセスを担保するエンジン」として機能していた。これが公共劇場の費用対効果を測る際の第一の論点となる。</w:t>
      </w:r>
    </w:p>
    <w:p w14:paraId="76BA7D7B"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8. 循環エンジン ― 商業転送が本拠地を養う構造</w:t>
      </w:r>
    </w:p>
    <w:p w14:paraId="6B6CD87C"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NTモデルの核心は、補助金で開発したリスクの高い新作のうち当たったものを商業的に転送し、その収益を本拠地へ還流させる交差補助（cross-subsidy）にある。『戦火の馬』『ワン・マン、トゥー・ガヴナーズ』『キュリアス・インシデント』『Untold Stories』が、一時はウエストエンドで同時に4本上演されていた。</w:t>
      </w:r>
    </w:p>
    <w:p w14:paraId="49B9F02D" w14:textId="213B7044"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還流の規模感を示す証言がある。</w:t>
      </w:r>
      <w:r w:rsidRPr="00B422BB">
        <w:rPr>
          <w:rFonts w:ascii="ＭＳ Ｐゴシック" w:eastAsia="ＭＳ Ｐゴシック" w:hAnsi="ＭＳ Ｐゴシック" w:hint="eastAsia"/>
        </w:rPr>
        <w:t>ハ</w:t>
      </w:r>
      <w:r w:rsidRPr="00B422BB">
        <w:rPr>
          <w:rFonts w:ascii="ＭＳ Ｐゴシック" w:eastAsia="ＭＳ Ｐゴシック" w:hAnsi="ＭＳ Ｐゴシック"/>
        </w:rPr>
        <w:t>イトナーの回想録によれば、一連の収益性の高い商業転送は劇場を存続させただけでなく、立派な改修費用までまかなった。『戦火の馬』だけで世界で推定700万人が観たとされ、ウエストエンド公演だけで1年に1,390万ポンドの興行収入を上げ、NTはスピルバーグの映画版にも小さな出資持分を持っていた。決定的なのは、これら商業転送が生んだ資金が、本拠地を再開発するNT Futureプロジェクト（資本投資）に充当されたことである。ヒット作の利益が、運営費だけでなく建物の再開発という資本投資にまで還流していた。</w:t>
      </w:r>
    </w:p>
    <w:p w14:paraId="7D3FD42C"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ただしハイトナー自身がこのモデルの危うさを明言している。現在商業転送から得ている水準の収入を長期的に当てにするのは悪い考えだ、と。ヒットは稀で、興行収入は揮発性が高い。この但し書きは、後述の2026年の政策論争に直結する。</w:t>
      </w:r>
    </w:p>
    <w:p w14:paraId="14BB966C"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9. 転送の実務 ― お金の流れ方</w:t>
      </w:r>
    </w:p>
    <w:p w14:paraId="7B865910"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具体的な還流の仕組みは、2026年4月のSOLT／UK Theatre（ロンドン劇場協会）による英国議会への提出文書に数字つきで示されている。</w:t>
      </w:r>
    </w:p>
    <w:p w14:paraId="6C13C4FA"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補助を受けた劇場での上演に際し、しばしば商業パートナーから「エンハンスメント・マネー（増強資金）」が投入される。これは通常5万〜50万ポンドの範囲で、キャスティング・製作価値・宣伝・技術面を支えるが、高リスクで多くの場合は全額が失われる。転送に至る作品はごく一部にすぎない。転送が実</w:t>
      </w:r>
      <w:r w:rsidRPr="00B422BB">
        <w:rPr>
          <w:rFonts w:ascii="ＭＳ Ｐゴシック" w:eastAsia="ＭＳ Ｐゴシック" w:hAnsi="ＭＳ Ｐゴシック"/>
        </w:rPr>
        <w:lastRenderedPageBreak/>
        <w:t>現した場合、戯曲なら100万〜200万ポンド、大規模作品ならそれ以上の追加資本を民間投資家から調達する必要がある。失敗が常態で、成功は例外である。</w:t>
      </w:r>
    </w:p>
    <w:p w14:paraId="4D78A8ED"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補助劇場側の取り分の論理も明快である。非営利劇場が転送権（あるいは独占的な共同製作権）を契約で確保しておくことで交渉上の梃子を握り、ヒット時に最良の条件を引き出し、その収益を本来の使命に再投資する。商業の側から見れば、補助を受けた劇場は新作をはるかに低コストで開発でき、商業の舞台に移る前にリスクの高い革新的な企画を育てられる「実験室」として機能する。</w:t>
      </w:r>
    </w:p>
    <w:p w14:paraId="28F55A8D" w14:textId="77777777" w:rsidR="00805A6B" w:rsidRPr="00B422BB" w:rsidRDefault="00000000">
      <w:pPr>
        <w:spacing w:after="120" w:line="300" w:lineRule="auto"/>
        <w:rPr>
          <w:rFonts w:ascii="ＭＳ Ｐゴシック" w:eastAsia="ＭＳ Ｐゴシック" w:hAnsi="ＭＳ Ｐゴシック"/>
        </w:rPr>
      </w:pPr>
      <w:r w:rsidRPr="00B422BB">
        <w:rPr>
          <w:rFonts w:ascii="ＭＳ Ｐゴシック" w:eastAsia="ＭＳ Ｐゴシック" w:hAnsi="ＭＳ Ｐゴシック"/>
        </w:rPr>
        <w:t>『キュリアス・インシデント』は、まさにこの経路をたどった。補助されたコトズロー（NT本拠地）で開発し、ウエストエンド→ブロードウェイ→ツアー→NT Liveへ。天井崩落後の最小装置による無料学校公演まで含めれば、補助で開発した一作品がアクセス事業・国際展開・資本還流のすべてに寄与する循環の典型例である。</w:t>
      </w:r>
    </w:p>
    <w:p w14:paraId="679F8D84"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10. 公的資金の費用対効果 ― 論考と批判</w:t>
      </w:r>
    </w:p>
    <w:p w14:paraId="6F04E6EE"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費用対効果の論考は、大きく二つの語り口に分かれる。</w:t>
      </w:r>
    </w:p>
    <w:p w14:paraId="2A1C1A78"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一つは経済的リターン論。ACEが委託したCEBRの分析では、芸術は公的支出の0.1%未満しか受け取っていないのに、その4倍にあたるGDPへの貢献を生んでいるとされ、『戦火の馬』</w:t>
      </w:r>
      <w:proofErr w:type="gramStart"/>
      <w:r w:rsidRPr="00B422BB">
        <w:rPr>
          <w:rFonts w:ascii="ＭＳ Ｐゴシック" w:eastAsia="ＭＳ Ｐゴシック" w:hAnsi="ＭＳ Ｐゴシック"/>
        </w:rPr>
        <w:t>が</w:t>
      </w:r>
      <w:proofErr w:type="gramEnd"/>
      <w:r w:rsidRPr="00B422BB">
        <w:rPr>
          <w:rFonts w:ascii="ＭＳ Ｐゴシック" w:eastAsia="ＭＳ Ｐゴシック" w:hAnsi="ＭＳ Ｐゴシック"/>
        </w:rPr>
        <w:t>公的資金</w:t>
      </w:r>
      <w:proofErr w:type="gramStart"/>
      <w:r w:rsidRPr="00B422BB">
        <w:rPr>
          <w:rFonts w:ascii="ＭＳ Ｐゴシック" w:eastAsia="ＭＳ Ｐゴシック" w:hAnsi="ＭＳ Ｐゴシック"/>
        </w:rPr>
        <w:t>が</w:t>
      </w:r>
      <w:proofErr w:type="gramEnd"/>
      <w:r w:rsidRPr="00B422BB">
        <w:rPr>
          <w:rFonts w:ascii="ＭＳ Ｐゴシック" w:eastAsia="ＭＳ Ｐゴシック" w:hAnsi="ＭＳ Ｐゴシック"/>
        </w:rPr>
        <w:t>商業的成功につながった例として挙げられた。</w:t>
      </w:r>
    </w:p>
    <w:p w14:paraId="1330378D"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もう一つは市場の失敗・外部性論で、資本助成の正当化に用いられる。NTへの2,600万ポンドの資本助成をめぐる補助金統制評価では、NTが完全な商業ベースでは運営できない（低価格アクセスという公共財を担うため）ことが政府介入を正当化するとされ、公共の福祉向上・創造経済への寄与・芸術へのアクセス格差の縮小という正の外部性が認められた。「ヒットを生むから」ではなく「商業では供給されない公共財だから」という論理である。</w:t>
      </w:r>
    </w:p>
    <w:p w14:paraId="3BCFDA6A"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ただし数字には留保も必要である。ある独立系研究者は、補助金は英国演劇の収入の約14%にすぎず残り86%は自己収入だと証言する一方、統計の取り方が極めて不十分で、補助されていない劇場にも「隠れた補助」が遍在すると指摘した。費用対効果は、何を分母・分子に置くかで像が変わる。</w:t>
      </w:r>
    </w:p>
    <w:p w14:paraId="2FFAE535"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11. 2026年の英国の政策論争 ― 還流機構をめぐって</w:t>
      </w:r>
    </w:p>
    <w:p w14:paraId="4737EDC8" w14:textId="64C09D6B"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本企画の文化資本循環モデルと完全に重なる現在進行形の論争がある。アーツカウンシル・レビューが「商業的に成功した作品からACEが直接の財務リターンを受け取る仕組み」を提案し、それに業界が応答した（前述の2026年4月文書）。</w:t>
      </w:r>
    </w:p>
    <w:p w14:paraId="47A9EF17"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業界の反応は「事後的なロイヤルティ徴収は機能しない」だった。理由が示唆に富む。第一に、ACEの貢献は間接的で帰属が困難（資金は個々の作品ではなく組織に、しかも製作活動よりアクセス・教育・人材・間接費に向けられることが多い）。第二に、すでに還元されている公共価値を二重計上することになる（originating劇場のロイヤルティが既に公的組織の貢献を反映している）。さらに、事後的な成功への課税は有限なロイヤルティの分配を希薄化し、補助・商業双方のリスクテイクを削ぎ、転送を減らし、技能・雇用・文化輸出を支えるパイプラインを弱める。ハイトナーの「商業収入を当てにするな」の制度版と言える。</w:t>
      </w:r>
    </w:p>
    <w:p w14:paraId="5D463299"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決定的なのは、業界が拒んだのは「事後徴収」であって「前向きの共同投資」ではない点である。代案</w:t>
      </w:r>
      <w:r w:rsidRPr="00B422BB">
        <w:rPr>
          <w:rFonts w:ascii="ＭＳ Ｐゴシック" w:eastAsia="ＭＳ Ｐゴシック" w:hAnsi="ＭＳ Ｐゴシック"/>
        </w:rPr>
        <w:lastRenderedPageBreak/>
        <w:t>として支持されたのは、ACEが非営利劇場および商業パートナーと並んで公的支援作品由来の転送に共同出資する、国が運営する共同投資ファンド。加えて、ローン・ブレンデッド・ファイナンス・社会的インパクト投資・エクイティを限定された状況で提供するACEの「トレーディング・アーム（営利部門）」という方向。条件は、リターンを実際の投資とリスクに連動させ、演劇への再投資に目的限定（リングフェンス）することである。</w:t>
      </w:r>
    </w:p>
    <w:p w14:paraId="69101157" w14:textId="77777777" w:rsidR="00805A6B" w:rsidRPr="00B422BB" w:rsidRDefault="00000000" w:rsidP="00B422BB">
      <w:pPr>
        <w:spacing w:after="120" w:line="300" w:lineRule="auto"/>
        <w:ind w:firstLineChars="50" w:firstLine="105"/>
        <w:rPr>
          <w:rFonts w:ascii="ＭＳ Ｐゴシック" w:eastAsia="ＭＳ Ｐゴシック" w:hAnsi="ＭＳ Ｐゴシック"/>
        </w:rPr>
      </w:pPr>
      <w:r w:rsidRPr="00B422BB">
        <w:rPr>
          <w:rFonts w:ascii="ＭＳ Ｐゴシック" w:eastAsia="ＭＳ Ｐゴシック" w:hAnsi="ＭＳ Ｐゴシック"/>
        </w:rPr>
        <w:t>これは転生装置（Phase 1 返還型助成→Phase 2 ロイヤルティ型→Phase 3 エクイティ型）とほぼ同型の設計思想であり、英国の論争は「事後課税ではなく事前にリスクを共有する投資の形なら機能する」という結論に傾いている。なおNT自身も2025年に業界横断のビジネスモデル研究『Scene Change』を委託し、舞台芸術組織の5つの主要なビジネスモデルを初めて特定した。公共劇場が自ら構造研究に乗り出している点も、Nexusの五層データベースや出版・知識基盤委員会の構想と並走する。</w:t>
      </w:r>
    </w:p>
    <w:p w14:paraId="287616D1"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12. 文化資本循環モデルへの示唆</w:t>
      </w:r>
    </w:p>
    <w:p w14:paraId="55560C18" w14:textId="77777777" w:rsidR="00805A6B" w:rsidRPr="00B422BB" w:rsidRDefault="00000000">
      <w:pPr>
        <w:pStyle w:val="a4"/>
        <w:numPr>
          <w:ilvl w:val="0"/>
          <w:numId w:val="2"/>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還流の実装例：NTモデルは、韓国の</w:t>
      </w:r>
      <w:r w:rsidRPr="00B422BB">
        <w:rPr>
          <w:rFonts w:ascii="Malgun Gothic" w:eastAsia="Malgun Gothic" w:hAnsi="Malgun Gothic" w:cs="Malgun Gothic" w:hint="eastAsia"/>
        </w:rPr>
        <w:t>창작산실</w:t>
      </w:r>
      <w:r w:rsidRPr="00B422BB">
        <w:rPr>
          <w:rFonts w:ascii="ＭＳ Ｐゴシック" w:eastAsia="ＭＳ Ｐゴシック" w:hAnsi="ＭＳ Ｐゴシック"/>
        </w:rPr>
        <w:t>が欠く「還流機構」が実装された実例である。補助→リスク開発→ヒット→商業転送→収益がアクセス事業と資本投資に還流する、一方通行でない循環。ARKO比較に「一方通行の韓国型」と「還流するNT型」を両極として置けば、Nexusの差別化が鮮明になる。</w:t>
      </w:r>
    </w:p>
    <w:p w14:paraId="611AC916" w14:textId="77777777" w:rsidR="00805A6B" w:rsidRPr="00B422BB" w:rsidRDefault="00000000">
      <w:pPr>
        <w:pStyle w:val="a4"/>
        <w:numPr>
          <w:ilvl w:val="0"/>
          <w:numId w:val="2"/>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設計の方向：還流は「事後徴収」ではなく「事前の権利確保と共同投資」で組むべき。英国の失敗論がこれを裏づける。非営利が転送権を契約で握って梃子にし、リターンを再投資にリングフェンスする——転生装置はこの形で組まれており、英国が事後ロイヤルティで躓いた轍を避けられる。一般社団法人の収益・子会社所得の論点も、この枠で整理すると通りやすい。</w:t>
      </w:r>
    </w:p>
    <w:p w14:paraId="5BA13F0F" w14:textId="77777777" w:rsidR="00805A6B" w:rsidRPr="00B422BB" w:rsidRDefault="00000000">
      <w:pPr>
        <w:pStyle w:val="a4"/>
        <w:numPr>
          <w:ilvl w:val="0"/>
          <w:numId w:val="2"/>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規律：還流を恒常財源の前提にしない。ハイトナーの「商業収入を長期ベースにするな」、SOLTの「成功は稀・失敗が常態・エンハンスメントは多くが失われる」は、モデルのリスク設定にそのまま効く警句。転生装置は上振れ装置として設計し、基礎運営は別途の公的・会費基盤で支える二層分離が生命線となる。</w:t>
      </w:r>
    </w:p>
    <w:p w14:paraId="53FD1C22" w14:textId="77777777" w:rsidR="00805A6B" w:rsidRPr="00B422BB" w:rsidRDefault="00000000">
      <w:pPr>
        <w:pStyle w:val="a4"/>
        <w:numPr>
          <w:ilvl w:val="0"/>
          <w:numId w:val="2"/>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帰属の優位：ACEが抱える「組織助成ゆえに特定ヒットへの帰属が困難」という弱点を、Nexusは特定のプロジェクト・パイプラインに紐づけて投資することで、帰属の明確さという設計上の優位に転化できる。</w:t>
      </w:r>
    </w:p>
    <w:p w14:paraId="302D1D98" w14:textId="77777777" w:rsidR="00805A6B" w:rsidRPr="00B422BB" w:rsidRDefault="00805A6B">
      <w:pPr>
        <w:spacing w:after="160" w:line="300" w:lineRule="auto"/>
        <w:rPr>
          <w:rFonts w:ascii="ＭＳ Ｐゴシック" w:eastAsia="ＭＳ Ｐゴシック" w:hAnsi="ＭＳ Ｐゴシック"/>
        </w:rPr>
      </w:pPr>
    </w:p>
    <w:p w14:paraId="4DD51082" w14:textId="77777777" w:rsidR="00805A6B" w:rsidRPr="00B422BB" w:rsidRDefault="00000000">
      <w:pPr>
        <w:pStyle w:val="1"/>
        <w:rPr>
          <w:rFonts w:ascii="ＭＳ Ｐゴシック" w:eastAsia="ＭＳ Ｐゴシック" w:hAnsi="ＭＳ Ｐゴシック"/>
          <w:color w:val="auto"/>
        </w:rPr>
      </w:pPr>
      <w:r w:rsidRPr="00B422BB">
        <w:rPr>
          <w:rFonts w:ascii="ＭＳ Ｐゴシック" w:eastAsia="ＭＳ Ｐゴシック" w:hAnsi="ＭＳ Ｐゴシック"/>
          <w:color w:val="auto"/>
        </w:rPr>
        <w:t>13. 主な出典</w:t>
      </w:r>
    </w:p>
    <w:p w14:paraId="01E71F3A" w14:textId="77777777" w:rsidR="00805A6B" w:rsidRPr="00B422BB" w:rsidRDefault="00000000">
      <w:pPr>
        <w:spacing w:after="120" w:line="300" w:lineRule="auto"/>
        <w:rPr>
          <w:rFonts w:ascii="ＭＳ Ｐゴシック" w:eastAsia="ＭＳ Ｐゴシック" w:hAnsi="ＭＳ Ｐゴシック"/>
        </w:rPr>
      </w:pPr>
      <w:r w:rsidRPr="00B422BB">
        <w:rPr>
          <w:rFonts w:ascii="ＭＳ Ｐゴシック" w:eastAsia="ＭＳ Ｐゴシック" w:hAnsi="ＭＳ Ｐゴシック"/>
        </w:rPr>
        <w:t>本資料は以下の公開情報に基づき整理した（主なもの）。</w:t>
      </w:r>
    </w:p>
    <w:p w14:paraId="1AA598F0" w14:textId="77777777" w:rsidR="00805A6B" w:rsidRPr="00B422BB" w:rsidRDefault="00000000">
      <w:pPr>
        <w:spacing w:after="60" w:line="300" w:lineRule="auto"/>
        <w:rPr>
          <w:rFonts w:ascii="ＭＳ Ｐゴシック" w:eastAsia="ＭＳ Ｐゴシック" w:hAnsi="ＭＳ Ｐゴシック"/>
        </w:rPr>
      </w:pPr>
      <w:r w:rsidRPr="00B422BB">
        <w:rPr>
          <w:rFonts w:ascii="ＭＳ Ｐゴシック" w:eastAsia="ＭＳ Ｐゴシック" w:hAnsi="ＭＳ Ｐゴシック"/>
          <w:b/>
          <w:bCs/>
          <w:sz w:val="19"/>
          <w:szCs w:val="19"/>
        </w:rPr>
        <w:t>第1部（創作プロセス）</w:t>
      </w:r>
    </w:p>
    <w:p w14:paraId="5DE8F0C0"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ナショナル・シアター 教育用リソース（脚色・演出・身体表現・再演・人物関係に関する各映像解説）</w:t>
      </w:r>
    </w:p>
    <w:p w14:paraId="4C68E41E"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NPR「The Unadaptable 'Curious Incident' Gets A Stage Adaptation」（2014年）</w:t>
      </w:r>
    </w:p>
    <w:p w14:paraId="6F044217"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Official London Theatre「From page to stage: Curious Incident」</w:t>
      </w:r>
    </w:p>
    <w:p w14:paraId="11685B7A"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Northern Soul／The Herald／Marlowe Theatre／Melbourne Theatre Company 各インタビュー</w:t>
      </w:r>
    </w:p>
    <w:p w14:paraId="6B8A192E"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Melbourne Theatre Company「Q&amp;A: Meet Curious Incident Director Marianne Elliott」</w:t>
      </w:r>
    </w:p>
    <w:p w14:paraId="2BF4ECF4"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proofErr w:type="spellStart"/>
      <w:r w:rsidRPr="00B422BB">
        <w:rPr>
          <w:rFonts w:ascii="ＭＳ Ｐゴシック" w:eastAsia="ＭＳ Ｐゴシック" w:hAnsi="ＭＳ Ｐゴシック"/>
        </w:rPr>
        <w:lastRenderedPageBreak/>
        <w:t>WhatsOnStage</w:t>
      </w:r>
      <w:proofErr w:type="spellEnd"/>
      <w:r w:rsidRPr="00B422BB">
        <w:rPr>
          <w:rFonts w:ascii="ＭＳ Ｐゴシック" w:eastAsia="ＭＳ Ｐゴシック" w:hAnsi="ＭＳ Ｐゴシック"/>
        </w:rPr>
        <w:t>／West End Theatre／London Theatre 各報道（アポロ閉鎖・ジールグッド移行・公演期間）</w:t>
      </w:r>
    </w:p>
    <w:p w14:paraId="6E330E0D"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Playbill／BBC News 各報道（天井崩落の経緯と原因）</w:t>
      </w:r>
    </w:p>
    <w:p w14:paraId="37AEF884"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Britannica／各種上演記録（初演・受賞・ブロードウェイ）</w:t>
      </w:r>
    </w:p>
    <w:p w14:paraId="4E80BA17" w14:textId="77777777" w:rsidR="00805A6B" w:rsidRPr="00B422BB" w:rsidRDefault="00000000">
      <w:pPr>
        <w:spacing w:after="60" w:line="300" w:lineRule="auto"/>
        <w:rPr>
          <w:rFonts w:ascii="ＭＳ Ｐゴシック" w:eastAsia="ＭＳ Ｐゴシック" w:hAnsi="ＭＳ Ｐゴシック"/>
        </w:rPr>
      </w:pPr>
      <w:r w:rsidRPr="00B422BB">
        <w:rPr>
          <w:rFonts w:ascii="ＭＳ Ｐゴシック" w:eastAsia="ＭＳ Ｐゴシック" w:hAnsi="ＭＳ Ｐゴシック"/>
          <w:b/>
          <w:bCs/>
          <w:sz w:val="19"/>
          <w:szCs w:val="19"/>
        </w:rPr>
        <w:t>第2部（製作モデルと費用対効果）</w:t>
      </w:r>
    </w:p>
    <w:p w14:paraId="3B6FF1E7"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BBC News／Variety／</w:t>
      </w:r>
      <w:proofErr w:type="spellStart"/>
      <w:r w:rsidRPr="00B422BB">
        <w:rPr>
          <w:rFonts w:ascii="ＭＳ Ｐゴシック" w:eastAsia="ＭＳ Ｐゴシック" w:hAnsi="ＭＳ Ｐゴシック"/>
        </w:rPr>
        <w:t>WhatsOnStage</w:t>
      </w:r>
      <w:proofErr w:type="spellEnd"/>
      <w:r w:rsidRPr="00B422BB">
        <w:rPr>
          <w:rFonts w:ascii="ＭＳ Ｐゴシック" w:eastAsia="ＭＳ Ｐゴシック" w:hAnsi="ＭＳ Ｐゴシック"/>
        </w:rPr>
        <w:t>／Official London Theatre 各報道（NTの年次収入・収入構成・商業転送）</w:t>
      </w:r>
    </w:p>
    <w:p w14:paraId="509FF3D3"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ニコラス・ハイトナー回想録『Balancing Acts』に関する書評（The Guardian ほか）</w:t>
      </w:r>
    </w:p>
    <w:p w14:paraId="2359B561"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英国議会 文化・メディア・スポーツ委員会 提出文書：SOLT &amp; UK Theatre「Arts Council England Review 会員フィードバック」（2026年4月、附属書A・Bを含む）</w:t>
      </w:r>
    </w:p>
    <w:p w14:paraId="439007E8"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Beale &amp; Co「Subsidy Control: Lessons from the National Theatre's £26 Million Grant」</w:t>
      </w:r>
    </w:p>
    <w:p w14:paraId="078C1591"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Arts Council England／CEBR「The Contribution of the Arts and Culture to the National Economy」、BBC News 報道</w:t>
      </w:r>
    </w:p>
    <w:p w14:paraId="24241DB1"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Arts Professional（補助芸術の経済・波及効果に関する研究）／House of Lords 委員会証言（補助の比率）</w:t>
      </w:r>
    </w:p>
    <w:p w14:paraId="1893C3C1"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proofErr w:type="spellStart"/>
      <w:r w:rsidRPr="00B422BB">
        <w:rPr>
          <w:rFonts w:ascii="ＭＳ Ｐゴシック" w:eastAsia="ＭＳ Ｐゴシック" w:hAnsi="ＭＳ Ｐゴシック"/>
        </w:rPr>
        <w:t>BroadwayWorld</w:t>
      </w:r>
      <w:proofErr w:type="spellEnd"/>
      <w:r w:rsidRPr="00B422BB">
        <w:rPr>
          <w:rFonts w:ascii="ＭＳ Ｐゴシック" w:eastAsia="ＭＳ Ｐゴシック" w:hAnsi="ＭＳ Ｐゴシック"/>
        </w:rPr>
        <w:t>「The Economics of a Broadway Transfer」、</w:t>
      </w:r>
      <w:proofErr w:type="spellStart"/>
      <w:r w:rsidRPr="00B422BB">
        <w:rPr>
          <w:rFonts w:ascii="ＭＳ Ｐゴシック" w:eastAsia="ＭＳ Ｐゴシック" w:hAnsi="ＭＳ Ｐゴシック"/>
        </w:rPr>
        <w:t>Sendroff</w:t>
      </w:r>
      <w:proofErr w:type="spellEnd"/>
      <w:r w:rsidRPr="00B422BB">
        <w:rPr>
          <w:rFonts w:ascii="ＭＳ Ｐゴシック" w:eastAsia="ＭＳ Ｐゴシック" w:hAnsi="ＭＳ Ｐゴシック"/>
        </w:rPr>
        <w:t xml:space="preserve"> &amp; Baruch（非営利と商業の権利構造）</w:t>
      </w:r>
    </w:p>
    <w:p w14:paraId="77C97C48" w14:textId="77777777" w:rsidR="00805A6B" w:rsidRPr="00B422BB" w:rsidRDefault="00000000">
      <w:pPr>
        <w:pStyle w:val="a4"/>
        <w:numPr>
          <w:ilvl w:val="0"/>
          <w:numId w:val="3"/>
        </w:numPr>
        <w:spacing w:after="60" w:line="290" w:lineRule="auto"/>
        <w:rPr>
          <w:rFonts w:ascii="ＭＳ Ｐゴシック" w:eastAsia="ＭＳ Ｐゴシック" w:hAnsi="ＭＳ Ｐゴシック"/>
        </w:rPr>
      </w:pPr>
      <w:r w:rsidRPr="00B422BB">
        <w:rPr>
          <w:rFonts w:ascii="ＭＳ Ｐゴシック" w:eastAsia="ＭＳ Ｐゴシック" w:hAnsi="ＭＳ Ｐゴシック"/>
        </w:rPr>
        <w:t>National Theatre「Scene Change」業界ビジネスモデル研究（2025年）</w:t>
      </w:r>
    </w:p>
    <w:p w14:paraId="07B1C6B4" w14:textId="77777777" w:rsidR="00805A6B" w:rsidRPr="00B422BB" w:rsidRDefault="00805A6B">
      <w:pPr>
        <w:spacing w:after="160" w:line="300" w:lineRule="auto"/>
        <w:rPr>
          <w:rFonts w:ascii="ＭＳ Ｐゴシック" w:eastAsia="ＭＳ Ｐゴシック" w:hAnsi="ＭＳ Ｐゴシック"/>
        </w:rPr>
      </w:pPr>
    </w:p>
    <w:p w14:paraId="4A20941F" w14:textId="77777777" w:rsidR="00805A6B" w:rsidRPr="00B422BB" w:rsidRDefault="00000000">
      <w:pPr>
        <w:spacing w:after="120" w:line="300" w:lineRule="auto"/>
        <w:rPr>
          <w:rFonts w:ascii="ＭＳ Ｐゴシック" w:eastAsia="ＭＳ Ｐゴシック" w:hAnsi="ＭＳ Ｐゴシック"/>
        </w:rPr>
      </w:pPr>
      <w:r w:rsidRPr="00B422BB">
        <w:rPr>
          <w:rFonts w:ascii="ＭＳ Ｐゴシック" w:eastAsia="ＭＳ Ｐゴシック" w:hAnsi="ＭＳ Ｐゴシック"/>
          <w:sz w:val="19"/>
          <w:szCs w:val="19"/>
        </w:rPr>
        <w:t>以上。事実関係は今後の一次情報（スティーヴンス本人・NT等）との照合により補強しうる。</w:t>
      </w:r>
    </w:p>
    <w:sectPr w:rsidR="00805A6B" w:rsidRPr="00B422B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ED2F9" w14:textId="77777777" w:rsidR="00394F2A" w:rsidRDefault="00394F2A">
      <w:r>
        <w:separator/>
      </w:r>
    </w:p>
  </w:endnote>
  <w:endnote w:type="continuationSeparator" w:id="0">
    <w:p w14:paraId="58A1A4DD" w14:textId="77777777" w:rsidR="00394F2A" w:rsidRDefault="00394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98C7E" w14:textId="77777777" w:rsidR="00805A6B"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B422B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27B4B" w14:textId="77777777" w:rsidR="00394F2A" w:rsidRDefault="00394F2A">
      <w:r>
        <w:separator/>
      </w:r>
    </w:p>
  </w:footnote>
  <w:footnote w:type="continuationSeparator" w:id="0">
    <w:p w14:paraId="711D9BC1" w14:textId="77777777" w:rsidR="00394F2A" w:rsidRDefault="00394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3F57" w14:textId="77777777" w:rsidR="00805A6B" w:rsidRDefault="00000000">
    <w:pPr>
      <w:jc w:val="right"/>
    </w:pPr>
    <w:r>
      <w:rPr>
        <w:color w:val="595959"/>
        <w:sz w:val="15"/>
        <w:szCs w:val="15"/>
      </w:rPr>
      <w:t>リサーチ資料｜Curious Incident 創作プロセス・製作モデル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5D1"/>
    <w:multiLevelType w:val="hybridMultilevel"/>
    <w:tmpl w:val="AE209320"/>
    <w:lvl w:ilvl="0" w:tplc="A926BF8C">
      <w:start w:val="1"/>
      <w:numFmt w:val="bullet"/>
      <w:lvlText w:val="–"/>
      <w:lvlJc w:val="left"/>
      <w:pPr>
        <w:ind w:left="560" w:hanging="280"/>
      </w:pPr>
    </w:lvl>
    <w:lvl w:ilvl="1" w:tplc="D548CBBE">
      <w:numFmt w:val="decimal"/>
      <w:lvlText w:val=""/>
      <w:lvlJc w:val="left"/>
    </w:lvl>
    <w:lvl w:ilvl="2" w:tplc="D18202E6">
      <w:numFmt w:val="decimal"/>
      <w:lvlText w:val=""/>
      <w:lvlJc w:val="left"/>
    </w:lvl>
    <w:lvl w:ilvl="3" w:tplc="A804450C">
      <w:numFmt w:val="decimal"/>
      <w:lvlText w:val=""/>
      <w:lvlJc w:val="left"/>
    </w:lvl>
    <w:lvl w:ilvl="4" w:tplc="621E8D6E">
      <w:numFmt w:val="decimal"/>
      <w:lvlText w:val=""/>
      <w:lvlJc w:val="left"/>
    </w:lvl>
    <w:lvl w:ilvl="5" w:tplc="42541AB6">
      <w:numFmt w:val="decimal"/>
      <w:lvlText w:val=""/>
      <w:lvlJc w:val="left"/>
    </w:lvl>
    <w:lvl w:ilvl="6" w:tplc="09545F70">
      <w:numFmt w:val="decimal"/>
      <w:lvlText w:val=""/>
      <w:lvlJc w:val="left"/>
    </w:lvl>
    <w:lvl w:ilvl="7" w:tplc="A120B018">
      <w:numFmt w:val="decimal"/>
      <w:lvlText w:val=""/>
      <w:lvlJc w:val="left"/>
    </w:lvl>
    <w:lvl w:ilvl="8" w:tplc="0E3A1AE0">
      <w:numFmt w:val="decimal"/>
      <w:lvlText w:val=""/>
      <w:lvlJc w:val="left"/>
    </w:lvl>
  </w:abstractNum>
  <w:abstractNum w:abstractNumId="1" w15:restartNumberingAfterBreak="0">
    <w:nsid w:val="550326D6"/>
    <w:multiLevelType w:val="hybridMultilevel"/>
    <w:tmpl w:val="2D06B85E"/>
    <w:lvl w:ilvl="0" w:tplc="62D85B4A">
      <w:start w:val="1"/>
      <w:numFmt w:val="bullet"/>
      <w:lvlText w:val="●"/>
      <w:lvlJc w:val="left"/>
      <w:pPr>
        <w:ind w:left="720" w:hanging="360"/>
      </w:pPr>
    </w:lvl>
    <w:lvl w:ilvl="1" w:tplc="AD18165E">
      <w:start w:val="1"/>
      <w:numFmt w:val="bullet"/>
      <w:lvlText w:val="○"/>
      <w:lvlJc w:val="left"/>
      <w:pPr>
        <w:ind w:left="1440" w:hanging="360"/>
      </w:pPr>
    </w:lvl>
    <w:lvl w:ilvl="2" w:tplc="814EECE8">
      <w:start w:val="1"/>
      <w:numFmt w:val="bullet"/>
      <w:lvlText w:val="■"/>
      <w:lvlJc w:val="left"/>
      <w:pPr>
        <w:ind w:left="2160" w:hanging="360"/>
      </w:pPr>
    </w:lvl>
    <w:lvl w:ilvl="3" w:tplc="13AACB1E">
      <w:start w:val="1"/>
      <w:numFmt w:val="bullet"/>
      <w:lvlText w:val="●"/>
      <w:lvlJc w:val="left"/>
      <w:pPr>
        <w:ind w:left="2880" w:hanging="360"/>
      </w:pPr>
    </w:lvl>
    <w:lvl w:ilvl="4" w:tplc="E18EAB1E">
      <w:start w:val="1"/>
      <w:numFmt w:val="bullet"/>
      <w:lvlText w:val="○"/>
      <w:lvlJc w:val="left"/>
      <w:pPr>
        <w:ind w:left="3600" w:hanging="360"/>
      </w:pPr>
    </w:lvl>
    <w:lvl w:ilvl="5" w:tplc="4CEE96F6">
      <w:start w:val="1"/>
      <w:numFmt w:val="bullet"/>
      <w:lvlText w:val="■"/>
      <w:lvlJc w:val="left"/>
      <w:pPr>
        <w:ind w:left="4320" w:hanging="360"/>
      </w:pPr>
    </w:lvl>
    <w:lvl w:ilvl="6" w:tplc="E4E47F92">
      <w:start w:val="1"/>
      <w:numFmt w:val="bullet"/>
      <w:lvlText w:val="●"/>
      <w:lvlJc w:val="left"/>
      <w:pPr>
        <w:ind w:left="5040" w:hanging="360"/>
      </w:pPr>
    </w:lvl>
    <w:lvl w:ilvl="7" w:tplc="9A788FFC">
      <w:start w:val="1"/>
      <w:numFmt w:val="bullet"/>
      <w:lvlText w:val="●"/>
      <w:lvlJc w:val="left"/>
      <w:pPr>
        <w:ind w:left="5760" w:hanging="360"/>
      </w:pPr>
    </w:lvl>
    <w:lvl w:ilvl="8" w:tplc="320A2538">
      <w:start w:val="1"/>
      <w:numFmt w:val="bullet"/>
      <w:lvlText w:val="●"/>
      <w:lvlJc w:val="left"/>
      <w:pPr>
        <w:ind w:left="6480" w:hanging="360"/>
      </w:pPr>
    </w:lvl>
  </w:abstractNum>
  <w:abstractNum w:abstractNumId="2" w15:restartNumberingAfterBreak="0">
    <w:nsid w:val="56C9153B"/>
    <w:multiLevelType w:val="hybridMultilevel"/>
    <w:tmpl w:val="712AB5C4"/>
    <w:lvl w:ilvl="0" w:tplc="B24483C6">
      <w:start w:val="1"/>
      <w:numFmt w:val="bullet"/>
      <w:lvlText w:val="•"/>
      <w:lvlJc w:val="left"/>
      <w:pPr>
        <w:ind w:left="560" w:hanging="280"/>
      </w:pPr>
    </w:lvl>
    <w:lvl w:ilvl="1" w:tplc="DF7E75D8">
      <w:numFmt w:val="decimal"/>
      <w:lvlText w:val=""/>
      <w:lvlJc w:val="left"/>
    </w:lvl>
    <w:lvl w:ilvl="2" w:tplc="59AEE86E">
      <w:numFmt w:val="decimal"/>
      <w:lvlText w:val=""/>
      <w:lvlJc w:val="left"/>
    </w:lvl>
    <w:lvl w:ilvl="3" w:tplc="57863B88">
      <w:numFmt w:val="decimal"/>
      <w:lvlText w:val=""/>
      <w:lvlJc w:val="left"/>
    </w:lvl>
    <w:lvl w:ilvl="4" w:tplc="47E2FB66">
      <w:numFmt w:val="decimal"/>
      <w:lvlText w:val=""/>
      <w:lvlJc w:val="left"/>
    </w:lvl>
    <w:lvl w:ilvl="5" w:tplc="0C1C07F4">
      <w:numFmt w:val="decimal"/>
      <w:lvlText w:val=""/>
      <w:lvlJc w:val="left"/>
    </w:lvl>
    <w:lvl w:ilvl="6" w:tplc="7018C286">
      <w:numFmt w:val="decimal"/>
      <w:lvlText w:val=""/>
      <w:lvlJc w:val="left"/>
    </w:lvl>
    <w:lvl w:ilvl="7" w:tplc="35C89D6E">
      <w:numFmt w:val="decimal"/>
      <w:lvlText w:val=""/>
      <w:lvlJc w:val="left"/>
    </w:lvl>
    <w:lvl w:ilvl="8" w:tplc="278C95C8">
      <w:numFmt w:val="decimal"/>
      <w:lvlText w:val=""/>
      <w:lvlJc w:val="left"/>
    </w:lvl>
  </w:abstractNum>
  <w:num w:numId="1" w16cid:durableId="265162587">
    <w:abstractNumId w:val="1"/>
    <w:lvlOverride w:ilvl="0">
      <w:startOverride w:val="1"/>
    </w:lvlOverride>
  </w:num>
  <w:num w:numId="2" w16cid:durableId="1521580588">
    <w:abstractNumId w:val="2"/>
    <w:lvlOverride w:ilvl="0">
      <w:startOverride w:val="1"/>
    </w:lvlOverride>
  </w:num>
  <w:num w:numId="3" w16cid:durableId="1045522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6B"/>
    <w:rsid w:val="00394F2A"/>
    <w:rsid w:val="00805A6B"/>
    <w:rsid w:val="00B422BB"/>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616167B"/>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unhideWhenUsed/>
    <w:qFormat/>
    <w:pPr>
      <w:spacing w:before="200" w:after="100"/>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4203</Words>
  <Characters>4667</Characters>
  <Application>Microsoft Office Word</Application>
  <DocSecurity>0</DocSecurity>
  <Lines>145</Lines>
  <Paragraphs>108</Paragraphs>
  <ScaleCrop>false</ScaleCrop>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2026-06-16T11:04:00Z</dcterms:created>
  <dcterms:modified xsi:type="dcterms:W3CDTF">2026-06-30T05:34:00Z</dcterms:modified>
</cp:coreProperties>
</file>