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5D292" w14:textId="77777777" w:rsidR="00224D64" w:rsidRPr="009950F0" w:rsidRDefault="00000000">
      <w:pPr>
        <w:spacing w:before="1300" w:after="80"/>
        <w:jc w:val="center"/>
        <w:rPr>
          <w:rFonts w:ascii="ＭＳ Ｐゴシック" w:eastAsia="ＭＳ Ｐゴシック" w:hAnsi="ＭＳ Ｐゴシック"/>
        </w:rPr>
      </w:pPr>
      <w:r w:rsidRPr="009950F0">
        <w:rPr>
          <w:rFonts w:ascii="ＭＳ Ｐゴシック" w:eastAsia="ＭＳ Ｐゴシック" w:hAnsi="ＭＳ Ｐゴシック"/>
          <w:b/>
          <w:bCs/>
          <w:sz w:val="28"/>
          <w:szCs w:val="28"/>
        </w:rPr>
        <w:t>リサーチ資料</w:t>
      </w:r>
    </w:p>
    <w:p w14:paraId="6DCC08B2" w14:textId="77777777" w:rsidR="00224D64" w:rsidRPr="009950F0" w:rsidRDefault="00000000">
      <w:pPr>
        <w:spacing w:after="60"/>
        <w:jc w:val="center"/>
        <w:rPr>
          <w:rFonts w:ascii="ＭＳ Ｐゴシック" w:eastAsia="ＭＳ Ｐゴシック" w:hAnsi="ＭＳ Ｐゴシック"/>
        </w:rPr>
      </w:pPr>
      <w:r w:rsidRPr="009950F0">
        <w:rPr>
          <w:rFonts w:ascii="ＭＳ Ｐゴシック" w:eastAsia="ＭＳ Ｐゴシック" w:hAnsi="ＭＳ Ｐゴシック"/>
          <w:b/>
          <w:bCs/>
          <w:sz w:val="24"/>
          <w:szCs w:val="24"/>
        </w:rPr>
        <w:t>『WAR HORSE／戦火の馬』</w:t>
      </w:r>
    </w:p>
    <w:p w14:paraId="477696D0" w14:textId="77777777" w:rsidR="00224D64" w:rsidRPr="009950F0" w:rsidRDefault="00000000">
      <w:pPr>
        <w:pBdr>
          <w:bottom w:val="single" w:sz="6" w:space="8" w:color="8A6D3B"/>
        </w:pBdr>
        <w:spacing w:after="60"/>
        <w:jc w:val="center"/>
        <w:rPr>
          <w:rFonts w:ascii="ＭＳ Ｐゴシック" w:eastAsia="ＭＳ Ｐゴシック" w:hAnsi="ＭＳ Ｐゴシック"/>
        </w:rPr>
      </w:pPr>
      <w:r w:rsidRPr="009950F0">
        <w:rPr>
          <w:rFonts w:ascii="ＭＳ Ｐゴシック" w:eastAsia="ＭＳ Ｐゴシック" w:hAnsi="ＭＳ Ｐゴシック"/>
          <w:sz w:val="19"/>
          <w:szCs w:val="19"/>
        </w:rPr>
        <w:t>創作プロセスとロングランの軌跡 ― ナショナル・シアターから世界へ</w:t>
      </w:r>
    </w:p>
    <w:p w14:paraId="2B849709" w14:textId="450E43DA" w:rsidR="00224D64" w:rsidRPr="009950F0" w:rsidRDefault="00224D64">
      <w:pPr>
        <w:spacing w:before="700"/>
        <w:jc w:val="center"/>
        <w:rPr>
          <w:rFonts w:ascii="ＭＳ Ｐゴシック" w:eastAsia="ＭＳ Ｐゴシック" w:hAnsi="ＭＳ Ｐゴシック" w:hint="eastAsia"/>
        </w:rPr>
      </w:pPr>
    </w:p>
    <w:p w14:paraId="18A2F636" w14:textId="77777777" w:rsidR="00224D64" w:rsidRPr="009950F0" w:rsidRDefault="00000000">
      <w:pPr>
        <w:spacing w:after="40"/>
        <w:jc w:val="center"/>
        <w:rPr>
          <w:rFonts w:ascii="ＭＳ Ｐゴシック" w:eastAsia="ＭＳ Ｐゴシック" w:hAnsi="ＭＳ Ｐゴシック"/>
        </w:rPr>
      </w:pPr>
      <w:r w:rsidRPr="009950F0">
        <w:rPr>
          <w:rFonts w:ascii="ＭＳ Ｐゴシック" w:eastAsia="ＭＳ Ｐゴシック" w:hAnsi="ＭＳ Ｐゴシック"/>
          <w:sz w:val="19"/>
          <w:szCs w:val="19"/>
        </w:rPr>
        <w:t>2026年6月</w:t>
      </w:r>
    </w:p>
    <w:p w14:paraId="3ECC2319" w14:textId="77777777" w:rsidR="00224D64" w:rsidRPr="009950F0" w:rsidRDefault="00000000">
      <w:pPr>
        <w:rPr>
          <w:rFonts w:ascii="ＭＳ Ｐゴシック" w:eastAsia="ＭＳ Ｐゴシック" w:hAnsi="ＭＳ Ｐゴシック"/>
        </w:rPr>
      </w:pPr>
      <w:r w:rsidRPr="009950F0">
        <w:rPr>
          <w:rFonts w:ascii="ＭＳ Ｐゴシック" w:eastAsia="ＭＳ Ｐゴシック" w:hAnsi="ＭＳ Ｐゴシック"/>
        </w:rPr>
        <w:br w:type="page"/>
      </w:r>
    </w:p>
    <w:p w14:paraId="386B59BD" w14:textId="77777777" w:rsidR="00224D64" w:rsidRPr="009950F0" w:rsidRDefault="00000000">
      <w:pPr>
        <w:spacing w:after="240" w:line="300" w:lineRule="auto"/>
        <w:rPr>
          <w:rFonts w:ascii="ＭＳ Ｐゴシック" w:eastAsia="ＭＳ Ｐゴシック" w:hAnsi="ＭＳ Ｐゴシック"/>
        </w:rPr>
      </w:pPr>
      <w:r w:rsidRPr="009950F0">
        <w:rPr>
          <w:rFonts w:ascii="ＭＳ Ｐゴシック" w:eastAsia="ＭＳ Ｐゴシック" w:hAnsi="ＭＳ Ｐゴシック"/>
          <w:sz w:val="19"/>
          <w:szCs w:val="19"/>
        </w:rPr>
        <w:lastRenderedPageBreak/>
        <w:t>本資料は、ナショナル・シアター（NT）の商業転送モデルの旗艦であり、前回整理した『キュリアス・インシデント』と対をなす開発事例として、『戦火の馬』の創作プロセスとロングランへの軌跡を公開情報に基づき整理したものである。『キュリアス・インシデント』が「テキスト主導」の開発だったのに対し、本作は「デザイン・人形主導の長期R&amp;D」という、同じ劇場が持つもう一つの開発原型を示す。文化資本循環モデル・還流機構（転生装置）の検討に資することを意図する。事実関係は巻末の主な出典に基づく。</w:t>
      </w:r>
    </w:p>
    <w:p w14:paraId="095E7178"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1. 発端 ― 「人形劇の乗り物」を探していたNT</w:t>
      </w:r>
    </w:p>
    <w:p w14:paraId="0733B8DA"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企画は、作品ありきではなく「方法ありき」で始まった点が際立つ。2007年、NTの芸術的リーダーたちは型破りなホリデー・シーズン向けの演目を探しており、アソシエイト・ディレクターのトム・モリスが、南アフリカのハンドスプリング・パペット・カンパニーを起用する「乗り物（vehicle）」を見つける役を担った。</w:t>
      </w:r>
    </w:p>
    <w:p w14:paraId="664735C5"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モリスは、ハンドスプリングが手がけたキリンの人形劇『トール・ホース』（2004年、ケープタウン）を観て同社に着目していた。エグゼクティブ・ディレクターのニック・スターもこの公演を観に訪れている。そして母親の示唆を受けて、モリスはマイケル・モーパーゴの小説『戦火の馬』の舞台化をハンドスプリングに持ちかけた。</w:t>
      </w:r>
    </w:p>
    <w:p w14:paraId="54E6B7B5"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原作者モーパーゴは当初懸念を抱いていたが、ハンドスプリングが馬を舞台の中心に据える――パントマイム馬や冗談ではなく、生きものとして立ち上げる――と理解した時点で、その懸念は速やかに解けた。馬を主役に置くという一点が、企画全体の方向を決めた。</w:t>
      </w:r>
    </w:p>
    <w:p w14:paraId="32227F3C"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2. ハンドスプリングと「息」の原理</w:t>
      </w:r>
    </w:p>
    <w:p w14:paraId="7077EA86"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ハンドスプリングは1981年にケープタウンでバジル・ジョーンズとエイドリアン・コーラーが設立した人形劇団である。本作の生命線は、彼らが造形した「息をし、駆け、いななく馬」――鋼鉄・革・航空機用ケーブルで組まれた、人が乗れる強度と、耳や尾のリアルな動きを伝える精緻さを両立させた人形だった。</w:t>
      </w:r>
    </w:p>
    <w:p w14:paraId="436D0CB1"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造形思想の核心は「息」にある。バジル・ジョーンズは、舞台上の人形にとって息こそが最も原初的な動きだと述べている。主役のジョーイは三人の操演者――「頭（Head）」「心臓（Heart）」「後肢（Hind）」――によって動かされ、日本の文楽に通じる「見せる」スタイルで、操演者は観客から見えながらも馬に注意を集中させる。息・音・動きを三人で一体化させ、継ぎ目を消すことが、観客に「内面を持つ動物」を信じさせる技術的な達成点となった。</w:t>
      </w:r>
    </w:p>
    <w:p w14:paraId="498CBF70"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3. NTスタジオでの開発 ― 2年の探索</w:t>
      </w:r>
    </w:p>
    <w:p w14:paraId="3798FD0F"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開発はNTスタジオでのワークショップから始まった。モリスの回想によれば、最初は作家・いくつかの物語の断片・数名の俳優・段ボールの切れ端を持って、一週間スタジオにこもった。そこから2年に及ぶ開発期間を経て作品は立ち上がっていく。</w:t>
      </w:r>
    </w:p>
    <w:p w14:paraId="03310C55"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人形の造形と検証には時間がかかり、本作は当初割り当てられていたオリヴィエ劇場の上演枠に間に合わなかった。代わりにモリスの別企画『コーラム・ボーイ』がその枠に前倒しで投入され、これが二季にわたる成功を収めたことで、結果として『戦火の馬』は必要な人形の製作に充てる時間を得た。性急に出さず、方法の完成を待った――この「待てる開発環境」こそ、補助を受けた公共劇場ならでは</w:t>
      </w:r>
      <w:proofErr w:type="gramStart"/>
      <w:r w:rsidRPr="009950F0">
        <w:rPr>
          <w:rFonts w:ascii="ＭＳ Ｐゴシック" w:eastAsia="ＭＳ Ｐゴシック" w:hAnsi="ＭＳ Ｐゴシック"/>
        </w:rPr>
        <w:t>の</w:t>
      </w:r>
      <w:proofErr w:type="gramEnd"/>
      <w:r w:rsidRPr="009950F0">
        <w:rPr>
          <w:rFonts w:ascii="ＭＳ Ｐゴシック" w:eastAsia="ＭＳ Ｐゴシック" w:hAnsi="ＭＳ Ｐゴシック"/>
        </w:rPr>
        <w:t>条件だった。</w:t>
      </w:r>
    </w:p>
    <w:p w14:paraId="0BB2D13A"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lastRenderedPageBreak/>
        <w:t>4. 総合芸術としての座組</w:t>
      </w:r>
    </w:p>
    <w:p w14:paraId="66116853"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本作は、突出した一要素ではなく、全クラフトが渾然一体となって成立した作品である。脚色はニック・スタッフォード、演出はマリアン・エリオットとトム・モリスの共同。エリオットは後に『キュリアス・インシデント』も演出することになり、両作はこの劇場の開発文化を共有している。</w:t>
      </w:r>
    </w:p>
    <w:p w14:paraId="44DC2936" w14:textId="77777777" w:rsidR="00224D64" w:rsidRPr="009950F0" w:rsidRDefault="00000000">
      <w:pPr>
        <w:pStyle w:val="2"/>
        <w:rPr>
          <w:rFonts w:ascii="ＭＳ Ｐゴシック" w:eastAsia="ＭＳ Ｐゴシック" w:hAnsi="ＭＳ Ｐゴシック"/>
          <w:color w:val="auto"/>
        </w:rPr>
      </w:pPr>
      <w:r w:rsidRPr="009950F0">
        <w:rPr>
          <w:rFonts w:ascii="ＭＳ Ｐゴシック" w:eastAsia="ＭＳ Ｐゴシック" w:hAnsi="ＭＳ Ｐゴシック"/>
          <w:color w:val="auto"/>
        </w:rPr>
        <w:t>デザインと音楽 ― 「何もない」舞台の賭け</w:t>
      </w:r>
    </w:p>
    <w:p w14:paraId="4D25CAD8"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美術・ドローイングのレイ・スミスは、ほぼ何もない舞台の上空に「破られたスケッチブックの紙片」のような帯を吊し、そこへ59プロダクションズによる木炭画のアニメーション（雲・日付・前線地図の線）を投影した。これが数百トンの大道具に相当する仕事を、最小限の手段で果たした。むき出しのオリヴィエの舞台は俳優に隠れる場所を与えず、その露出ゆえに演技の真実味が要求された――これがスミスのデザインの賭けであり、勝因でもあった。</w:t>
      </w:r>
    </w:p>
    <w:p w14:paraId="3DE38C39"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動きと馬の振付はトビー・セジウィック、音楽はエイドリアン・サットンの劇伴に、ジョン・タムズが「ソングメイカー」として生のフォーク・ソングを重ねた。照明はポール・コンスタブル、音響はクリストファー・シャット。人形・デザイン・映像・振付・音楽・音響のすべてが、長い準備の中で相互に噛み合うように作り込まれた。</w:t>
      </w:r>
    </w:p>
    <w:p w14:paraId="5D8732AF"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5. 初演からロングランへ</w:t>
      </w:r>
    </w:p>
    <w:p w14:paraId="26B04475"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世界初演は2007年10月9日、NTのオリヴィエ劇場。出発点が「型破りなホリデー演目」だったとおり、これほどの長寿を予期した者はいなかった。後にNT芸術監督ルーファス・ノリスは、これほど長く続くとは誰も予想しなかったと述べている。</w:t>
      </w:r>
    </w:p>
    <w:p w14:paraId="533F1106"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好評につき2008年に南岸で再演され、2009年3月にウエストエンドのニュー・ロンドン劇場へ移行。2011年にはブロードウェイ（リンカーン・センター）で開幕し、トロント、ベルリン、メルボルン、北京・上海（中国語版）など各地へと広がった。ウエストエンド公演は2016年3月12日に8年の上演を終え、その時点で3,000回超の公演・ロンドンだけで270万人超を動員していた。</w:t>
      </w:r>
    </w:p>
    <w:p w14:paraId="357CE8D3"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受賞も突出している。2008年オリヴィエ賞（美術・振付）、2011年ブロードウェイで5つのトニー賞（最優秀作品賞・演出賞・美術賞・照明賞・音響賞）に加え、ハンドスプリングへの特別トニー賞。世界では97都市・10〜14か国で上演され、累計観客は830万人超に達した。2011年にはスティーヴン・スピルバーグによる映画版（アカデミー賞ノミネート）も公開された。NTの史上最も成功した戯曲である。</w:t>
      </w:r>
    </w:p>
    <w:p w14:paraId="13FCB1BC"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6. 興行と還流 ― NT商業モデルの旗艦</w:t>
      </w:r>
    </w:p>
    <w:p w14:paraId="603B2CEC"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本作は、前回整理したNTの交差補助（cross-subsidy）モデルを牽引した中心的存在である。ウエストエンド公演は2010-11年度だけで1,390万ポンドの興行収入を上げ、同年度のNTは記録的な7,060万ポンドの総収入（うち興行48%）と38.7万ポンドの黒字を計上した。</w:t>
      </w:r>
    </w:p>
    <w:p w14:paraId="59373957"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ブロードウェイは開幕後4か月で24万枚超を販売し、週あたり約100万ドルを満席で売り上げた。トロント公演は2012年の開幕前に約300万カナダドルの前売りを確保。ニュー・ロンドン劇場では平均97〜99%という驚異的な稼働を続けた。これらの収益が、本拠地の運営とNT Future（南岸再開発の資本投資）を支えた。</w:t>
      </w:r>
    </w:p>
    <w:p w14:paraId="369FB61E"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lastRenderedPageBreak/>
        <w:t>製作主体の設計も示唆的である。ウエストエンド版はNTと「ナショナル・エンジェルズ（National Angels）」――NTの商業製作の受け皿――によって製作され、企業スポンサー（アクセンチュア）が革新を支援した。すなわち非営利の公共劇場が、商業の上振れを捕捉し本体へ還流させるための「営利の腕」を自ら持っていた。スピルバーグ映画にもNTは小さな出資持分を有していた。</w:t>
      </w:r>
    </w:p>
    <w:p w14:paraId="281A6BE0" w14:textId="77777777" w:rsidR="00224D64" w:rsidRPr="009950F0" w:rsidRDefault="00000000" w:rsidP="009950F0">
      <w:pPr>
        <w:spacing w:after="120" w:line="300" w:lineRule="auto"/>
        <w:ind w:firstLineChars="50" w:firstLine="105"/>
        <w:rPr>
          <w:rFonts w:ascii="ＭＳ Ｐゴシック" w:eastAsia="ＭＳ Ｐゴシック" w:hAnsi="ＭＳ Ｐゴシック"/>
        </w:rPr>
      </w:pPr>
      <w:r w:rsidRPr="009950F0">
        <w:rPr>
          <w:rFonts w:ascii="ＭＳ Ｐゴシック" w:eastAsia="ＭＳ Ｐゴシック" w:hAnsi="ＭＳ Ｐゴシック"/>
        </w:rPr>
        <w:t>閉幕の論理もまた、この劇場の使命を映している。ノリスは、キャストを入れ替えて延命させることもできたが、NTの補助金は「ここで作品を作り、全国の観客に届けるためのもの」だと述べ、惰性での延命を選ばなかった。商業的成功を、本来の使命（創作と全国アクセス）に還す――還流の思想が、終わらせ方にまで貫かれていた。</w:t>
      </w:r>
    </w:p>
    <w:p w14:paraId="18A93516"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7. 文化資本循環モデルへの示唆</w:t>
      </w:r>
    </w:p>
    <w:p w14:paraId="2E665620" w14:textId="77777777" w:rsidR="00224D64" w:rsidRPr="009950F0" w:rsidRDefault="00000000">
      <w:pPr>
        <w:pStyle w:val="a4"/>
        <w:numPr>
          <w:ilvl w:val="0"/>
          <w:numId w:val="2"/>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二つの開発原型：『キュリアス・インシデント』が「テキスト主導」なら、『戦火の馬』は「デザイン・人形主導の長期R&amp;D」。同じNTスタジオが、性質の異なる二つの開発を抱え得たことが重要。Nexusの設計でも、上流の開発を単一の型に絞らず、テキスト型とR&amp;D型の両輪を許容する余地を持たせるべき。</w:t>
      </w:r>
    </w:p>
    <w:p w14:paraId="2702C7E4" w14:textId="77777777" w:rsidR="00224D64" w:rsidRPr="009950F0" w:rsidRDefault="00000000">
      <w:pPr>
        <w:pStyle w:val="a4"/>
        <w:numPr>
          <w:ilvl w:val="0"/>
          <w:numId w:val="2"/>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待てる開発』の価値：オリヴィエ枠を諦め『コーラム・ボーイ』に譲ってまで人形の完成を待った事実は、補助環境だからこそ可能な長期R&amp;Dの典型。Nexusの上流パイプラインが提供すべきは、まさにこの「性急に出さない時間」である。</w:t>
      </w:r>
    </w:p>
    <w:p w14:paraId="30BB4D7F" w14:textId="77777777" w:rsidR="00224D64" w:rsidRPr="009950F0" w:rsidRDefault="00000000">
      <w:pPr>
        <w:pStyle w:val="a4"/>
        <w:numPr>
          <w:ilvl w:val="0"/>
          <w:numId w:val="2"/>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還流の制度装置＝ナショナル・エンジェルズ：非営利が商業の上振れを捕捉する「営利の腕」を自ら持つ構造は、転生装置（特にPhase 2ロイヤルティ型・Phase 3エクイティ型）と一般社団法人の収益・子会社所得の論点に直接対応する具体モデル。福井先生との確認の際の参照事例になる。</w:t>
      </w:r>
    </w:p>
    <w:p w14:paraId="1C98C88C" w14:textId="77777777" w:rsidR="00224D64" w:rsidRPr="009950F0" w:rsidRDefault="00000000">
      <w:pPr>
        <w:pStyle w:val="a4"/>
        <w:numPr>
          <w:ilvl w:val="0"/>
          <w:numId w:val="2"/>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上振れ装置としての規律：「これほど続くとは誰も予想しなかった」というノリスの言葉は、ヒットの予測不能性そのもの。『戦火の馬』級の還流は再現を前提にできない。基礎運営と切り離し、上振れ装置として設計する二層分離の原則を改めて裏づける。</w:t>
      </w:r>
    </w:p>
    <w:p w14:paraId="2C525A4F" w14:textId="77777777" w:rsidR="00224D64" w:rsidRPr="009950F0" w:rsidRDefault="00000000">
      <w:pPr>
        <w:pStyle w:val="a4"/>
        <w:numPr>
          <w:ilvl w:val="0"/>
          <w:numId w:val="2"/>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循環する『資産』としての人形：ジョーイの人形はV&amp;A博物館に収蔵され、世界各地で再生産・巡演された耐久資産でもある。創作を「巡る資産」として設計する発想は、ライセンス・ハブ／還流機構の構想と通じる。</w:t>
      </w:r>
    </w:p>
    <w:p w14:paraId="6E5F4C0F" w14:textId="77777777" w:rsidR="00224D64" w:rsidRPr="009950F0" w:rsidRDefault="00224D64">
      <w:pPr>
        <w:spacing w:after="160" w:line="300" w:lineRule="auto"/>
        <w:rPr>
          <w:rFonts w:ascii="ＭＳ Ｐゴシック" w:eastAsia="ＭＳ Ｐゴシック" w:hAnsi="ＭＳ Ｐゴシック"/>
        </w:rPr>
      </w:pPr>
    </w:p>
    <w:p w14:paraId="58F5C09A" w14:textId="77777777" w:rsidR="00224D64" w:rsidRPr="009950F0" w:rsidRDefault="00000000">
      <w:pPr>
        <w:pStyle w:val="1"/>
        <w:rPr>
          <w:rFonts w:ascii="ＭＳ Ｐゴシック" w:eastAsia="ＭＳ Ｐゴシック" w:hAnsi="ＭＳ Ｐゴシック"/>
          <w:color w:val="auto"/>
        </w:rPr>
      </w:pPr>
      <w:r w:rsidRPr="009950F0">
        <w:rPr>
          <w:rFonts w:ascii="ＭＳ Ｐゴシック" w:eastAsia="ＭＳ Ｐゴシック" w:hAnsi="ＭＳ Ｐゴシック"/>
          <w:color w:val="auto"/>
        </w:rPr>
        <w:t>8. 主な出典</w:t>
      </w:r>
    </w:p>
    <w:p w14:paraId="66EAB606" w14:textId="77777777" w:rsidR="00224D64" w:rsidRPr="009950F0" w:rsidRDefault="00000000">
      <w:pPr>
        <w:spacing w:after="120" w:line="300" w:lineRule="auto"/>
        <w:rPr>
          <w:rFonts w:ascii="ＭＳ Ｐゴシック" w:eastAsia="ＭＳ Ｐゴシック" w:hAnsi="ＭＳ Ｐゴシック"/>
        </w:rPr>
      </w:pPr>
      <w:r w:rsidRPr="009950F0">
        <w:rPr>
          <w:rFonts w:ascii="ＭＳ Ｐゴシック" w:eastAsia="ＭＳ Ｐゴシック" w:hAnsi="ＭＳ Ｐゴシック"/>
        </w:rPr>
        <w:t>本資料は以下の公開情報に基づき整理した（主なもの）。</w:t>
      </w:r>
    </w:p>
    <w:p w14:paraId="5555FB77"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ナショナル・シアター 教育用リソース／公演ページ（座組・上演史・創作過程）</w:t>
      </w:r>
    </w:p>
    <w:p w14:paraId="5E9CE4A9"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Ingenia「Engineering Movement」（エイドリアン・コーラーによる人形工学の解説）</w:t>
      </w:r>
    </w:p>
    <w:p w14:paraId="43FD1ED5"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FEI「War Horse: Behind the Scenes」、Isthmus（トム・モリスのインタビュー、開発経緯）</w:t>
      </w:r>
    </w:p>
    <w:p w14:paraId="60949962"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V&amp;A コレクション（ジョーイ人形、三人操演・文楽様式の解説）</w:t>
      </w:r>
    </w:p>
    <w:p w14:paraId="3FCD33CC"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BBC News（NTの年次収入・興行・閉幕、ノリス／ハイトナーの発言、映画出資）</w:t>
      </w:r>
    </w:p>
    <w:p w14:paraId="3E48E1DD"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Variety「National rides high on horse」、Official London Theatre（収入構成・稼働率・記録的収入）</w:t>
      </w:r>
    </w:p>
    <w:p w14:paraId="0D0DC370"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t>Playbill（ウエストエンド8年の上演・公演回数・動員、座組）</w:t>
      </w:r>
    </w:p>
    <w:p w14:paraId="640F6598" w14:textId="77777777" w:rsidR="00224D64" w:rsidRPr="009950F0" w:rsidRDefault="00000000">
      <w:pPr>
        <w:pStyle w:val="a4"/>
        <w:numPr>
          <w:ilvl w:val="0"/>
          <w:numId w:val="3"/>
        </w:numPr>
        <w:spacing w:after="60" w:line="290" w:lineRule="auto"/>
        <w:rPr>
          <w:rFonts w:ascii="ＭＳ Ｐゴシック" w:eastAsia="ＭＳ Ｐゴシック" w:hAnsi="ＭＳ Ｐゴシック"/>
        </w:rPr>
      </w:pPr>
      <w:r w:rsidRPr="009950F0">
        <w:rPr>
          <w:rFonts w:ascii="ＭＳ Ｐゴシック" w:eastAsia="ＭＳ Ｐゴシック" w:hAnsi="ＭＳ Ｐゴシック"/>
        </w:rPr>
        <w:lastRenderedPageBreak/>
        <w:t>West End Theatre／Wikipedia ほか（受賞・上演史・国際展開）</w:t>
      </w:r>
    </w:p>
    <w:p w14:paraId="3DB9641E" w14:textId="77777777" w:rsidR="00224D64" w:rsidRPr="009950F0" w:rsidRDefault="00224D64">
      <w:pPr>
        <w:spacing w:after="160" w:line="300" w:lineRule="auto"/>
        <w:rPr>
          <w:rFonts w:ascii="ＭＳ Ｐゴシック" w:eastAsia="ＭＳ Ｐゴシック" w:hAnsi="ＭＳ Ｐゴシック"/>
        </w:rPr>
      </w:pPr>
    </w:p>
    <w:p w14:paraId="0C429BF5" w14:textId="77777777" w:rsidR="00224D64" w:rsidRPr="009950F0" w:rsidRDefault="00000000">
      <w:pPr>
        <w:spacing w:after="120" w:line="300" w:lineRule="auto"/>
        <w:rPr>
          <w:rFonts w:ascii="ＭＳ Ｐゴシック" w:eastAsia="ＭＳ Ｐゴシック" w:hAnsi="ＭＳ Ｐゴシック"/>
        </w:rPr>
      </w:pPr>
      <w:r w:rsidRPr="009950F0">
        <w:rPr>
          <w:rFonts w:ascii="ＭＳ Ｐゴシック" w:eastAsia="ＭＳ Ｐゴシック" w:hAnsi="ＭＳ Ｐゴシック"/>
          <w:sz w:val="19"/>
          <w:szCs w:val="19"/>
        </w:rPr>
        <w:t>以上。事実関係は今後の一次情報（NT・ハンドスプリング等）との照合により補強しうる。</w:t>
      </w:r>
    </w:p>
    <w:sectPr w:rsidR="00224D64" w:rsidRPr="009950F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9A7D4" w14:textId="77777777" w:rsidR="0076201A" w:rsidRDefault="0076201A">
      <w:r>
        <w:separator/>
      </w:r>
    </w:p>
  </w:endnote>
  <w:endnote w:type="continuationSeparator" w:id="0">
    <w:p w14:paraId="3A5F54C7" w14:textId="77777777" w:rsidR="0076201A" w:rsidRDefault="00762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D2C8" w14:textId="77777777" w:rsidR="00224D64"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9950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91246" w14:textId="77777777" w:rsidR="0076201A" w:rsidRDefault="0076201A">
      <w:r>
        <w:separator/>
      </w:r>
    </w:p>
  </w:footnote>
  <w:footnote w:type="continuationSeparator" w:id="0">
    <w:p w14:paraId="1C08BA1E" w14:textId="77777777" w:rsidR="0076201A" w:rsidRDefault="007620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D56E7" w14:textId="77777777" w:rsidR="00224D64" w:rsidRDefault="00000000">
    <w:pPr>
      <w:jc w:val="right"/>
    </w:pPr>
    <w:r>
      <w:rPr>
        <w:color w:val="595959"/>
        <w:sz w:val="15"/>
        <w:szCs w:val="15"/>
      </w:rPr>
      <w:t>リサーチ資料｜War Horse 創作プロセスとロングラン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17164"/>
    <w:multiLevelType w:val="hybridMultilevel"/>
    <w:tmpl w:val="C4E05438"/>
    <w:lvl w:ilvl="0" w:tplc="5FF487C2">
      <w:start w:val="1"/>
      <w:numFmt w:val="bullet"/>
      <w:lvlText w:val="–"/>
      <w:lvlJc w:val="left"/>
      <w:pPr>
        <w:ind w:left="560" w:hanging="280"/>
      </w:pPr>
    </w:lvl>
    <w:lvl w:ilvl="1" w:tplc="834C5DDC">
      <w:numFmt w:val="decimal"/>
      <w:lvlText w:val=""/>
      <w:lvlJc w:val="left"/>
    </w:lvl>
    <w:lvl w:ilvl="2" w:tplc="37AE6192">
      <w:numFmt w:val="decimal"/>
      <w:lvlText w:val=""/>
      <w:lvlJc w:val="left"/>
    </w:lvl>
    <w:lvl w:ilvl="3" w:tplc="A044FD8A">
      <w:numFmt w:val="decimal"/>
      <w:lvlText w:val=""/>
      <w:lvlJc w:val="left"/>
    </w:lvl>
    <w:lvl w:ilvl="4" w:tplc="643E1128">
      <w:numFmt w:val="decimal"/>
      <w:lvlText w:val=""/>
      <w:lvlJc w:val="left"/>
    </w:lvl>
    <w:lvl w:ilvl="5" w:tplc="7D744C0E">
      <w:numFmt w:val="decimal"/>
      <w:lvlText w:val=""/>
      <w:lvlJc w:val="left"/>
    </w:lvl>
    <w:lvl w:ilvl="6" w:tplc="4DCE5BAA">
      <w:numFmt w:val="decimal"/>
      <w:lvlText w:val=""/>
      <w:lvlJc w:val="left"/>
    </w:lvl>
    <w:lvl w:ilvl="7" w:tplc="0B9CB8FA">
      <w:numFmt w:val="decimal"/>
      <w:lvlText w:val=""/>
      <w:lvlJc w:val="left"/>
    </w:lvl>
    <w:lvl w:ilvl="8" w:tplc="BFD4BA62">
      <w:numFmt w:val="decimal"/>
      <w:lvlText w:val=""/>
      <w:lvlJc w:val="left"/>
    </w:lvl>
  </w:abstractNum>
  <w:abstractNum w:abstractNumId="1" w15:restartNumberingAfterBreak="0">
    <w:nsid w:val="524B5C4B"/>
    <w:multiLevelType w:val="hybridMultilevel"/>
    <w:tmpl w:val="C0C2550E"/>
    <w:lvl w:ilvl="0" w:tplc="7068ADC0">
      <w:start w:val="1"/>
      <w:numFmt w:val="bullet"/>
      <w:lvlText w:val="•"/>
      <w:lvlJc w:val="left"/>
      <w:pPr>
        <w:ind w:left="560" w:hanging="280"/>
      </w:pPr>
    </w:lvl>
    <w:lvl w:ilvl="1" w:tplc="095EB030">
      <w:numFmt w:val="decimal"/>
      <w:lvlText w:val=""/>
      <w:lvlJc w:val="left"/>
    </w:lvl>
    <w:lvl w:ilvl="2" w:tplc="C30AD9AE">
      <w:numFmt w:val="decimal"/>
      <w:lvlText w:val=""/>
      <w:lvlJc w:val="left"/>
    </w:lvl>
    <w:lvl w:ilvl="3" w:tplc="961653C2">
      <w:numFmt w:val="decimal"/>
      <w:lvlText w:val=""/>
      <w:lvlJc w:val="left"/>
    </w:lvl>
    <w:lvl w:ilvl="4" w:tplc="9F4231F4">
      <w:numFmt w:val="decimal"/>
      <w:lvlText w:val=""/>
      <w:lvlJc w:val="left"/>
    </w:lvl>
    <w:lvl w:ilvl="5" w:tplc="D3585766">
      <w:numFmt w:val="decimal"/>
      <w:lvlText w:val=""/>
      <w:lvlJc w:val="left"/>
    </w:lvl>
    <w:lvl w:ilvl="6" w:tplc="791EFEEE">
      <w:numFmt w:val="decimal"/>
      <w:lvlText w:val=""/>
      <w:lvlJc w:val="left"/>
    </w:lvl>
    <w:lvl w:ilvl="7" w:tplc="A1A0FDBA">
      <w:numFmt w:val="decimal"/>
      <w:lvlText w:val=""/>
      <w:lvlJc w:val="left"/>
    </w:lvl>
    <w:lvl w:ilvl="8" w:tplc="4F20D332">
      <w:numFmt w:val="decimal"/>
      <w:lvlText w:val=""/>
      <w:lvlJc w:val="left"/>
    </w:lvl>
  </w:abstractNum>
  <w:abstractNum w:abstractNumId="2" w15:restartNumberingAfterBreak="0">
    <w:nsid w:val="61D447B0"/>
    <w:multiLevelType w:val="hybridMultilevel"/>
    <w:tmpl w:val="EFF4E8AA"/>
    <w:lvl w:ilvl="0" w:tplc="89A4E174">
      <w:start w:val="1"/>
      <w:numFmt w:val="bullet"/>
      <w:lvlText w:val="●"/>
      <w:lvlJc w:val="left"/>
      <w:pPr>
        <w:ind w:left="720" w:hanging="360"/>
      </w:pPr>
    </w:lvl>
    <w:lvl w:ilvl="1" w:tplc="9C781E26">
      <w:start w:val="1"/>
      <w:numFmt w:val="bullet"/>
      <w:lvlText w:val="○"/>
      <w:lvlJc w:val="left"/>
      <w:pPr>
        <w:ind w:left="1440" w:hanging="360"/>
      </w:pPr>
    </w:lvl>
    <w:lvl w:ilvl="2" w:tplc="FEE41DCC">
      <w:start w:val="1"/>
      <w:numFmt w:val="bullet"/>
      <w:lvlText w:val="■"/>
      <w:lvlJc w:val="left"/>
      <w:pPr>
        <w:ind w:left="2160" w:hanging="360"/>
      </w:pPr>
    </w:lvl>
    <w:lvl w:ilvl="3" w:tplc="A38A675C">
      <w:start w:val="1"/>
      <w:numFmt w:val="bullet"/>
      <w:lvlText w:val="●"/>
      <w:lvlJc w:val="left"/>
      <w:pPr>
        <w:ind w:left="2880" w:hanging="360"/>
      </w:pPr>
    </w:lvl>
    <w:lvl w:ilvl="4" w:tplc="BFCEC26C">
      <w:start w:val="1"/>
      <w:numFmt w:val="bullet"/>
      <w:lvlText w:val="○"/>
      <w:lvlJc w:val="left"/>
      <w:pPr>
        <w:ind w:left="3600" w:hanging="360"/>
      </w:pPr>
    </w:lvl>
    <w:lvl w:ilvl="5" w:tplc="504A87C0">
      <w:start w:val="1"/>
      <w:numFmt w:val="bullet"/>
      <w:lvlText w:val="■"/>
      <w:lvlJc w:val="left"/>
      <w:pPr>
        <w:ind w:left="4320" w:hanging="360"/>
      </w:pPr>
    </w:lvl>
    <w:lvl w:ilvl="6" w:tplc="76E4819A">
      <w:start w:val="1"/>
      <w:numFmt w:val="bullet"/>
      <w:lvlText w:val="●"/>
      <w:lvlJc w:val="left"/>
      <w:pPr>
        <w:ind w:left="5040" w:hanging="360"/>
      </w:pPr>
    </w:lvl>
    <w:lvl w:ilvl="7" w:tplc="562AE850">
      <w:start w:val="1"/>
      <w:numFmt w:val="bullet"/>
      <w:lvlText w:val="●"/>
      <w:lvlJc w:val="left"/>
      <w:pPr>
        <w:ind w:left="5760" w:hanging="360"/>
      </w:pPr>
    </w:lvl>
    <w:lvl w:ilvl="8" w:tplc="C518DEF4">
      <w:start w:val="1"/>
      <w:numFmt w:val="bullet"/>
      <w:lvlText w:val="●"/>
      <w:lvlJc w:val="left"/>
      <w:pPr>
        <w:ind w:left="6480" w:hanging="360"/>
      </w:pPr>
    </w:lvl>
  </w:abstractNum>
  <w:num w:numId="1" w16cid:durableId="847521567">
    <w:abstractNumId w:val="2"/>
    <w:lvlOverride w:ilvl="0">
      <w:startOverride w:val="1"/>
    </w:lvlOverride>
  </w:num>
  <w:num w:numId="2" w16cid:durableId="1919439165">
    <w:abstractNumId w:val="1"/>
    <w:lvlOverride w:ilvl="0">
      <w:startOverride w:val="1"/>
    </w:lvlOverride>
  </w:num>
  <w:num w:numId="3" w16cid:durableId="774521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D64"/>
    <w:rsid w:val="00224D64"/>
    <w:rsid w:val="0076201A"/>
    <w:rsid w:val="009950F0"/>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F42CE52"/>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2049</Words>
  <Characters>2213</Characters>
  <Application>Microsoft Office Word</Application>
  <DocSecurity>0</DocSecurity>
  <Lines>65</Lines>
  <Paragraphs>47</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2026-06-17T07:01:00Z</dcterms:created>
  <dcterms:modified xsi:type="dcterms:W3CDTF">2026-06-30T05:35:00Z</dcterms:modified>
</cp:coreProperties>
</file>