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4FC0" w14:textId="77777777" w:rsidR="00F228AF" w:rsidRPr="00F71CE4" w:rsidRDefault="00000000">
      <w:pPr>
        <w:spacing w:before="1200" w:after="80"/>
        <w:jc w:val="center"/>
        <w:rPr>
          <w:rFonts w:ascii="ＭＳ Ｐゴシック" w:eastAsia="ＭＳ Ｐゴシック" w:hAnsi="ＭＳ Ｐゴシック"/>
        </w:rPr>
      </w:pPr>
      <w:r w:rsidRPr="00F71CE4">
        <w:rPr>
          <w:rFonts w:ascii="ＭＳ Ｐゴシック" w:eastAsia="ＭＳ Ｐゴシック" w:hAnsi="ＭＳ Ｐゴシック"/>
          <w:b/>
          <w:bCs/>
          <w:sz w:val="28"/>
          <w:szCs w:val="28"/>
        </w:rPr>
        <w:t>リサーチ資料</w:t>
      </w:r>
    </w:p>
    <w:p w14:paraId="11B03E23" w14:textId="77777777" w:rsidR="00F228AF" w:rsidRPr="00F71CE4" w:rsidRDefault="00000000">
      <w:pPr>
        <w:spacing w:after="60"/>
        <w:jc w:val="center"/>
        <w:rPr>
          <w:rFonts w:ascii="ＭＳ Ｐゴシック" w:eastAsia="ＭＳ Ｐゴシック" w:hAnsi="ＭＳ Ｐゴシック"/>
        </w:rPr>
      </w:pPr>
      <w:r w:rsidRPr="00F71CE4">
        <w:rPr>
          <w:rFonts w:ascii="ＭＳ Ｐゴシック" w:eastAsia="ＭＳ Ｐゴシック" w:hAnsi="ＭＳ Ｐゴシック"/>
          <w:b/>
          <w:bCs/>
          <w:sz w:val="24"/>
          <w:szCs w:val="24"/>
        </w:rPr>
        <w:t>『MATILDA THE MUSICAL／マチルダ』</w:t>
      </w:r>
    </w:p>
    <w:p w14:paraId="314C7FD6" w14:textId="77777777" w:rsidR="00F228AF" w:rsidRPr="00F71CE4" w:rsidRDefault="00000000">
      <w:pPr>
        <w:pBdr>
          <w:bottom w:val="single" w:sz="6" w:space="8" w:color="8A6D3B"/>
        </w:pBdr>
        <w:spacing w:after="60"/>
        <w:jc w:val="center"/>
        <w:rPr>
          <w:rFonts w:ascii="ＭＳ Ｐゴシック" w:eastAsia="ＭＳ Ｐゴシック" w:hAnsi="ＭＳ Ｐゴシック"/>
        </w:rPr>
      </w:pPr>
      <w:r w:rsidRPr="00F71CE4">
        <w:rPr>
          <w:rFonts w:ascii="ＭＳ Ｐゴシック" w:eastAsia="ＭＳ Ｐゴシック" w:hAnsi="ＭＳ Ｐゴシック"/>
          <w:sz w:val="19"/>
          <w:szCs w:val="19"/>
        </w:rPr>
        <w:t>RSC型の創作プロセスと商業還流 ― 補助団体が自ら商業プロデューサーになる経路</w:t>
      </w:r>
    </w:p>
    <w:p w14:paraId="5ED0F448" w14:textId="5EBB7701" w:rsidR="00F228AF" w:rsidRPr="00F71CE4" w:rsidRDefault="00F228AF">
      <w:pPr>
        <w:spacing w:before="700"/>
        <w:jc w:val="center"/>
        <w:rPr>
          <w:rFonts w:ascii="ＭＳ Ｐゴシック" w:eastAsia="ＭＳ Ｐゴシック" w:hAnsi="ＭＳ Ｐゴシック" w:hint="eastAsia"/>
        </w:rPr>
      </w:pPr>
    </w:p>
    <w:p w14:paraId="11384933" w14:textId="77777777" w:rsidR="00F228AF" w:rsidRPr="00F71CE4" w:rsidRDefault="00000000">
      <w:pPr>
        <w:spacing w:after="40"/>
        <w:jc w:val="center"/>
        <w:rPr>
          <w:rFonts w:ascii="ＭＳ Ｐゴシック" w:eastAsia="ＭＳ Ｐゴシック" w:hAnsi="ＭＳ Ｐゴシック"/>
        </w:rPr>
      </w:pPr>
      <w:r w:rsidRPr="00F71CE4">
        <w:rPr>
          <w:rFonts w:ascii="ＭＳ Ｐゴシック" w:eastAsia="ＭＳ Ｐゴシック" w:hAnsi="ＭＳ Ｐゴシック"/>
          <w:sz w:val="19"/>
          <w:szCs w:val="19"/>
        </w:rPr>
        <w:t>2026年6月</w:t>
      </w:r>
    </w:p>
    <w:p w14:paraId="375CD13D" w14:textId="77777777" w:rsidR="00F228AF" w:rsidRPr="00F71CE4" w:rsidRDefault="00000000">
      <w:pPr>
        <w:rPr>
          <w:rFonts w:ascii="ＭＳ Ｐゴシック" w:eastAsia="ＭＳ Ｐゴシック" w:hAnsi="ＭＳ Ｐゴシック"/>
        </w:rPr>
      </w:pPr>
      <w:r w:rsidRPr="00F71CE4">
        <w:rPr>
          <w:rFonts w:ascii="ＭＳ Ｐゴシック" w:eastAsia="ＭＳ Ｐゴシック" w:hAnsi="ＭＳ Ｐゴシック"/>
        </w:rPr>
        <w:br w:type="page"/>
      </w:r>
    </w:p>
    <w:p w14:paraId="7ED3F556" w14:textId="77777777" w:rsidR="00F228AF" w:rsidRPr="00F71CE4" w:rsidRDefault="00000000">
      <w:pPr>
        <w:spacing w:after="240" w:line="30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lastRenderedPageBreak/>
        <w:t>本資料は、英国における非営利→商業転送の第三の類型として「RSC型」を整理するものである。前回までのナショナル・シアター（NT）型――本体とは別の商業製作の腕（ナショナル・エンジェルズ）を持つ交差補助モデル――に対し、ロイヤル・シェイクスピア・カンパニー（RSC）は、チャリティ本体が自ら商業プロデューサーとなり、あるいは商業インプレサリオと共同製作して、ロイヤルティを本体に還流させる。『マチルダ』を主たる事例に、その前例である『レ・ミゼラブル』も含めて、創作プロセス・ロングラン・還流構造・構造的リスクを公開情報に基づき整理する。</w:t>
      </w:r>
    </w:p>
    <w:p w14:paraId="2477DED4" w14:textId="77777777" w:rsidR="00F228AF" w:rsidRPr="00F71CE4" w:rsidRDefault="00000000">
      <w:pPr>
        <w:pStyle w:val="1"/>
        <w:rPr>
          <w:rFonts w:ascii="ＭＳ Ｐゴシック" w:eastAsia="ＭＳ Ｐゴシック" w:hAnsi="ＭＳ Ｐゴシック"/>
          <w:color w:val="auto"/>
        </w:rPr>
      </w:pPr>
      <w:r w:rsidRPr="00F71CE4">
        <w:rPr>
          <w:rFonts w:ascii="ＭＳ Ｐゴシック" w:eastAsia="ＭＳ Ｐゴシック" w:hAnsi="ＭＳ Ｐゴシック"/>
          <w:color w:val="auto"/>
        </w:rPr>
        <w:t>1. 発端 ― 権利から始まった長期構想</w:t>
      </w:r>
    </w:p>
    <w:p w14:paraId="25AC24CA" w14:textId="77777777" w:rsidR="00F228AF" w:rsidRPr="00F71CE4" w:rsidRDefault="00000000">
      <w:pPr>
        <w:spacing w:after="120" w:line="300" w:lineRule="auto"/>
        <w:rPr>
          <w:rFonts w:ascii="ＭＳ Ｐゴシック" w:eastAsia="ＭＳ Ｐゴシック" w:hAnsi="ＭＳ Ｐゴシック"/>
        </w:rPr>
      </w:pPr>
      <w:r w:rsidRPr="00F71CE4">
        <w:rPr>
          <w:rFonts w:ascii="ＭＳ Ｐゴシック" w:eastAsia="ＭＳ Ｐゴシック" w:hAnsi="ＭＳ Ｐゴシック"/>
        </w:rPr>
        <w:t>『マチルダ』は、作品の持ち込みではなく、補助団体側の長期的な企画開発として始まった。RSCは2003年頃、ロアルド・ダール財団側からの働きかけを受けて、ダールの小説『マチルダ』のミュージカル化の構想に着手している。2008年12月、演出家マシュー・ウォーカスがRSCを代表して作曲家・作詞家のティム・ミンチンに声をかけ、脚本に劇作家のデニス・ケリーを起用した。</w:t>
      </w:r>
    </w:p>
    <w:p w14:paraId="580C0E95" w14:textId="77777777" w:rsidR="00F228AF" w:rsidRPr="00F71CE4" w:rsidRDefault="00000000" w:rsidP="00F71CE4">
      <w:pPr>
        <w:spacing w:after="12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当初、RSCはこれを短期のクリスマス向け演目程度に見ていた。しかしウォーカスはケリーの脚色を読んだ時点で、これがはるかに大きな企画になりうると直感した――子ども向けに見えて大人がより深く楽しめる、歌うべき素材に満ちた作品になる、と。この「短編のつもりが大型へ」という見立ての転換は、前回の『戦火の馬』とも共通する、補助環境ならでは</w:t>
      </w:r>
      <w:proofErr w:type="gramStart"/>
      <w:r w:rsidRPr="00F71CE4">
        <w:rPr>
          <w:rFonts w:ascii="ＭＳ Ｐゴシック" w:eastAsia="ＭＳ Ｐゴシック" w:hAnsi="ＭＳ Ｐゴシック"/>
        </w:rPr>
        <w:t>の</w:t>
      </w:r>
      <w:proofErr w:type="gramEnd"/>
      <w:r w:rsidRPr="00F71CE4">
        <w:rPr>
          <w:rFonts w:ascii="ＭＳ Ｐゴシック" w:eastAsia="ＭＳ Ｐゴシック" w:hAnsi="ＭＳ Ｐゴシック"/>
        </w:rPr>
        <w:t>予期せぬ発展の型である。</w:t>
      </w:r>
    </w:p>
    <w:p w14:paraId="6198429E" w14:textId="77777777" w:rsidR="00F228AF" w:rsidRPr="00F71CE4" w:rsidRDefault="00000000">
      <w:pPr>
        <w:pStyle w:val="1"/>
        <w:rPr>
          <w:rFonts w:ascii="ＭＳ Ｐゴシック" w:eastAsia="ＭＳ Ｐゴシック" w:hAnsi="ＭＳ Ｐゴシック"/>
          <w:color w:val="auto"/>
        </w:rPr>
      </w:pPr>
      <w:r w:rsidRPr="00F71CE4">
        <w:rPr>
          <w:rFonts w:ascii="ＭＳ Ｐゴシック" w:eastAsia="ＭＳ Ｐゴシック" w:hAnsi="ＭＳ Ｐゴシック"/>
          <w:color w:val="auto"/>
        </w:rPr>
        <w:t>2. 開発プロセス ― RSC文芸部とワークショップ</w:t>
      </w:r>
    </w:p>
    <w:p w14:paraId="29409518" w14:textId="77777777" w:rsidR="00F228AF" w:rsidRPr="00F71CE4" w:rsidRDefault="00000000" w:rsidP="00F71CE4">
      <w:pPr>
        <w:spacing w:after="12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開発はRSCの文芸部門（Literary Department）の支援のもと、ウォーカスが主導する研究開発ワークショップとして進められた。RSCのドラマターグ、ジーニー・オヘアが伴走し、脚本・楽曲を稽古場で検証しながら練り上げていく、補助団体の文芸インフラを活かした作り込みだった。</w:t>
      </w:r>
    </w:p>
    <w:p w14:paraId="2DA49090" w14:textId="77777777" w:rsidR="00F228AF" w:rsidRPr="00F71CE4" w:rsidRDefault="00000000" w:rsidP="00F71CE4">
      <w:pPr>
        <w:spacing w:after="12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ウォーカス、ケリー、ミンチン、オヘア、音楽監督のクリス・ナイチンゲールは、約2か月をかけて台本を集中的に作り直した。最終ワークショップ公演を2010年6月末に行い、さらに調整を重ねたうえで、9月から本稽古に入った。座組はほかに、美術のロブ・ハウエル、振付のピーター・ダーリング、イリュージョン（特殊効果）のポール・キーヴら。テキスト・楽曲・美術・振付・特殊効果が、長い開発期間の中で噛み合うように磨かれた点は、媒体こそ違えNTの二作と同じ「ディヴァイジング重視」の開発文化を示している。</w:t>
      </w:r>
    </w:p>
    <w:p w14:paraId="1D4AABCC" w14:textId="77777777" w:rsidR="00F228AF" w:rsidRPr="00F71CE4" w:rsidRDefault="00000000">
      <w:pPr>
        <w:pStyle w:val="1"/>
        <w:rPr>
          <w:rFonts w:ascii="ＭＳ Ｐゴシック" w:eastAsia="ＭＳ Ｐゴシック" w:hAnsi="ＭＳ Ｐゴシック"/>
          <w:color w:val="auto"/>
        </w:rPr>
      </w:pPr>
      <w:r w:rsidRPr="00F71CE4">
        <w:rPr>
          <w:rFonts w:ascii="ＭＳ Ｐゴシック" w:eastAsia="ＭＳ Ｐゴシック" w:hAnsi="ＭＳ Ｐゴシック"/>
          <w:color w:val="auto"/>
        </w:rPr>
        <w:t>3. 初演からロングランへ</w:t>
      </w:r>
    </w:p>
    <w:p w14:paraId="54AD6F86" w14:textId="77777777" w:rsidR="00F228AF" w:rsidRPr="00F71CE4" w:rsidRDefault="00000000" w:rsidP="00F71CE4">
      <w:pPr>
        <w:spacing w:after="12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世界初演は2010年、RSCの本拠地ストラトフォード・アポン・エイヴォンのコートヤード劇場（11月9日プレビュー、12月9日開幕、12週間の限定上演）。批評的にも興行的にも成功し、2011年10月プレビュー・11月24日にウエストエンドのケンブリッジ劇場へ移行。同劇場では2025年現在もロングランを続けており、ウエストエンド・ミュージカル史で有数の長寿作品となっている。</w:t>
      </w:r>
    </w:p>
    <w:p w14:paraId="1C9C4D49" w14:textId="77777777" w:rsidR="00F228AF" w:rsidRPr="00F71CE4" w:rsidRDefault="00000000" w:rsidP="00F71CE4">
      <w:pPr>
        <w:spacing w:after="12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2012年のオリヴィエ賞では7部門を受賞し、当時の単年最多受賞記録（『ニコラス・ニクルビー』の20年来の記録）を更新してギネス記録に。ブロードウェイは2013年4月11日にシュバート劇場で開幕（RSCと米国のドジャーズの共同製作）、2017年1月1日まで1,554回上演し、1,600万ドルの投資を回収して黒字化――ウエストエンドとブロードウェイの双方でヒットした稀な作品となった。ブロードウェイでは4つのトニー賞と、4人のマチルダ役へのトニー栄誉賞を受けた。</w:t>
      </w:r>
    </w:p>
    <w:p w14:paraId="334DA8AF" w14:textId="77777777" w:rsidR="00F228AF" w:rsidRPr="00F71CE4" w:rsidRDefault="00000000" w:rsidP="00F71CE4">
      <w:pPr>
        <w:spacing w:after="20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その後も北米・豪州（ヘルプマン賞で対象13部門を全受賞という記録）・韓国（2018年、初の非英語上</w:t>
      </w:r>
      <w:r w:rsidRPr="00F71CE4">
        <w:rPr>
          <w:rFonts w:ascii="ＭＳ Ｐゴシック" w:eastAsia="ＭＳ Ｐゴシック" w:hAnsi="ＭＳ Ｐゴシック"/>
        </w:rPr>
        <w:lastRenderedPageBreak/>
        <w:t>演）・日本（2023年）・南アフリカ・中東など各地で上演され、2022年にはNetflix／ソニーによる映画版も公開された。</w:t>
      </w:r>
    </w:p>
    <w:p w14:paraId="454D2022" w14:textId="77777777" w:rsidR="00F228AF" w:rsidRPr="00F71CE4" w:rsidRDefault="00000000">
      <w:pPr>
        <w:pStyle w:val="1"/>
        <w:rPr>
          <w:rFonts w:ascii="ＭＳ Ｐゴシック" w:eastAsia="ＭＳ Ｐゴシック" w:hAnsi="ＭＳ Ｐゴシック"/>
          <w:color w:val="auto"/>
        </w:rPr>
      </w:pPr>
      <w:r w:rsidRPr="00F71CE4">
        <w:rPr>
          <w:rFonts w:ascii="ＭＳ Ｐゴシック" w:eastAsia="ＭＳ Ｐゴシック" w:hAnsi="ＭＳ Ｐゴシック"/>
          <w:color w:val="auto"/>
        </w:rPr>
        <w:t>4. RSC型の還流構造 ― 補助団体が自ら商業プロデューサーになる</w:t>
      </w:r>
    </w:p>
    <w:p w14:paraId="3AD69B08" w14:textId="77777777" w:rsidR="00F228AF" w:rsidRPr="00F71CE4" w:rsidRDefault="00000000" w:rsidP="00F71CE4">
      <w:pPr>
        <w:spacing w:after="12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RSCは王立勅許に基づくチャリティである。NTが別ブランドの商業製作の腕（ナショナル・エンジェルズ）を介したのに対し、『マチルダ』のロンドン公演はRSC自身が製作主体（アンドレ・プタシンスキを総合プロデューサーに起用）となった。すなわち補助団体が商業プロデューサーの役割を自ら引き受け、ロイヤルティをそのまま本体へ還流させる構造である。</w:t>
      </w:r>
    </w:p>
    <w:p w14:paraId="56066436" w14:textId="77777777" w:rsidR="00F228AF" w:rsidRPr="00F71CE4" w:rsidRDefault="00000000" w:rsidP="00F71CE4">
      <w:pPr>
        <w:spacing w:after="12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還流の規模も明確である。2013-14年度のRSCは収入の74%超を自己財源で賄い、興行収入3,250万ポンド、トレーディング収入550万ポンド、アーツカウンシル助成1,570万ポンド（前年比0.9百万ポンド減）。これに対し『マチルダ』『レ・ミゼラブル』等からのロイヤルティ・その他収入が390万ポントに上り、この余力が430万ポンドの戦略投資基金（Strategic Investment Fund）の創設を可能にした。商業ヒットの還流が、本体の芸術・教育事業と将来投資の原資になっていた。</w:t>
      </w:r>
    </w:p>
    <w:p w14:paraId="4E3F5172" w14:textId="77777777" w:rsidR="00F228AF" w:rsidRPr="00F71CE4" w:rsidRDefault="00000000">
      <w:pPr>
        <w:pStyle w:val="2"/>
        <w:rPr>
          <w:rFonts w:ascii="ＭＳ Ｐゴシック" w:eastAsia="ＭＳ Ｐゴシック" w:hAnsi="ＭＳ Ｐゴシック"/>
          <w:color w:val="auto"/>
        </w:rPr>
      </w:pPr>
      <w:r w:rsidRPr="00F71CE4">
        <w:rPr>
          <w:rFonts w:ascii="ＭＳ Ｐゴシック" w:eastAsia="ＭＳ Ｐゴシック" w:hAnsi="ＭＳ Ｐゴシック"/>
          <w:color w:val="auto"/>
        </w:rPr>
        <w:t>前例としての『レ・ミゼラブル』（1985年）</w:t>
      </w:r>
    </w:p>
    <w:p w14:paraId="6E24567B" w14:textId="77777777" w:rsidR="00F228AF" w:rsidRPr="00F71CE4" w:rsidRDefault="00000000" w:rsidP="00F71CE4">
      <w:pPr>
        <w:spacing w:after="20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RSC型の原型は『レ・ミゼラブル』にある。これは「RSC×キャメロン・マッキントッシュ」の共同製作として、1985年9月にバービカン劇場で世界初演され、同年12月にウエストエンドのパレス劇場へ移行した。RSCは商業インプレサリオと組むことで世界展開の到達力を得て、長期にわたるロイヤルティ収入を本体の補助財源を補うものとして受け取ってきた。マチルダに先立つ約四半世紀、RSCの財政はこの一作の還流に支えられてきたと言ってよい。</w:t>
      </w:r>
    </w:p>
    <w:p w14:paraId="0316A53F" w14:textId="77777777" w:rsidR="00F228AF" w:rsidRPr="00F71CE4" w:rsidRDefault="00000000">
      <w:pPr>
        <w:pStyle w:val="1"/>
        <w:rPr>
          <w:rFonts w:ascii="ＭＳ Ｐゴシック" w:eastAsia="ＭＳ Ｐゴシック" w:hAnsi="ＭＳ Ｐゴシック"/>
          <w:color w:val="auto"/>
        </w:rPr>
      </w:pPr>
      <w:r w:rsidRPr="00F71CE4">
        <w:rPr>
          <w:rFonts w:ascii="ＭＳ Ｐゴシック" w:eastAsia="ＭＳ Ｐゴシック" w:hAnsi="ＭＳ Ｐゴシック"/>
          <w:color w:val="auto"/>
        </w:rPr>
        <w:t>5. 構造的リスク ― 単一メガヒット依存と「還流の終わり」</w:t>
      </w:r>
    </w:p>
    <w:p w14:paraId="16CE1F68" w14:textId="77777777" w:rsidR="00F228AF" w:rsidRPr="00F71CE4" w:rsidRDefault="00000000" w:rsidP="00F71CE4">
      <w:pPr>
        <w:spacing w:after="12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RSC型には、NT型とは異なる固有のリスクがある。第一に、単一のメガヒットへの依存度の高さ。第二に、その還流が契約条件に依存し、終わりうること。</w:t>
      </w:r>
    </w:p>
    <w:p w14:paraId="7C979120" w14:textId="77777777" w:rsidR="00F228AF" w:rsidRPr="00F71CE4" w:rsidRDefault="00000000">
      <w:pPr>
        <w:spacing w:after="120" w:line="300" w:lineRule="auto"/>
        <w:rPr>
          <w:rFonts w:ascii="ＭＳ Ｐゴシック" w:eastAsia="ＭＳ Ｐゴシック" w:hAnsi="ＭＳ Ｐゴシック"/>
        </w:rPr>
      </w:pPr>
      <w:r w:rsidRPr="00F71CE4">
        <w:rPr>
          <w:rFonts w:ascii="ＭＳ Ｐゴシック" w:eastAsia="ＭＳ Ｐゴシック" w:hAnsi="ＭＳ Ｐゴシック"/>
        </w:rPr>
        <w:t>『レ・ミゼラブル』では、オリジナル製作と当初のロイヤルティ取り決めが終了し、共同製作者であるマッキントッシュ側がRSCへのロイヤルティを大幅に引き下げた。これによりRSCは年あたり数百万ポンド規模の収入を失ったと報じられている。『マチルダ』のロイヤルティ増（ある年度で0.3百万ポンド程度）はその減少を一部しか相殺できなかった。長期の還流契約は、期間・改定・終了時の扱いの設計次第で、ある日大きく細りうる――これがRSC型の最大の教訓である。</w:t>
      </w:r>
    </w:p>
    <w:p w14:paraId="5DA7803E" w14:textId="77777777" w:rsidR="00F228AF" w:rsidRPr="00F71CE4" w:rsidRDefault="00000000" w:rsidP="00F71CE4">
      <w:pPr>
        <w:spacing w:after="200" w:line="300" w:lineRule="auto"/>
        <w:ind w:firstLineChars="50" w:firstLine="105"/>
        <w:rPr>
          <w:rFonts w:ascii="ＭＳ Ｐゴシック" w:eastAsia="ＭＳ Ｐゴシック" w:hAnsi="ＭＳ Ｐゴシック"/>
        </w:rPr>
      </w:pPr>
      <w:r w:rsidRPr="00F71CE4">
        <w:rPr>
          <w:rFonts w:ascii="ＭＳ Ｐゴシック" w:eastAsia="ＭＳ Ｐゴシック" w:hAnsi="ＭＳ Ｐゴシック"/>
        </w:rPr>
        <w:t>コロナ禍にはアーツカウンシル助成が通常収入の約25%にまで相対的に大きくなる局面もあり、RSCは『マチルダ』等の商業収入と支出管理で凌いだと議会に説明している。商業還流は強力だが、それゆえに依存と変動のリスクを併せ持つ。</w:t>
      </w:r>
    </w:p>
    <w:p w14:paraId="7DEFC1E1" w14:textId="77777777" w:rsidR="00F228AF" w:rsidRPr="00F71CE4" w:rsidRDefault="00000000">
      <w:pPr>
        <w:pStyle w:val="1"/>
        <w:rPr>
          <w:rFonts w:ascii="ＭＳ Ｐゴシック" w:eastAsia="ＭＳ Ｐゴシック" w:hAnsi="ＭＳ Ｐゴシック"/>
          <w:color w:val="auto"/>
        </w:rPr>
      </w:pPr>
      <w:r w:rsidRPr="00F71CE4">
        <w:rPr>
          <w:rFonts w:ascii="ＭＳ Ｐゴシック" w:eastAsia="ＭＳ Ｐゴシック" w:hAnsi="ＭＳ Ｐゴシック"/>
          <w:color w:val="auto"/>
        </w:rPr>
        <w:t>6. NT型との対比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F228AF" w:rsidRPr="00F71CE4" w14:paraId="01C940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A5F"/>
            <w:tcMar>
              <w:top w:w="90" w:type="dxa"/>
              <w:left w:w="130" w:type="dxa"/>
              <w:bottom w:w="90" w:type="dxa"/>
              <w:right w:w="130" w:type="dxa"/>
            </w:tcMar>
          </w:tcPr>
          <w:p w14:paraId="71EDE280" w14:textId="77777777" w:rsidR="00F228AF" w:rsidRPr="00F71CE4" w:rsidRDefault="00000000">
            <w:pPr>
              <w:rPr>
                <w:rFonts w:ascii="ＭＳ Ｐゴシック" w:eastAsia="ＭＳ Ｐゴシック" w:hAnsi="ＭＳ Ｐゴシック"/>
              </w:rPr>
            </w:pPr>
            <w:r w:rsidRPr="00F71CE4">
              <w:rPr>
                <w:rFonts w:ascii="ＭＳ Ｐゴシック" w:eastAsia="ＭＳ Ｐゴシック" w:hAnsi="ＭＳ Ｐゴシック"/>
                <w:b/>
                <w:bCs/>
                <w:sz w:val="19"/>
                <w:szCs w:val="19"/>
              </w:rPr>
              <w:t>観点</w:t>
            </w:r>
          </w:p>
        </w:tc>
        <w:tc>
          <w:tcPr>
            <w:tcW w:w="3780" w:type="dxa"/>
            <w:tcBorders>
              <w:top w:val="single" w:sz="1" w:space="0" w:color="CCCCCC"/>
              <w:left w:val="single" w:sz="1" w:space="0" w:color="CCCCCC"/>
              <w:bottom w:val="single" w:sz="1" w:space="0" w:color="CCCCCC"/>
              <w:right w:val="single" w:sz="1" w:space="0" w:color="CCCCCC"/>
            </w:tcBorders>
            <w:shd w:val="clear" w:color="auto" w:fill="1F3A5F"/>
            <w:tcMar>
              <w:top w:w="90" w:type="dxa"/>
              <w:left w:w="130" w:type="dxa"/>
              <w:bottom w:w="90" w:type="dxa"/>
              <w:right w:w="130" w:type="dxa"/>
            </w:tcMar>
          </w:tcPr>
          <w:p w14:paraId="4E173BD0" w14:textId="77777777" w:rsidR="00F228AF" w:rsidRPr="00F71CE4" w:rsidRDefault="00000000">
            <w:pPr>
              <w:rPr>
                <w:rFonts w:ascii="ＭＳ Ｐゴシック" w:eastAsia="ＭＳ Ｐゴシック" w:hAnsi="ＭＳ Ｐゴシック"/>
              </w:rPr>
            </w:pPr>
            <w:r w:rsidRPr="00F71CE4">
              <w:rPr>
                <w:rFonts w:ascii="ＭＳ Ｐゴシック" w:eastAsia="ＭＳ Ｐゴシック" w:hAnsi="ＭＳ Ｐゴシック"/>
                <w:b/>
                <w:bCs/>
                <w:sz w:val="19"/>
                <w:szCs w:val="19"/>
              </w:rPr>
              <w:t>NT型（ナショナル・シアター）</w:t>
            </w:r>
          </w:p>
        </w:tc>
        <w:tc>
          <w:tcPr>
            <w:tcW w:w="3780" w:type="dxa"/>
            <w:tcBorders>
              <w:top w:val="single" w:sz="1" w:space="0" w:color="CCCCCC"/>
              <w:left w:val="single" w:sz="1" w:space="0" w:color="CCCCCC"/>
              <w:bottom w:val="single" w:sz="1" w:space="0" w:color="CCCCCC"/>
              <w:right w:val="single" w:sz="1" w:space="0" w:color="CCCCCC"/>
            </w:tcBorders>
            <w:shd w:val="clear" w:color="auto" w:fill="1F3A5F"/>
            <w:tcMar>
              <w:top w:w="90" w:type="dxa"/>
              <w:left w:w="130" w:type="dxa"/>
              <w:bottom w:w="90" w:type="dxa"/>
              <w:right w:w="130" w:type="dxa"/>
            </w:tcMar>
          </w:tcPr>
          <w:p w14:paraId="6C5E8961" w14:textId="77777777" w:rsidR="00F228AF" w:rsidRPr="00F71CE4" w:rsidRDefault="00000000">
            <w:pPr>
              <w:rPr>
                <w:rFonts w:ascii="ＭＳ Ｐゴシック" w:eastAsia="ＭＳ Ｐゴシック" w:hAnsi="ＭＳ Ｐゴシック"/>
              </w:rPr>
            </w:pPr>
            <w:r w:rsidRPr="00F71CE4">
              <w:rPr>
                <w:rFonts w:ascii="ＭＳ Ｐゴシック" w:eastAsia="ＭＳ Ｐゴシック" w:hAnsi="ＭＳ Ｐゴシック"/>
                <w:b/>
                <w:bCs/>
                <w:sz w:val="19"/>
                <w:szCs w:val="19"/>
              </w:rPr>
              <w:t>RSC型（ロイヤル・シェイクスピア・カンパニー）</w:t>
            </w:r>
          </w:p>
        </w:tc>
      </w:tr>
      <w:tr w:rsidR="00F228AF" w:rsidRPr="00F71CE4" w14:paraId="069702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20CACE22"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b/>
                <w:bCs/>
                <w:sz w:val="19"/>
                <w:szCs w:val="19"/>
              </w:rPr>
              <w:t>商業化の器</w:t>
            </w:r>
          </w:p>
        </w:tc>
        <w:tc>
          <w:tcPr>
            <w:tcW w:w="378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52B264"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t>別ブランドの商業製作の腕（ナショナル・エンジェルズ）を介する。</w:t>
            </w:r>
          </w:p>
        </w:tc>
        <w:tc>
          <w:tcPr>
            <w:tcW w:w="378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926E1C"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t>本体（チャリティ）が自ら製作、または商業インプレサリオと共同製作。</w:t>
            </w:r>
          </w:p>
        </w:tc>
      </w:tr>
      <w:tr w:rsidR="00F228AF" w:rsidRPr="00F71CE4" w14:paraId="751134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6A463DFC"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b/>
                <w:bCs/>
                <w:sz w:val="19"/>
                <w:szCs w:val="19"/>
              </w:rPr>
              <w:lastRenderedPageBreak/>
              <w:t>代表作</w:t>
            </w:r>
          </w:p>
        </w:tc>
        <w:tc>
          <w:tcPr>
            <w:tcW w:w="378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3C4D393"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t>『戦火の馬』『キュリアス・インシデント』等、複数の転送。</w:t>
            </w:r>
          </w:p>
        </w:tc>
        <w:tc>
          <w:tcPr>
            <w:tcW w:w="378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F57EE0"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t>『マチルダ』（自社製作）／『レ・ミゼラブル』（マッキントッシュと共同）。</w:t>
            </w:r>
          </w:p>
        </w:tc>
      </w:tr>
      <w:tr w:rsidR="00F228AF" w:rsidRPr="00F71CE4" w14:paraId="1EEDF3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30129739"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b/>
                <w:bCs/>
                <w:sz w:val="19"/>
                <w:szCs w:val="19"/>
              </w:rPr>
              <w:t>還流の形</w:t>
            </w:r>
          </w:p>
        </w:tc>
        <w:tc>
          <w:tcPr>
            <w:tcW w:w="378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4402B77"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t>複数ヒットに分散。資本投資（NT Future）にも充当。</w:t>
            </w:r>
          </w:p>
        </w:tc>
        <w:tc>
          <w:tcPr>
            <w:tcW w:w="378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D05231"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t>少数メガヒットのロイヤルティに集中。戦略投資基金等へ。</w:t>
            </w:r>
          </w:p>
        </w:tc>
      </w:tr>
      <w:tr w:rsidR="00F228AF" w:rsidRPr="00F71CE4" w14:paraId="53BDD3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2993E2FF"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b/>
                <w:bCs/>
                <w:sz w:val="19"/>
                <w:szCs w:val="19"/>
              </w:rPr>
              <w:t>固有リスク</w:t>
            </w:r>
          </w:p>
        </w:tc>
        <w:tc>
          <w:tcPr>
            <w:tcW w:w="378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780D1B"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t>商業収入の揮発性（恒常財源化の戒め）。</w:t>
            </w:r>
          </w:p>
        </w:tc>
        <w:tc>
          <w:tcPr>
            <w:tcW w:w="378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9B8EAF" w14:textId="77777777" w:rsidR="00F228AF" w:rsidRPr="00F71CE4" w:rsidRDefault="00000000">
            <w:pPr>
              <w:spacing w:line="27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t>単一作依存＋還流契約の終了・改定リスク（レ・ミゼラブルの減額）。</w:t>
            </w:r>
          </w:p>
        </w:tc>
      </w:tr>
    </w:tbl>
    <w:p w14:paraId="34689093" w14:textId="77777777" w:rsidR="00F228AF" w:rsidRPr="00F71CE4" w:rsidRDefault="00F228AF">
      <w:pPr>
        <w:spacing w:after="60" w:line="300" w:lineRule="auto"/>
        <w:rPr>
          <w:rFonts w:ascii="ＭＳ Ｐゴシック" w:eastAsia="ＭＳ Ｐゴシック" w:hAnsi="ＭＳ Ｐゴシック"/>
        </w:rPr>
      </w:pPr>
    </w:p>
    <w:p w14:paraId="2A7F2987" w14:textId="77777777" w:rsidR="00F228AF" w:rsidRPr="00F71CE4" w:rsidRDefault="00000000">
      <w:pPr>
        <w:pStyle w:val="1"/>
        <w:rPr>
          <w:rFonts w:ascii="ＭＳ Ｐゴシック" w:eastAsia="ＭＳ Ｐゴシック" w:hAnsi="ＭＳ Ｐゴシック"/>
          <w:color w:val="auto"/>
        </w:rPr>
      </w:pPr>
      <w:r w:rsidRPr="00F71CE4">
        <w:rPr>
          <w:rFonts w:ascii="ＭＳ Ｐゴシック" w:eastAsia="ＭＳ Ｐゴシック" w:hAnsi="ＭＳ Ｐゴシック"/>
          <w:color w:val="auto"/>
        </w:rPr>
        <w:t>7. 文化資本循環モデルへの示唆</w:t>
      </w:r>
    </w:p>
    <w:p w14:paraId="6B68D683" w14:textId="77777777" w:rsidR="00F228AF" w:rsidRPr="00F71CE4" w:rsidRDefault="00000000">
      <w:pPr>
        <w:pStyle w:val="a4"/>
        <w:numPr>
          <w:ilvl w:val="0"/>
          <w:numId w:val="2"/>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第三の器の選択肢：補助団体が「営利の腕」を別ブランドで持つ（NT）か、本体が自ら商業プロデューサーになる（RSC・マチルダ）か、商業インプレサリオと共同製作する（RSC・レ・ミゼラブル）か。転生装置の器設計に、少なくとも三つの選択肢があることが確認できた。</w:t>
      </w:r>
    </w:p>
    <w:p w14:paraId="2FFA61D1" w14:textId="77777777" w:rsidR="00F228AF" w:rsidRPr="00F71CE4" w:rsidRDefault="00000000">
      <w:pPr>
        <w:pStyle w:val="a4"/>
        <w:numPr>
          <w:ilvl w:val="0"/>
          <w:numId w:val="2"/>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還流契約の設計が死活的：レ・ミゼラブルの教訓は、ロイヤルティの期間・改定条項・終了時の扱いの設計次第で還流が細る、という点。転生装置のPhase 2（ロイヤルティ型）は、単発の取り決めではなく、耐久的で改定に強い契約構造として組むべき。福井先生への相談メモのPhase 2論点に、この「契約の耐久性」を明示的に加えたい。</w:t>
      </w:r>
    </w:p>
    <w:p w14:paraId="33875CED" w14:textId="77777777" w:rsidR="00F228AF" w:rsidRPr="00F71CE4" w:rsidRDefault="00000000">
      <w:pPr>
        <w:pStyle w:val="a4"/>
        <w:numPr>
          <w:ilvl w:val="0"/>
          <w:numId w:val="2"/>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分散 vs 集中：RSCが一作（レ・ミゼラブル）に長く依存し、終了時に大きな穴が空いた事実は、Nexusが単一の転生に賭けず、複数作のポートフォリオで還流を組むべきことを示す。韓国（一方通行）・英国（NT分散／RSC集中）の対比に、この「集中リスク」の軸を加えると立体的になる。</w:t>
      </w:r>
    </w:p>
    <w:p w14:paraId="6B04CD4E" w14:textId="77777777" w:rsidR="00F228AF" w:rsidRPr="00F71CE4" w:rsidRDefault="00000000">
      <w:pPr>
        <w:pStyle w:val="a4"/>
        <w:numPr>
          <w:ilvl w:val="0"/>
          <w:numId w:val="2"/>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上流の文芸インフラ：RSC文芸部門とドラマターグ（ジーニー・オヘア）が開発を支えた構造は、Nexus上流に文芸・ドラマターグ機能を制度として置くことの根拠になる。NT二作の「ディヴァイジング」と合わせ、上流R&amp;Dの中核は人ではなく機能（文芸・ドラマターグ・ワークショップ予算）として設計すべき。</w:t>
      </w:r>
    </w:p>
    <w:p w14:paraId="3245280A" w14:textId="77777777" w:rsidR="00F228AF" w:rsidRPr="00F71CE4" w:rsidRDefault="00000000">
      <w:pPr>
        <w:pStyle w:val="a4"/>
        <w:numPr>
          <w:ilvl w:val="0"/>
          <w:numId w:val="2"/>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自社製作と共同製作の使い分け：マチルダ（自社製作・全リスクと全上振れ・1,600万ドルを回収）と、レ・ミゼラブル（共同製作・到達力は得るが還流条件を握られる）は、転生装置のPhase 3（エクイティ＝自社製作・全持分）とPhase 2（ロイヤルティ＝共同・分配）の現実の対応物。両者の選択基準を設計に組み込める。</w:t>
      </w:r>
    </w:p>
    <w:p w14:paraId="221DE778" w14:textId="77777777" w:rsidR="00F228AF" w:rsidRPr="00F71CE4" w:rsidRDefault="00F228AF">
      <w:pPr>
        <w:spacing w:after="160" w:line="300" w:lineRule="auto"/>
        <w:rPr>
          <w:rFonts w:ascii="ＭＳ Ｐゴシック" w:eastAsia="ＭＳ Ｐゴシック" w:hAnsi="ＭＳ Ｐゴシック"/>
        </w:rPr>
      </w:pPr>
    </w:p>
    <w:p w14:paraId="7045A648" w14:textId="77777777" w:rsidR="00F228AF" w:rsidRPr="00F71CE4" w:rsidRDefault="00000000">
      <w:pPr>
        <w:pStyle w:val="1"/>
        <w:rPr>
          <w:rFonts w:ascii="ＭＳ Ｐゴシック" w:eastAsia="ＭＳ Ｐゴシック" w:hAnsi="ＭＳ Ｐゴシック"/>
          <w:color w:val="auto"/>
        </w:rPr>
      </w:pPr>
      <w:r w:rsidRPr="00F71CE4">
        <w:rPr>
          <w:rFonts w:ascii="ＭＳ Ｐゴシック" w:eastAsia="ＭＳ Ｐゴシック" w:hAnsi="ＭＳ Ｐゴシック"/>
          <w:color w:val="auto"/>
        </w:rPr>
        <w:t>8. 主な出典</w:t>
      </w:r>
    </w:p>
    <w:p w14:paraId="3B090122" w14:textId="77777777" w:rsidR="00F228AF" w:rsidRPr="00F71CE4" w:rsidRDefault="00000000">
      <w:pPr>
        <w:spacing w:after="120" w:line="300" w:lineRule="auto"/>
        <w:rPr>
          <w:rFonts w:ascii="ＭＳ Ｐゴシック" w:eastAsia="ＭＳ Ｐゴシック" w:hAnsi="ＭＳ Ｐゴシック"/>
        </w:rPr>
      </w:pPr>
      <w:r w:rsidRPr="00F71CE4">
        <w:rPr>
          <w:rFonts w:ascii="ＭＳ Ｐゴシック" w:eastAsia="ＭＳ Ｐゴシック" w:hAnsi="ＭＳ Ｐゴシック"/>
        </w:rPr>
        <w:t>本資料は以下の公開情報に基づき整理した（主なもの）。</w:t>
      </w:r>
    </w:p>
    <w:p w14:paraId="637D3B42" w14:textId="77777777" w:rsidR="00F228AF" w:rsidRPr="00F71CE4" w:rsidRDefault="00000000">
      <w:pPr>
        <w:pStyle w:val="a4"/>
        <w:numPr>
          <w:ilvl w:val="0"/>
          <w:numId w:val="3"/>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Tim Minchin 公式サイト「The Matilda the Musical Story」（開発経緯・ワークショップ）</w:t>
      </w:r>
    </w:p>
    <w:p w14:paraId="56573EDF" w14:textId="77777777" w:rsidR="00F228AF" w:rsidRPr="00F71CE4" w:rsidRDefault="00000000">
      <w:pPr>
        <w:pStyle w:val="a4"/>
        <w:numPr>
          <w:ilvl w:val="0"/>
          <w:numId w:val="3"/>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In-Common（ウォーカス／ケリー／ミンチンのインタビュー）、Playbill（初演・西エンド・ブロードウェイ各報）</w:t>
      </w:r>
    </w:p>
    <w:p w14:paraId="6C13E06D" w14:textId="77777777" w:rsidR="00F228AF" w:rsidRPr="00F71CE4" w:rsidRDefault="00000000">
      <w:pPr>
        <w:pStyle w:val="a4"/>
        <w:numPr>
          <w:ilvl w:val="0"/>
          <w:numId w:val="3"/>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Matilda The Musical 公式サイト「About the Show」、Wikipedia／</w:t>
      </w:r>
      <w:proofErr w:type="spellStart"/>
      <w:r w:rsidRPr="00F71CE4">
        <w:rPr>
          <w:rFonts w:ascii="ＭＳ Ｐゴシック" w:eastAsia="ＭＳ Ｐゴシック" w:hAnsi="ＭＳ Ｐゴシック"/>
        </w:rPr>
        <w:t>Grokipedia</w:t>
      </w:r>
      <w:proofErr w:type="spellEnd"/>
      <w:r w:rsidRPr="00F71CE4">
        <w:rPr>
          <w:rFonts w:ascii="ＭＳ Ｐゴシック" w:eastAsia="ＭＳ Ｐゴシック" w:hAnsi="ＭＳ Ｐゴシック"/>
        </w:rPr>
        <w:t>（上演史・受賞・座組）</w:t>
      </w:r>
    </w:p>
    <w:p w14:paraId="5195B99F" w14:textId="77777777" w:rsidR="00F228AF" w:rsidRPr="00F71CE4" w:rsidRDefault="00000000">
      <w:pPr>
        <w:pStyle w:val="a4"/>
        <w:numPr>
          <w:ilvl w:val="0"/>
          <w:numId w:val="3"/>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Shubert Organization／New York City Theatre（ブロードウェイの上演回数・投資回収・受賞）</w:t>
      </w:r>
    </w:p>
    <w:p w14:paraId="77FEE48C" w14:textId="77777777" w:rsidR="00F228AF" w:rsidRPr="00F71CE4" w:rsidRDefault="00000000">
      <w:pPr>
        <w:pStyle w:val="a4"/>
        <w:numPr>
          <w:ilvl w:val="0"/>
          <w:numId w:val="3"/>
        </w:numPr>
        <w:spacing w:after="60" w:line="290" w:lineRule="auto"/>
        <w:rPr>
          <w:rFonts w:ascii="ＭＳ Ｐゴシック" w:eastAsia="ＭＳ Ｐゴシック" w:hAnsi="ＭＳ Ｐゴシック"/>
        </w:rPr>
      </w:pPr>
      <w:proofErr w:type="spellStart"/>
      <w:r w:rsidRPr="00F71CE4">
        <w:rPr>
          <w:rFonts w:ascii="ＭＳ Ｐゴシック" w:eastAsia="ＭＳ Ｐゴシック" w:hAnsi="ＭＳ Ｐゴシック"/>
        </w:rPr>
        <w:t>BroadwayWorld</w:t>
      </w:r>
      <w:proofErr w:type="spellEnd"/>
      <w:r w:rsidRPr="00F71CE4">
        <w:rPr>
          <w:rFonts w:ascii="ＭＳ Ｐゴシック" w:eastAsia="ＭＳ Ｐゴシック" w:hAnsi="ＭＳ Ｐゴシック"/>
        </w:rPr>
        <w:t>（RSC 2013-14年次レビュー：収入構成・ロイヤルティ・戦略投資基金）</w:t>
      </w:r>
    </w:p>
    <w:p w14:paraId="0892BC42" w14:textId="77777777" w:rsidR="00F228AF" w:rsidRPr="00F71CE4" w:rsidRDefault="00000000">
      <w:pPr>
        <w:pStyle w:val="a4"/>
        <w:numPr>
          <w:ilvl w:val="0"/>
          <w:numId w:val="3"/>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RSC チャリティ・コミッション報告書（2022）（レ・ミゼラブル／マチルダのロイヤルティ動向）</w:t>
      </w:r>
    </w:p>
    <w:p w14:paraId="004CEAF3" w14:textId="77777777" w:rsidR="00F228AF" w:rsidRPr="00F71CE4" w:rsidRDefault="00000000">
      <w:pPr>
        <w:pStyle w:val="a4"/>
        <w:numPr>
          <w:ilvl w:val="0"/>
          <w:numId w:val="3"/>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lastRenderedPageBreak/>
        <w:t>The Stage／The Times（レ・ミゼラブルのロイヤルティ交渉・減額）</w:t>
      </w:r>
    </w:p>
    <w:p w14:paraId="21DE1DE2" w14:textId="77777777" w:rsidR="00F228AF" w:rsidRPr="00F71CE4" w:rsidRDefault="00000000">
      <w:pPr>
        <w:pStyle w:val="a4"/>
        <w:numPr>
          <w:ilvl w:val="0"/>
          <w:numId w:val="3"/>
        </w:numPr>
        <w:spacing w:after="60" w:line="290" w:lineRule="auto"/>
        <w:rPr>
          <w:rFonts w:ascii="ＭＳ Ｐゴシック" w:eastAsia="ＭＳ Ｐゴシック" w:hAnsi="ＭＳ Ｐゴシック"/>
        </w:rPr>
      </w:pPr>
      <w:r w:rsidRPr="00F71CE4">
        <w:rPr>
          <w:rFonts w:ascii="ＭＳ Ｐゴシック" w:eastAsia="ＭＳ Ｐゴシック" w:hAnsi="ＭＳ Ｐゴシック"/>
        </w:rPr>
        <w:t>John Caird 公式サイト、Variety、英国議会提出文書（レ・ミゼラブルの製作経緯・RSCの商業収入依存）</w:t>
      </w:r>
    </w:p>
    <w:p w14:paraId="612D2405" w14:textId="77777777" w:rsidR="00F228AF" w:rsidRPr="00F71CE4" w:rsidRDefault="00F228AF">
      <w:pPr>
        <w:spacing w:after="160" w:line="300" w:lineRule="auto"/>
        <w:rPr>
          <w:rFonts w:ascii="ＭＳ Ｐゴシック" w:eastAsia="ＭＳ Ｐゴシック" w:hAnsi="ＭＳ Ｐゴシック"/>
        </w:rPr>
      </w:pPr>
    </w:p>
    <w:p w14:paraId="1BCBAF88" w14:textId="77777777" w:rsidR="00F228AF" w:rsidRPr="00F71CE4" w:rsidRDefault="00000000">
      <w:pPr>
        <w:spacing w:after="120" w:line="300" w:lineRule="auto"/>
        <w:rPr>
          <w:rFonts w:ascii="ＭＳ Ｐゴシック" w:eastAsia="ＭＳ Ｐゴシック" w:hAnsi="ＭＳ Ｐゴシック"/>
        </w:rPr>
      </w:pPr>
      <w:r w:rsidRPr="00F71CE4">
        <w:rPr>
          <w:rFonts w:ascii="ＭＳ Ｐゴシック" w:eastAsia="ＭＳ Ｐゴシック" w:hAnsi="ＭＳ Ｐゴシック"/>
          <w:sz w:val="19"/>
          <w:szCs w:val="19"/>
        </w:rPr>
        <w:t>以上。事実関係は今後の一次情報（RSC年次報告等）との照合により補強しうる。</w:t>
      </w:r>
    </w:p>
    <w:sectPr w:rsidR="00F228AF" w:rsidRPr="00F71CE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AAB63" w14:textId="77777777" w:rsidR="00F64B9B" w:rsidRDefault="00F64B9B">
      <w:r>
        <w:separator/>
      </w:r>
    </w:p>
  </w:endnote>
  <w:endnote w:type="continuationSeparator" w:id="0">
    <w:p w14:paraId="0FED9D29" w14:textId="77777777" w:rsidR="00F64B9B" w:rsidRDefault="00F64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F1AF" w14:textId="77777777" w:rsidR="00F228AF"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F71CE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5C947" w14:textId="77777777" w:rsidR="00F64B9B" w:rsidRDefault="00F64B9B">
      <w:r>
        <w:separator/>
      </w:r>
    </w:p>
  </w:footnote>
  <w:footnote w:type="continuationSeparator" w:id="0">
    <w:p w14:paraId="2D5D9B0F" w14:textId="77777777" w:rsidR="00F64B9B" w:rsidRDefault="00F64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E17CA" w14:textId="77777777" w:rsidR="00F228AF" w:rsidRDefault="00000000">
    <w:pPr>
      <w:jc w:val="right"/>
    </w:pPr>
    <w:r>
      <w:rPr>
        <w:color w:val="595959"/>
        <w:sz w:val="15"/>
        <w:szCs w:val="15"/>
      </w:rPr>
      <w:t>リサーチ資料｜Matilda・RSC型の創作と還流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D11"/>
    <w:multiLevelType w:val="hybridMultilevel"/>
    <w:tmpl w:val="424CDF1C"/>
    <w:lvl w:ilvl="0" w:tplc="D6866372">
      <w:start w:val="1"/>
      <w:numFmt w:val="bullet"/>
      <w:lvlText w:val="●"/>
      <w:lvlJc w:val="left"/>
      <w:pPr>
        <w:ind w:left="720" w:hanging="360"/>
      </w:pPr>
    </w:lvl>
    <w:lvl w:ilvl="1" w:tplc="92DA2ED4">
      <w:start w:val="1"/>
      <w:numFmt w:val="bullet"/>
      <w:lvlText w:val="○"/>
      <w:lvlJc w:val="left"/>
      <w:pPr>
        <w:ind w:left="1440" w:hanging="360"/>
      </w:pPr>
    </w:lvl>
    <w:lvl w:ilvl="2" w:tplc="D2640198">
      <w:start w:val="1"/>
      <w:numFmt w:val="bullet"/>
      <w:lvlText w:val="■"/>
      <w:lvlJc w:val="left"/>
      <w:pPr>
        <w:ind w:left="2160" w:hanging="360"/>
      </w:pPr>
    </w:lvl>
    <w:lvl w:ilvl="3" w:tplc="623C1848">
      <w:start w:val="1"/>
      <w:numFmt w:val="bullet"/>
      <w:lvlText w:val="●"/>
      <w:lvlJc w:val="left"/>
      <w:pPr>
        <w:ind w:left="2880" w:hanging="360"/>
      </w:pPr>
    </w:lvl>
    <w:lvl w:ilvl="4" w:tplc="F246EC40">
      <w:start w:val="1"/>
      <w:numFmt w:val="bullet"/>
      <w:lvlText w:val="○"/>
      <w:lvlJc w:val="left"/>
      <w:pPr>
        <w:ind w:left="3600" w:hanging="360"/>
      </w:pPr>
    </w:lvl>
    <w:lvl w:ilvl="5" w:tplc="1C207076">
      <w:start w:val="1"/>
      <w:numFmt w:val="bullet"/>
      <w:lvlText w:val="■"/>
      <w:lvlJc w:val="left"/>
      <w:pPr>
        <w:ind w:left="4320" w:hanging="360"/>
      </w:pPr>
    </w:lvl>
    <w:lvl w:ilvl="6" w:tplc="D53E3ED4">
      <w:start w:val="1"/>
      <w:numFmt w:val="bullet"/>
      <w:lvlText w:val="●"/>
      <w:lvlJc w:val="left"/>
      <w:pPr>
        <w:ind w:left="5040" w:hanging="360"/>
      </w:pPr>
    </w:lvl>
    <w:lvl w:ilvl="7" w:tplc="C472DD6A">
      <w:start w:val="1"/>
      <w:numFmt w:val="bullet"/>
      <w:lvlText w:val="●"/>
      <w:lvlJc w:val="left"/>
      <w:pPr>
        <w:ind w:left="5760" w:hanging="360"/>
      </w:pPr>
    </w:lvl>
    <w:lvl w:ilvl="8" w:tplc="E7B00FA6">
      <w:start w:val="1"/>
      <w:numFmt w:val="bullet"/>
      <w:lvlText w:val="●"/>
      <w:lvlJc w:val="left"/>
      <w:pPr>
        <w:ind w:left="6480" w:hanging="360"/>
      </w:pPr>
    </w:lvl>
  </w:abstractNum>
  <w:abstractNum w:abstractNumId="1" w15:restartNumberingAfterBreak="0">
    <w:nsid w:val="01D56830"/>
    <w:multiLevelType w:val="hybridMultilevel"/>
    <w:tmpl w:val="82DA6476"/>
    <w:lvl w:ilvl="0" w:tplc="825C8770">
      <w:start w:val="1"/>
      <w:numFmt w:val="bullet"/>
      <w:lvlText w:val="•"/>
      <w:lvlJc w:val="left"/>
      <w:pPr>
        <w:ind w:left="560" w:hanging="280"/>
      </w:pPr>
    </w:lvl>
    <w:lvl w:ilvl="1" w:tplc="7BB69A5C">
      <w:numFmt w:val="decimal"/>
      <w:lvlText w:val=""/>
      <w:lvlJc w:val="left"/>
    </w:lvl>
    <w:lvl w:ilvl="2" w:tplc="40148F2A">
      <w:numFmt w:val="decimal"/>
      <w:lvlText w:val=""/>
      <w:lvlJc w:val="left"/>
    </w:lvl>
    <w:lvl w:ilvl="3" w:tplc="D62279E8">
      <w:numFmt w:val="decimal"/>
      <w:lvlText w:val=""/>
      <w:lvlJc w:val="left"/>
    </w:lvl>
    <w:lvl w:ilvl="4" w:tplc="4B00908C">
      <w:numFmt w:val="decimal"/>
      <w:lvlText w:val=""/>
      <w:lvlJc w:val="left"/>
    </w:lvl>
    <w:lvl w:ilvl="5" w:tplc="BA5E2CE0">
      <w:numFmt w:val="decimal"/>
      <w:lvlText w:val=""/>
      <w:lvlJc w:val="left"/>
    </w:lvl>
    <w:lvl w:ilvl="6" w:tplc="E856C09A">
      <w:numFmt w:val="decimal"/>
      <w:lvlText w:val=""/>
      <w:lvlJc w:val="left"/>
    </w:lvl>
    <w:lvl w:ilvl="7" w:tplc="67F236B0">
      <w:numFmt w:val="decimal"/>
      <w:lvlText w:val=""/>
      <w:lvlJc w:val="left"/>
    </w:lvl>
    <w:lvl w:ilvl="8" w:tplc="707A80C0">
      <w:numFmt w:val="decimal"/>
      <w:lvlText w:val=""/>
      <w:lvlJc w:val="left"/>
    </w:lvl>
  </w:abstractNum>
  <w:abstractNum w:abstractNumId="2" w15:restartNumberingAfterBreak="0">
    <w:nsid w:val="41580C76"/>
    <w:multiLevelType w:val="hybridMultilevel"/>
    <w:tmpl w:val="75440DD2"/>
    <w:lvl w:ilvl="0" w:tplc="91ECA776">
      <w:start w:val="1"/>
      <w:numFmt w:val="bullet"/>
      <w:lvlText w:val="–"/>
      <w:lvlJc w:val="left"/>
      <w:pPr>
        <w:ind w:left="560" w:hanging="280"/>
      </w:pPr>
    </w:lvl>
    <w:lvl w:ilvl="1" w:tplc="01F2FD52">
      <w:numFmt w:val="decimal"/>
      <w:lvlText w:val=""/>
      <w:lvlJc w:val="left"/>
    </w:lvl>
    <w:lvl w:ilvl="2" w:tplc="D88AC942">
      <w:numFmt w:val="decimal"/>
      <w:lvlText w:val=""/>
      <w:lvlJc w:val="left"/>
    </w:lvl>
    <w:lvl w:ilvl="3" w:tplc="6C405EB0">
      <w:numFmt w:val="decimal"/>
      <w:lvlText w:val=""/>
      <w:lvlJc w:val="left"/>
    </w:lvl>
    <w:lvl w:ilvl="4" w:tplc="20A4B0DC">
      <w:numFmt w:val="decimal"/>
      <w:lvlText w:val=""/>
      <w:lvlJc w:val="left"/>
    </w:lvl>
    <w:lvl w:ilvl="5" w:tplc="73F01B8E">
      <w:numFmt w:val="decimal"/>
      <w:lvlText w:val=""/>
      <w:lvlJc w:val="left"/>
    </w:lvl>
    <w:lvl w:ilvl="6" w:tplc="6FE65486">
      <w:numFmt w:val="decimal"/>
      <w:lvlText w:val=""/>
      <w:lvlJc w:val="left"/>
    </w:lvl>
    <w:lvl w:ilvl="7" w:tplc="1500F1D4">
      <w:numFmt w:val="decimal"/>
      <w:lvlText w:val=""/>
      <w:lvlJc w:val="left"/>
    </w:lvl>
    <w:lvl w:ilvl="8" w:tplc="0F92B528">
      <w:numFmt w:val="decimal"/>
      <w:lvlText w:val=""/>
      <w:lvlJc w:val="left"/>
    </w:lvl>
  </w:abstractNum>
  <w:num w:numId="1" w16cid:durableId="1741902394">
    <w:abstractNumId w:val="0"/>
    <w:lvlOverride w:ilvl="0">
      <w:startOverride w:val="1"/>
    </w:lvlOverride>
  </w:num>
  <w:num w:numId="2" w16cid:durableId="1087264463">
    <w:abstractNumId w:val="1"/>
    <w:lvlOverride w:ilvl="0">
      <w:startOverride w:val="1"/>
    </w:lvlOverride>
  </w:num>
  <w:num w:numId="3" w16cid:durableId="15102157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8AF"/>
    <w:rsid w:val="00D91A2B"/>
    <w:rsid w:val="00F228AF"/>
    <w:rsid w:val="00F64B9B"/>
    <w:rsid w:val="00F71C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9F69E52"/>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unhideWhenUsed/>
    <w:qFormat/>
    <w:pPr>
      <w:spacing w:before="200" w:after="100"/>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2101</Words>
  <Characters>2333</Characters>
  <Application>Microsoft Office Word</Application>
  <DocSecurity>0</DocSecurity>
  <Lines>80</Lines>
  <Paragraphs>59</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2026-06-17T10:43:00Z</dcterms:created>
  <dcterms:modified xsi:type="dcterms:W3CDTF">2026-06-30T05:37:00Z</dcterms:modified>
</cp:coreProperties>
</file>