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BDC1" w14:textId="77777777" w:rsidR="002820BD" w:rsidRPr="00BC22FB" w:rsidRDefault="00000000">
      <w:pPr>
        <w:spacing w:before="1200" w:after="80"/>
        <w:jc w:val="center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  <w:b/>
          <w:bCs/>
          <w:sz w:val="28"/>
          <w:szCs w:val="28"/>
        </w:rPr>
        <w:t>リサーチ資料</w:t>
      </w:r>
    </w:p>
    <w:p w14:paraId="62CE7B17" w14:textId="77777777" w:rsidR="002820BD" w:rsidRPr="00BC22FB" w:rsidRDefault="00000000">
      <w:pPr>
        <w:spacing w:after="60"/>
        <w:jc w:val="center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  <w:b/>
          <w:bCs/>
          <w:sz w:val="24"/>
          <w:szCs w:val="24"/>
        </w:rPr>
        <w:t>『HAMILTON／ハミルトン』</w:t>
      </w:r>
    </w:p>
    <w:p w14:paraId="2655035D" w14:textId="77777777" w:rsidR="002820BD" w:rsidRPr="00BC22FB" w:rsidRDefault="00000000">
      <w:pPr>
        <w:pBdr>
          <w:bottom w:val="single" w:sz="6" w:space="8" w:color="8A6D3B"/>
        </w:pBdr>
        <w:spacing w:after="60"/>
        <w:jc w:val="center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  <w:sz w:val="18"/>
          <w:szCs w:val="18"/>
        </w:rPr>
        <w:t>ニューヨーク型の創作プロセスと商業還流 ― 非営利孵化器パブリック・シアターと利益参加</w:t>
      </w:r>
    </w:p>
    <w:p w14:paraId="266ED0BE" w14:textId="61A63F89" w:rsidR="002820BD" w:rsidRPr="00BC22FB" w:rsidRDefault="002820BD">
      <w:pPr>
        <w:spacing w:before="700"/>
        <w:jc w:val="center"/>
        <w:rPr>
          <w:rFonts w:ascii="ＭＳ Ｐゴシック" w:eastAsia="ＭＳ Ｐゴシック" w:hAnsi="ＭＳ Ｐゴシック" w:hint="eastAsia"/>
        </w:rPr>
      </w:pPr>
    </w:p>
    <w:p w14:paraId="044AC738" w14:textId="77777777" w:rsidR="002820BD" w:rsidRPr="00BC22FB" w:rsidRDefault="00000000">
      <w:pPr>
        <w:spacing w:after="40"/>
        <w:jc w:val="center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  <w:sz w:val="19"/>
          <w:szCs w:val="19"/>
        </w:rPr>
        <w:t>2026年6月</w:t>
      </w:r>
    </w:p>
    <w:p w14:paraId="43C959AE" w14:textId="77777777" w:rsidR="002820BD" w:rsidRPr="00BC22FB" w:rsidRDefault="00000000">
      <w:pPr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br w:type="page"/>
      </w:r>
    </w:p>
    <w:p w14:paraId="1E8233BE" w14:textId="77777777" w:rsidR="002820BD" w:rsidRPr="00BC22FB" w:rsidRDefault="00000000">
      <w:pPr>
        <w:spacing w:after="240" w:line="300" w:lineRule="auto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  <w:sz w:val="19"/>
          <w:szCs w:val="19"/>
        </w:rPr>
        <w:lastRenderedPageBreak/>
        <w:t>本資料は、非営利→商業転送の類型として、英国のNT型・RSC型に続く第三の経路「ニューヨーク型」を整理するものである。ここでは非営利の孵化器（パブリック・シアター）が開発と初演に徹し、商業製作は商業プロデューサーに委ね、非営利は契約上の利益参加（ロイヤルティ・利益分配）として還流を受ける。役割分離が最も明快で、還流条項の具体的な数値も公開情報から確認できる。『ハミルトン』を主たる事例に、創作プロセス・現象化・還流構造・規律の教訓を整理する。</w:t>
      </w:r>
    </w:p>
    <w:p w14:paraId="0407B71A" w14:textId="77777777" w:rsidR="002820BD" w:rsidRPr="00BC22FB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BC22FB">
        <w:rPr>
          <w:rFonts w:ascii="ＭＳ Ｐゴシック" w:eastAsia="ＭＳ Ｐゴシック" w:hAnsi="ＭＳ Ｐゴシック"/>
          <w:color w:val="auto"/>
        </w:rPr>
        <w:t>1. 発端 ― 一冊の伝記から</w:t>
      </w:r>
    </w:p>
    <w:p w14:paraId="370800F7" w14:textId="77777777" w:rsidR="002820BD" w:rsidRPr="00BC22FB" w:rsidRDefault="00000000" w:rsidP="00BC22FB">
      <w:pPr>
        <w:spacing w:after="12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出発点は作品でも劇場でもなく、一冊の本だった。2008年、ミュージカル『イン・ザ・ハイツ』で多忙だったリン＝マニュエル・ミランダが休暇中にロン・チャーナウの伝記『アレグザンダー・ハミルトン』を手に取り、自身と同じく旺盛な書き手だったハミルトンの生涯にミュージカルの着想を得た。</w:t>
      </w:r>
    </w:p>
    <w:p w14:paraId="4919D720" w14:textId="539FA485" w:rsidR="002820BD" w:rsidRPr="00BC22FB" w:rsidRDefault="00000000">
      <w:pPr>
        <w:spacing w:after="120" w:line="300" w:lineRule="auto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2</w:t>
      </w:r>
      <w:r w:rsidR="00BC22FB">
        <w:rPr>
          <w:rFonts w:ascii="ＭＳ Ｐゴシック" w:eastAsia="ＭＳ Ｐゴシック" w:hAnsi="ＭＳ Ｐゴシック" w:hint="eastAsia"/>
        </w:rPr>
        <w:t xml:space="preserve">　</w:t>
      </w:r>
      <w:r w:rsidRPr="00BC22FB">
        <w:rPr>
          <w:rFonts w:ascii="ＭＳ Ｐゴシック" w:eastAsia="ＭＳ Ｐゴシック" w:hAnsi="ＭＳ Ｐゴシック"/>
        </w:rPr>
        <w:t>009年5月、ミランダはオバマ大統領夫妻らを前にしたホワイトハウスの催し（詩・音楽・スポークンワードの夕べ）で、『イン・ザ・ハイツ』の曲を披露する予定を覆し、構想中の新作（当時の仮題『ハミルトン・ミックステープ』）の冒頭曲となるラップを、音楽監督アレックス・ラカモアの伴奏で初披露した。これがのちの開幕ナンバー「Alexander Hamilton」である。聴衆は総立ちとなり、企画は現実味を帯びていく。</w:t>
      </w:r>
    </w:p>
    <w:p w14:paraId="7F5EC6D4" w14:textId="77777777" w:rsidR="002820BD" w:rsidRPr="00BC22FB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BC22FB">
        <w:rPr>
          <w:rFonts w:ascii="ＭＳ Ｐゴシック" w:eastAsia="ＭＳ Ｐゴシック" w:hAnsi="ＭＳ Ｐゴシック"/>
          <w:color w:val="auto"/>
        </w:rPr>
        <w:t>2. 開発プロセス ― ミックステープからミュージカルへ</w:t>
      </w:r>
    </w:p>
    <w:p w14:paraId="71FEBBE8" w14:textId="77777777" w:rsidR="002820BD" w:rsidRPr="00BC22FB" w:rsidRDefault="00000000" w:rsidP="00BC22FB">
      <w:pPr>
        <w:spacing w:after="12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開発は数年がかりの反復だった。2010年1月、リンカーン・センターのアメリカン・ソングブック・シリーズで楽曲を「ヒップホップ・ソングサイクル」として披露。2013年夏、いまや録音作品ではなく舞台作品として形をとり始めた本作は、ヴァッサー大学／ニューヨーク・ステージ・アンド・フィルムのパワーハウス劇場でワークショップ上演された。</w:t>
      </w:r>
    </w:p>
    <w:p w14:paraId="547BAE16" w14:textId="77777777" w:rsidR="002820BD" w:rsidRPr="00BC22FB" w:rsidRDefault="00000000" w:rsidP="00BC22FB">
      <w:pPr>
        <w:spacing w:after="12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ミランダは『イン・ザ・ハイツ』のチーム――演出のトーマス・ケイル、振付のアンディ・ブランケンビューラー、音楽監督・編曲のアレックス・ラカモア――を再結集した。脚本・作曲・作詞はすべてミランダ単独。2014年にもニューヨークで非公開ワークショップを重ね、フルキャスト・オーケストラで検証を続けた。原作・楽曲・演出・振付が長期の作り込みの中で噛み合っていく過程は、媒体こそ違え、これまで見たNT・RSCの開発文化と通じている。</w:t>
      </w:r>
    </w:p>
    <w:p w14:paraId="27D2771B" w14:textId="77777777" w:rsidR="002820BD" w:rsidRPr="00BC22FB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BC22FB">
        <w:rPr>
          <w:rFonts w:ascii="ＭＳ Ｐゴシック" w:eastAsia="ＭＳ Ｐゴシック" w:hAnsi="ＭＳ Ｐゴシック"/>
          <w:color w:val="auto"/>
        </w:rPr>
        <w:t>3. パブリック・シアターという孵化器</w:t>
      </w:r>
    </w:p>
    <w:p w14:paraId="50301CFA" w14:textId="77777777" w:rsidR="002820BD" w:rsidRPr="00BC22FB" w:rsidRDefault="00000000" w:rsidP="00BC22FB">
      <w:pPr>
        <w:spacing w:after="12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作品を世に出す器となったのが、ニューヨークの非営利劇場パブリック・シアター（芸術監督オスカー・ユースティス）である。本作はオフ・ブロードウェイの同劇場で2015年1月20日にプレビューを開始し、2月17日に正式開幕。チケットは即完売となった。</w:t>
      </w:r>
    </w:p>
    <w:p w14:paraId="60D47850" w14:textId="77777777" w:rsidR="002820BD" w:rsidRPr="00BC22FB" w:rsidRDefault="00000000" w:rsidP="00BC22FB">
      <w:pPr>
        <w:spacing w:after="12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重要なのは資金の流れである。パブリックでの上演は、のちにブロードウェイ版を製作する商業プロデューサー――ジェフリー・セラー、サンダー・ジェイコブズ、ジル・ファーマン（いずれも2008年に『イン・ザ・ハイツ』をブロードウェイへ導いた面々）――によって支援された。すなわち商業側の「エンハンスメント・マネー（増強資金、約190万ドルと報じられる）」が非営利の初演に投じられ、非営利は開発・初演の場と「安全に作る空間」を提供した。初演段階の支出には、着想の源となったチャーナウへの分配（1万ドル）も含まれていたとされる。</w:t>
      </w:r>
    </w:p>
    <w:p w14:paraId="52187891" w14:textId="77777777" w:rsidR="002820BD" w:rsidRPr="00BC22FB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BC22FB">
        <w:rPr>
          <w:rFonts w:ascii="ＭＳ Ｐゴシック" w:eastAsia="ＭＳ Ｐゴシック" w:hAnsi="ＭＳ Ｐゴシック"/>
          <w:color w:val="auto"/>
        </w:rPr>
        <w:t>4. ブロードウェイと現象化</w:t>
      </w:r>
    </w:p>
    <w:p w14:paraId="0FD634E9" w14:textId="77777777" w:rsidR="002820BD" w:rsidRPr="00BC22FB" w:rsidRDefault="00000000" w:rsidP="00BC22FB">
      <w:pPr>
        <w:spacing w:after="12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lastRenderedPageBreak/>
        <w:t>2015年7月13日、ブロードウェイのリチャード・ロジャース劇場でプレビュー開始（8月6日正式開幕）。開幕前にすでに約3,200万ドルの前売りを抱える社会現象となっていた。週間興収は平均約290万ドルに達し、のちにレスリー・オドムJr.の出演最終週には8公演で約490万ドルというブロードウェイ史上最高週収を記録した。</w:t>
      </w:r>
    </w:p>
    <w:p w14:paraId="27B88724" w14:textId="32BB6BDA" w:rsidR="002820BD" w:rsidRPr="00BC22FB" w:rsidRDefault="00000000" w:rsidP="00BC22FB">
      <w:pPr>
        <w:spacing w:after="20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2016年のトニー賞では16ノミネートで11部門を受賞、ピューリッツァー賞戯曲部門、グラミー賞も受賞。以後シカゴ、全米ツアー、ウエストエンド（2017年）、ハンブルク（ドイツ語版）、豪州など各地へ展開し、2020年にはディズニーが舞台収録版を獲得して配信（Disney+）した。非営利の小空間で生まれた作品が、世界規模の興行資産となった。</w:t>
      </w:r>
    </w:p>
    <w:p w14:paraId="6D254844" w14:textId="77777777" w:rsidR="002820BD" w:rsidRPr="00BC22FB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BC22FB">
        <w:rPr>
          <w:rFonts w:ascii="ＭＳ Ｐゴシック" w:eastAsia="ＭＳ Ｐゴシック" w:hAnsi="ＭＳ Ｐゴシック"/>
          <w:color w:val="auto"/>
        </w:rPr>
        <w:t>5. 還流構造 ― 非営利孵化器が利益参加で受け取る</w:t>
      </w:r>
    </w:p>
    <w:p w14:paraId="4A5250E3" w14:textId="77777777" w:rsidR="002820BD" w:rsidRPr="00BC22FB" w:rsidRDefault="00000000" w:rsidP="00BC22FB">
      <w:pPr>
        <w:spacing w:after="12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ニューヨーク型の核心は、非営利が商業製作を自ら行わず、開発の対価として契約上の利益参加を保持する点にある。報道によれば、パブリックは各『ハミルトン』プロダクションについて、興行粗収入の1.5%と利益の5%を受け取る（「10%の持分」とも表現される）。</w:t>
      </w:r>
    </w:p>
    <w:p w14:paraId="52F5FBCA" w14:textId="77777777" w:rsidR="002820BD" w:rsidRPr="00BC22FB" w:rsidRDefault="00000000" w:rsidP="00BC22FB">
      <w:pPr>
        <w:spacing w:after="20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その規模は桁違いだった。ブロードウェイ初年度のロイヤルティは約100万ドル。2018年7月までの年度ではブロードウェイ公演だけで約620万ドル、全プロダクション合計では年間最大1,000万ドル規模と試算された。ロイヤルティ・二次的権利収入（『ハミルトン』が大半）は2018-19年度に約2,400万ドルでピークを迎え、同年度のパブリックの総収入（事業収入・寄附・ハミルトン・ロイヤルティ等）は約8,700万ドル――ニューヨークの非営利劇場として最大規模に達した。一作の還流が、非営利本体の財政規模そのものを押し上げた。</w:t>
      </w:r>
    </w:p>
    <w:p w14:paraId="41C960BB" w14:textId="77777777" w:rsidR="002820BD" w:rsidRPr="00BC22FB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BC22FB">
        <w:rPr>
          <w:rFonts w:ascii="ＭＳ Ｐゴシック" w:eastAsia="ＭＳ Ｐゴシック" w:hAnsi="ＭＳ Ｐゴシック"/>
          <w:color w:val="auto"/>
        </w:rPr>
        <w:t>6. 規律と教訓 ― 「いつまでも続かない収入」</w:t>
      </w:r>
    </w:p>
    <w:p w14:paraId="6590B26F" w14:textId="77777777" w:rsidR="002820BD" w:rsidRPr="00BC22FB" w:rsidRDefault="00000000" w:rsidP="00BC22FB">
      <w:pPr>
        <w:spacing w:after="12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パブリックの運用は、上振れ収入の扱いに関する最良の実例であると同時に、その難しさの実証でもある。ユースティスは『ハミルトン』収益のうち運営予算に充てるのは年25万ドルのみとし、残りは現金準備金・基金・アーティストへの支払い・space取得（リハーサル施設Public Studios、デラコート劇場の改修等）に回した。彼は「いつまでも続かない収入に依存することへの強い警戒」を公言している――かつて同劇場を支えた『コーラスライン』の前例を引きながら。</w:t>
      </w:r>
    </w:p>
    <w:p w14:paraId="7B1A379E" w14:textId="77777777" w:rsidR="002820BD" w:rsidRPr="00BC22FB" w:rsidRDefault="00000000" w:rsidP="00BC22FB">
      <w:pPr>
        <w:spacing w:after="20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この警戒は的中した。ロイヤルティ・二次的権利収入は2018-19年度の約2,400万ドルから2023-24年度には約700万ドルへ激減。コロナ禍以降は『ハミルトン』収益が運営予算の補填に回る局面が増え、2025年には人員削減（レイオフ）に至ったと報じられる。なお歴史的には、『コーラスライン』(1975年)の成功後に開発部門を縮小した過去（創設者ジョー・パップ期）があり、ユースティスはこれと異なる「成功を準備金へ積む」哲学を取ったが、それでもなお非恒常的な収入を運営に組み込む誘惑は避けがたい。上振れ装置は恒常財源化してはならない――この原則の、最も生々しい裏づけである。</w:t>
      </w:r>
    </w:p>
    <w:p w14:paraId="37D4ACCC" w14:textId="77777777" w:rsidR="002820BD" w:rsidRPr="00BC22FB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BC22FB">
        <w:rPr>
          <w:rFonts w:ascii="ＭＳ Ｐゴシック" w:eastAsia="ＭＳ Ｐゴシック" w:hAnsi="ＭＳ Ｐゴシック"/>
          <w:color w:val="auto"/>
        </w:rPr>
        <w:t>7. 三類型の中での位置づけ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360"/>
        <w:gridCol w:w="2560"/>
        <w:gridCol w:w="2740"/>
      </w:tblGrid>
      <w:tr w:rsidR="002820BD" w:rsidRPr="00BC22FB" w14:paraId="48B89D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F5E672" w14:textId="77777777" w:rsidR="002820BD" w:rsidRPr="00BC22FB" w:rsidRDefault="00000000">
            <w:pPr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b/>
                <w:bCs/>
                <w:sz w:val="18"/>
                <w:szCs w:val="18"/>
              </w:rPr>
              <w:t>観点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96A98A" w14:textId="77777777" w:rsidR="002820BD" w:rsidRPr="00BC22FB" w:rsidRDefault="00000000">
            <w:pPr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b/>
                <w:bCs/>
                <w:sz w:val="18"/>
                <w:szCs w:val="18"/>
              </w:rPr>
              <w:t>NT型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F2CBDA" w14:textId="77777777" w:rsidR="002820BD" w:rsidRPr="00BC22FB" w:rsidRDefault="00000000">
            <w:pPr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b/>
                <w:bCs/>
                <w:sz w:val="18"/>
                <w:szCs w:val="18"/>
              </w:rPr>
              <w:t>RSC型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83574B" w14:textId="77777777" w:rsidR="002820BD" w:rsidRPr="00BC22FB" w:rsidRDefault="00000000">
            <w:pPr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b/>
                <w:bCs/>
                <w:sz w:val="18"/>
                <w:szCs w:val="18"/>
              </w:rPr>
              <w:t>ニューヨーク型（パブリック）</w:t>
            </w:r>
          </w:p>
        </w:tc>
      </w:tr>
      <w:tr w:rsidR="002820BD" w:rsidRPr="00BC22FB" w14:paraId="75B72E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86EAD7" w14:textId="77777777" w:rsidR="002820BD" w:rsidRPr="00BC22FB" w:rsidRDefault="00000000">
            <w:pPr>
              <w:spacing w:line="260" w:lineRule="auto"/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b/>
                <w:bCs/>
                <w:sz w:val="18"/>
                <w:szCs w:val="18"/>
              </w:rPr>
              <w:t>商業化の主体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EC1BE2" w14:textId="77777777" w:rsidR="002820BD" w:rsidRPr="00BC22FB" w:rsidRDefault="00000000">
            <w:pPr>
              <w:spacing w:line="260" w:lineRule="auto"/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sz w:val="18"/>
                <w:szCs w:val="18"/>
              </w:rPr>
              <w:t>本体＋別ブランドの商業の腕（ナショナル・エンジェルズ）が製作。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F6AEF3" w14:textId="77777777" w:rsidR="002820BD" w:rsidRPr="00BC22FB" w:rsidRDefault="00000000">
            <w:pPr>
              <w:spacing w:line="260" w:lineRule="auto"/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sz w:val="18"/>
                <w:szCs w:val="18"/>
              </w:rPr>
              <w:t>本体（チャリティ）が自ら製作、または商業インプレサリオと共同製作。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A2983D" w14:textId="77777777" w:rsidR="002820BD" w:rsidRPr="00BC22FB" w:rsidRDefault="00000000">
            <w:pPr>
              <w:spacing w:line="260" w:lineRule="auto"/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sz w:val="18"/>
                <w:szCs w:val="18"/>
              </w:rPr>
              <w:t>商業プロデューサーが製作。非営利は製作せず利益参加のみ。</w:t>
            </w:r>
          </w:p>
        </w:tc>
      </w:tr>
      <w:tr w:rsidR="002820BD" w:rsidRPr="00BC22FB" w14:paraId="1B6163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82DC7A" w14:textId="77777777" w:rsidR="002820BD" w:rsidRPr="00BC22FB" w:rsidRDefault="00000000">
            <w:pPr>
              <w:spacing w:line="260" w:lineRule="auto"/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b/>
                <w:bCs/>
                <w:sz w:val="18"/>
                <w:szCs w:val="18"/>
              </w:rPr>
              <w:lastRenderedPageBreak/>
              <w:t>非営利が負うリスク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50FFC6" w14:textId="77777777" w:rsidR="002820BD" w:rsidRPr="00BC22FB" w:rsidRDefault="00000000">
            <w:pPr>
              <w:spacing w:line="260" w:lineRule="auto"/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sz w:val="18"/>
                <w:szCs w:val="18"/>
              </w:rPr>
              <w:t>商業製作リスクを一部負う。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712567" w14:textId="77777777" w:rsidR="002820BD" w:rsidRPr="00BC22FB" w:rsidRDefault="00000000">
            <w:pPr>
              <w:spacing w:line="260" w:lineRule="auto"/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sz w:val="18"/>
                <w:szCs w:val="18"/>
              </w:rPr>
              <w:t>製作リスクを自ら負う／共同では条件を握られる。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B48510" w14:textId="77777777" w:rsidR="002820BD" w:rsidRPr="00BC22FB" w:rsidRDefault="00000000">
            <w:pPr>
              <w:spacing w:line="260" w:lineRule="auto"/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sz w:val="18"/>
                <w:szCs w:val="18"/>
              </w:rPr>
              <w:t>商業製作リスクを負わない（開発・初演までを担い enhancement を受領）。</w:t>
            </w:r>
          </w:p>
        </w:tc>
      </w:tr>
      <w:tr w:rsidR="002820BD" w:rsidRPr="00BC22FB" w14:paraId="096E16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31E1D4" w14:textId="77777777" w:rsidR="002820BD" w:rsidRPr="00BC22FB" w:rsidRDefault="00000000">
            <w:pPr>
              <w:spacing w:line="260" w:lineRule="auto"/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b/>
                <w:bCs/>
                <w:sz w:val="18"/>
                <w:szCs w:val="18"/>
              </w:rPr>
              <w:t>還流の形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B13B13" w14:textId="77777777" w:rsidR="002820BD" w:rsidRPr="00BC22FB" w:rsidRDefault="00000000">
            <w:pPr>
              <w:spacing w:line="260" w:lineRule="auto"/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sz w:val="18"/>
                <w:szCs w:val="18"/>
              </w:rPr>
              <w:t>複数の転送に分散。資本投資（NT Future）へも充当。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341AD1" w14:textId="77777777" w:rsidR="002820BD" w:rsidRPr="00BC22FB" w:rsidRDefault="00000000">
            <w:pPr>
              <w:spacing w:line="260" w:lineRule="auto"/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sz w:val="18"/>
                <w:szCs w:val="18"/>
              </w:rPr>
              <w:t>少数メガヒットのロイヤルティに集中。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F57A9F" w14:textId="77777777" w:rsidR="002820BD" w:rsidRPr="00BC22FB" w:rsidRDefault="00000000">
            <w:pPr>
              <w:spacing w:line="260" w:lineRule="auto"/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sz w:val="18"/>
                <w:szCs w:val="18"/>
              </w:rPr>
              <w:t>契約上の利益参加（例：粗収入1.5%＋利益5%）が全プロダクションから。</w:t>
            </w:r>
          </w:p>
        </w:tc>
      </w:tr>
      <w:tr w:rsidR="002820BD" w:rsidRPr="00BC22FB" w14:paraId="37702E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632F6E" w14:textId="77777777" w:rsidR="002820BD" w:rsidRPr="00BC22FB" w:rsidRDefault="00000000">
            <w:pPr>
              <w:spacing w:line="260" w:lineRule="auto"/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b/>
                <w:bCs/>
                <w:sz w:val="18"/>
                <w:szCs w:val="18"/>
              </w:rPr>
              <w:t>固有の強み／リスク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1F687F" w14:textId="77777777" w:rsidR="002820BD" w:rsidRPr="00BC22FB" w:rsidRDefault="00000000">
            <w:pPr>
              <w:spacing w:line="260" w:lineRule="auto"/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sz w:val="18"/>
                <w:szCs w:val="18"/>
              </w:rPr>
              <w:t>上振れ捕捉力が大／収入の揮発性。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8D2A9" w14:textId="77777777" w:rsidR="002820BD" w:rsidRPr="00BC22FB" w:rsidRDefault="00000000">
            <w:pPr>
              <w:spacing w:line="260" w:lineRule="auto"/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sz w:val="18"/>
                <w:szCs w:val="18"/>
              </w:rPr>
              <w:t>集中・還流契約の終了/減額リスク（レ・ミゼラブル減額）。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B68745" w14:textId="77777777" w:rsidR="002820BD" w:rsidRPr="00BC22FB" w:rsidRDefault="00000000">
            <w:pPr>
              <w:spacing w:line="260" w:lineRule="auto"/>
              <w:rPr>
                <w:rFonts w:ascii="ＭＳ Ｐゴシック" w:eastAsia="ＭＳ Ｐゴシック" w:hAnsi="ＭＳ Ｐゴシック"/>
              </w:rPr>
            </w:pPr>
            <w:r w:rsidRPr="00BC22FB">
              <w:rPr>
                <w:rFonts w:ascii="ＭＳ Ｐゴシック" w:eastAsia="ＭＳ Ｐゴシック" w:hAnsi="ＭＳ Ｐゴシック"/>
                <w:sz w:val="18"/>
                <w:szCs w:val="18"/>
              </w:rPr>
              <w:t>役割分離が明快／単一作依存と非恒常性（2,400万→700万ドル）。</w:t>
            </w:r>
          </w:p>
        </w:tc>
      </w:tr>
    </w:tbl>
    <w:p w14:paraId="65C2DB74" w14:textId="77777777" w:rsidR="002820BD" w:rsidRPr="00BC22FB" w:rsidRDefault="002820BD">
      <w:pPr>
        <w:spacing w:after="60" w:line="300" w:lineRule="auto"/>
        <w:rPr>
          <w:rFonts w:ascii="ＭＳ Ｐゴシック" w:eastAsia="ＭＳ Ｐゴシック" w:hAnsi="ＭＳ Ｐゴシック"/>
        </w:rPr>
      </w:pPr>
    </w:p>
    <w:p w14:paraId="7F69E50D" w14:textId="77777777" w:rsidR="002820BD" w:rsidRPr="00BC22FB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BC22FB">
        <w:rPr>
          <w:rFonts w:ascii="ＭＳ Ｐゴシック" w:eastAsia="ＭＳ Ｐゴシック" w:hAnsi="ＭＳ Ｐゴシック"/>
          <w:color w:val="auto"/>
        </w:rPr>
        <w:t>8. 文化資本循環モデルへの示唆</w:t>
      </w:r>
    </w:p>
    <w:p w14:paraId="1C8523DA" w14:textId="77777777" w:rsidR="002820BD" w:rsidRPr="00BC22FB" w:rsidRDefault="00000000">
      <w:pPr>
        <w:pStyle w:val="a4"/>
        <w:numPr>
          <w:ilvl w:val="0"/>
          <w:numId w:val="2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役割分離の最もクリーンな実例：ニューヨーク型は、非営利が商業製作リスクを負わず開発・初演に徹し、契約上の利益参加で還流を受ける。転生装置のうち「非営利は上流に徹し、商業は商業に委ね、契約で還流を確保する」設計の最も明快なモデル。福井先生メモの『本体か子会社か』論点に、第三の解――本体は製作せず利益参加に徹する――を加えられる。</w:t>
      </w:r>
    </w:p>
    <w:p w14:paraId="3ABD2CE6" w14:textId="77777777" w:rsidR="002820BD" w:rsidRPr="00BC22FB" w:rsidRDefault="00000000">
      <w:pPr>
        <w:pStyle w:val="a4"/>
        <w:numPr>
          <w:ilvl w:val="0"/>
          <w:numId w:val="2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還流条項の具体テンプレート：『興行粗収入の1.5%＋利益の5%』という二層構造（粗収入連動＋利益連動）は、Phase 2ロイヤルティの設計にそのまま流用できる具体数値モデル。enhancement money（約190万ドル）→利益参加という対価構造も明快で、上流投資と還流の対応関係が読みやすい。</w:t>
      </w:r>
    </w:p>
    <w:p w14:paraId="06705112" w14:textId="77777777" w:rsidR="002820BD" w:rsidRPr="00BC22FB" w:rsidRDefault="00000000">
      <w:pPr>
        <w:pStyle w:val="a4"/>
        <w:numPr>
          <w:ilvl w:val="0"/>
          <w:numId w:val="2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規律の最強の実証：ユースティスの『運営には年25万ドルのみ、残りは準備金・基金・資本へ』という運用と、実際に収入が2,400万→700万ドルへ激減しレイオフに至った事実は、上振れ装置を恒常財源化しない二層分離の原則の、最も生々しい裏づけ。Nexus設計の規律条項に引用すべき。</w:t>
      </w:r>
    </w:p>
    <w:p w14:paraId="1DE2C707" w14:textId="77777777" w:rsidR="002820BD" w:rsidRPr="00BC22FB" w:rsidRDefault="00000000">
      <w:pPr>
        <w:pStyle w:val="a4"/>
        <w:numPr>
          <w:ilvl w:val="0"/>
          <w:numId w:val="2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半世紀の制度的記憶：『コーラスライン』(1975)→『ハミルトン』。一度の成功後に開発部門を畳んだ反省の上に、『成功を準備金へ積む』運用が築かれた。Nexusも『当てた後にどう積み、どう次の開発へ回すか』を最初から制度化すべき。</w:t>
      </w:r>
    </w:p>
    <w:p w14:paraId="1FFA26D2" w14:textId="77777777" w:rsidR="002820BD" w:rsidRPr="00BC22FB" w:rsidRDefault="00000000">
      <w:pPr>
        <w:pStyle w:val="a4"/>
        <w:numPr>
          <w:ilvl w:val="0"/>
          <w:numId w:val="2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原作・原案への分配を初演段階から：着想源のチャーナウへの分配を初演の支出に含めた実務は、還流の『創作者へ戻す』原則を契約の最初から織り込む具体例。転生装置の原案者・原作者への分配設計の参考になる。</w:t>
      </w:r>
    </w:p>
    <w:p w14:paraId="5AB00082" w14:textId="77777777" w:rsidR="002820BD" w:rsidRPr="00BC22FB" w:rsidRDefault="002820BD">
      <w:pPr>
        <w:spacing w:after="160" w:line="300" w:lineRule="auto"/>
        <w:rPr>
          <w:rFonts w:ascii="ＭＳ Ｐゴシック" w:eastAsia="ＭＳ Ｐゴシック" w:hAnsi="ＭＳ Ｐゴシック"/>
        </w:rPr>
      </w:pPr>
    </w:p>
    <w:p w14:paraId="2D105A3D" w14:textId="77777777" w:rsidR="002820BD" w:rsidRPr="00BC22FB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BC22FB">
        <w:rPr>
          <w:rFonts w:ascii="ＭＳ Ｐゴシック" w:eastAsia="ＭＳ Ｐゴシック" w:hAnsi="ＭＳ Ｐゴシック"/>
          <w:color w:val="auto"/>
        </w:rPr>
        <w:t>9. 主な出典</w:t>
      </w:r>
    </w:p>
    <w:p w14:paraId="676295EC" w14:textId="77777777" w:rsidR="002820BD" w:rsidRPr="00BC22FB" w:rsidRDefault="00000000">
      <w:pPr>
        <w:spacing w:after="120" w:line="300" w:lineRule="auto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本資料は以下の公開情報に基づき整理した（主なもの）。</w:t>
      </w:r>
    </w:p>
    <w:p w14:paraId="4C1E6EAD" w14:textId="77777777" w:rsidR="002820BD" w:rsidRPr="00BC22FB" w:rsidRDefault="00000000">
      <w:pPr>
        <w:pStyle w:val="a4"/>
        <w:numPr>
          <w:ilvl w:val="0"/>
          <w:numId w:val="3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New York Theatre Guide／Playbill／TODAY（開発年表・ホワイトハウス・ワークショップ・座組）</w:t>
      </w:r>
    </w:p>
    <w:p w14:paraId="4688CAEC" w14:textId="77777777" w:rsidR="002820BD" w:rsidRPr="00BC22FB" w:rsidRDefault="00000000">
      <w:pPr>
        <w:pStyle w:val="a4"/>
        <w:numPr>
          <w:ilvl w:val="0"/>
          <w:numId w:val="3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Deadline「Hamilton By The Numbers」（前売り・エンハンスメント約190万ドル・チャーナウ分配）</w:t>
      </w:r>
    </w:p>
    <w:p w14:paraId="08DDA50B" w14:textId="77777777" w:rsidR="002820BD" w:rsidRPr="00BC22FB" w:rsidRDefault="00000000">
      <w:pPr>
        <w:pStyle w:val="a4"/>
        <w:numPr>
          <w:ilvl w:val="0"/>
          <w:numId w:val="3"/>
        </w:numPr>
        <w:spacing w:after="60" w:line="290" w:lineRule="auto"/>
        <w:rPr>
          <w:rFonts w:ascii="ＭＳ Ｐゴシック" w:eastAsia="ＭＳ Ｐゴシック" w:hAnsi="ＭＳ Ｐゴシック"/>
        </w:rPr>
      </w:pPr>
      <w:proofErr w:type="spellStart"/>
      <w:r w:rsidRPr="00BC22FB">
        <w:rPr>
          <w:rFonts w:ascii="ＭＳ Ｐゴシック" w:eastAsia="ＭＳ Ｐゴシック" w:hAnsi="ＭＳ Ｐゴシック"/>
        </w:rPr>
        <w:t>BroadwayWorld</w:t>
      </w:r>
      <w:proofErr w:type="spellEnd"/>
      <w:r w:rsidRPr="00BC22FB">
        <w:rPr>
          <w:rFonts w:ascii="ＭＳ Ｐゴシック" w:eastAsia="ＭＳ Ｐゴシック" w:hAnsi="ＭＳ Ｐゴシック"/>
        </w:rPr>
        <w:t>／Playbill（オスカー・ユースティスの説明、10%の持分、運営充当25万ドル）</w:t>
      </w:r>
    </w:p>
    <w:p w14:paraId="3A113A4A" w14:textId="77777777" w:rsidR="002820BD" w:rsidRPr="00BC22FB" w:rsidRDefault="00000000">
      <w:pPr>
        <w:pStyle w:val="a4"/>
        <w:numPr>
          <w:ilvl w:val="0"/>
          <w:numId w:val="3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Broadway Journal（ロイヤルティ条項1.5%＋5%、年度別収入、$24m→$7m、レイオフ、総収入規模）</w:t>
      </w:r>
    </w:p>
    <w:p w14:paraId="41F5F190" w14:textId="77777777" w:rsidR="002820BD" w:rsidRPr="00BC22FB" w:rsidRDefault="00000000">
      <w:pPr>
        <w:pStyle w:val="a4"/>
        <w:numPr>
          <w:ilvl w:val="0"/>
          <w:numId w:val="3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lastRenderedPageBreak/>
        <w:t>New York State Attorney General 提出のHamilton財務書類に基づく各報道</w:t>
      </w:r>
    </w:p>
    <w:p w14:paraId="1341027F" w14:textId="77777777" w:rsidR="002820BD" w:rsidRPr="00BC22FB" w:rsidRDefault="00000000">
      <w:pPr>
        <w:pStyle w:val="a4"/>
        <w:numPr>
          <w:ilvl w:val="0"/>
          <w:numId w:val="3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</w:rPr>
        <w:t>Wikipedia（Hamilton 2020 film：ディズニー配信・座組）、各受賞記録（トニー・ピューリッツァー・グラミー）</w:t>
      </w:r>
    </w:p>
    <w:p w14:paraId="40098C2B" w14:textId="77777777" w:rsidR="002820BD" w:rsidRPr="00BC22FB" w:rsidRDefault="002820BD">
      <w:pPr>
        <w:spacing w:after="160" w:line="300" w:lineRule="auto"/>
        <w:rPr>
          <w:rFonts w:ascii="ＭＳ Ｐゴシック" w:eastAsia="ＭＳ Ｐゴシック" w:hAnsi="ＭＳ Ｐゴシック"/>
        </w:rPr>
      </w:pPr>
    </w:p>
    <w:p w14:paraId="495312C8" w14:textId="77777777" w:rsidR="002820BD" w:rsidRPr="00BC22FB" w:rsidRDefault="00000000">
      <w:pPr>
        <w:spacing w:after="120" w:line="300" w:lineRule="auto"/>
        <w:rPr>
          <w:rFonts w:ascii="ＭＳ Ｐゴシック" w:eastAsia="ＭＳ Ｐゴシック" w:hAnsi="ＭＳ Ｐゴシック"/>
        </w:rPr>
      </w:pPr>
      <w:r w:rsidRPr="00BC22FB">
        <w:rPr>
          <w:rFonts w:ascii="ＭＳ Ｐゴシック" w:eastAsia="ＭＳ Ｐゴシック" w:hAnsi="ＭＳ Ｐゴシック"/>
          <w:sz w:val="19"/>
          <w:szCs w:val="19"/>
        </w:rPr>
        <w:t>以上。財務数値は主に報道・公開書類に基づく試算であり、一次情報との照合により補強しうる。</w:t>
      </w:r>
    </w:p>
    <w:sectPr w:rsidR="002820BD" w:rsidRPr="00BC22F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2D3B4" w14:textId="77777777" w:rsidR="00691EFD" w:rsidRDefault="00691EFD">
      <w:r>
        <w:separator/>
      </w:r>
    </w:p>
  </w:endnote>
  <w:endnote w:type="continuationSeparator" w:id="0">
    <w:p w14:paraId="4B184184" w14:textId="77777777" w:rsidR="00691EFD" w:rsidRDefault="00691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E358E" w14:textId="77777777" w:rsidR="002820BD" w:rsidRDefault="00000000">
    <w:pPr>
      <w:jc w:val="center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C22F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70C6D" w14:textId="77777777" w:rsidR="00691EFD" w:rsidRDefault="00691EFD">
      <w:r>
        <w:separator/>
      </w:r>
    </w:p>
  </w:footnote>
  <w:footnote w:type="continuationSeparator" w:id="0">
    <w:p w14:paraId="720A729E" w14:textId="77777777" w:rsidR="00691EFD" w:rsidRDefault="00691E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7868A" w14:textId="77777777" w:rsidR="002820BD" w:rsidRDefault="00000000">
    <w:pPr>
      <w:jc w:val="right"/>
    </w:pPr>
    <w:r>
      <w:rPr>
        <w:color w:val="595959"/>
        <w:sz w:val="15"/>
        <w:szCs w:val="15"/>
      </w:rPr>
      <w:t>リサーチ資料｜Hamilton・ニューヨーク型の創作と還流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56F9F"/>
    <w:multiLevelType w:val="hybridMultilevel"/>
    <w:tmpl w:val="EB941818"/>
    <w:lvl w:ilvl="0" w:tplc="D1C2AC0E">
      <w:start w:val="1"/>
      <w:numFmt w:val="bullet"/>
      <w:lvlText w:val="●"/>
      <w:lvlJc w:val="left"/>
      <w:pPr>
        <w:ind w:left="720" w:hanging="360"/>
      </w:pPr>
    </w:lvl>
    <w:lvl w:ilvl="1" w:tplc="274A9A46">
      <w:start w:val="1"/>
      <w:numFmt w:val="bullet"/>
      <w:lvlText w:val="○"/>
      <w:lvlJc w:val="left"/>
      <w:pPr>
        <w:ind w:left="1440" w:hanging="360"/>
      </w:pPr>
    </w:lvl>
    <w:lvl w:ilvl="2" w:tplc="E56855AE">
      <w:start w:val="1"/>
      <w:numFmt w:val="bullet"/>
      <w:lvlText w:val="■"/>
      <w:lvlJc w:val="left"/>
      <w:pPr>
        <w:ind w:left="2160" w:hanging="360"/>
      </w:pPr>
    </w:lvl>
    <w:lvl w:ilvl="3" w:tplc="4748EBBC">
      <w:start w:val="1"/>
      <w:numFmt w:val="bullet"/>
      <w:lvlText w:val="●"/>
      <w:lvlJc w:val="left"/>
      <w:pPr>
        <w:ind w:left="2880" w:hanging="360"/>
      </w:pPr>
    </w:lvl>
    <w:lvl w:ilvl="4" w:tplc="18FA8F82">
      <w:start w:val="1"/>
      <w:numFmt w:val="bullet"/>
      <w:lvlText w:val="○"/>
      <w:lvlJc w:val="left"/>
      <w:pPr>
        <w:ind w:left="3600" w:hanging="360"/>
      </w:pPr>
    </w:lvl>
    <w:lvl w:ilvl="5" w:tplc="040A54A4">
      <w:start w:val="1"/>
      <w:numFmt w:val="bullet"/>
      <w:lvlText w:val="■"/>
      <w:lvlJc w:val="left"/>
      <w:pPr>
        <w:ind w:left="4320" w:hanging="360"/>
      </w:pPr>
    </w:lvl>
    <w:lvl w:ilvl="6" w:tplc="7C040DBE">
      <w:start w:val="1"/>
      <w:numFmt w:val="bullet"/>
      <w:lvlText w:val="●"/>
      <w:lvlJc w:val="left"/>
      <w:pPr>
        <w:ind w:left="5040" w:hanging="360"/>
      </w:pPr>
    </w:lvl>
    <w:lvl w:ilvl="7" w:tplc="93E2EB2A">
      <w:start w:val="1"/>
      <w:numFmt w:val="bullet"/>
      <w:lvlText w:val="●"/>
      <w:lvlJc w:val="left"/>
      <w:pPr>
        <w:ind w:left="5760" w:hanging="360"/>
      </w:pPr>
    </w:lvl>
    <w:lvl w:ilvl="8" w:tplc="56D6D8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175076"/>
    <w:multiLevelType w:val="hybridMultilevel"/>
    <w:tmpl w:val="FF60CEAC"/>
    <w:lvl w:ilvl="0" w:tplc="5BD69144">
      <w:start w:val="1"/>
      <w:numFmt w:val="bullet"/>
      <w:lvlText w:val="•"/>
      <w:lvlJc w:val="left"/>
      <w:pPr>
        <w:ind w:left="560" w:hanging="280"/>
      </w:pPr>
    </w:lvl>
    <w:lvl w:ilvl="1" w:tplc="4E5456A8">
      <w:numFmt w:val="decimal"/>
      <w:lvlText w:val=""/>
      <w:lvlJc w:val="left"/>
    </w:lvl>
    <w:lvl w:ilvl="2" w:tplc="C85AA790">
      <w:numFmt w:val="decimal"/>
      <w:lvlText w:val=""/>
      <w:lvlJc w:val="left"/>
    </w:lvl>
    <w:lvl w:ilvl="3" w:tplc="F32EB0BA">
      <w:numFmt w:val="decimal"/>
      <w:lvlText w:val=""/>
      <w:lvlJc w:val="left"/>
    </w:lvl>
    <w:lvl w:ilvl="4" w:tplc="405C708A">
      <w:numFmt w:val="decimal"/>
      <w:lvlText w:val=""/>
      <w:lvlJc w:val="left"/>
    </w:lvl>
    <w:lvl w:ilvl="5" w:tplc="C0FC0D00">
      <w:numFmt w:val="decimal"/>
      <w:lvlText w:val=""/>
      <w:lvlJc w:val="left"/>
    </w:lvl>
    <w:lvl w:ilvl="6" w:tplc="279C00E2">
      <w:numFmt w:val="decimal"/>
      <w:lvlText w:val=""/>
      <w:lvlJc w:val="left"/>
    </w:lvl>
    <w:lvl w:ilvl="7" w:tplc="2CAE5FF0">
      <w:numFmt w:val="decimal"/>
      <w:lvlText w:val=""/>
      <w:lvlJc w:val="left"/>
    </w:lvl>
    <w:lvl w:ilvl="8" w:tplc="D4624BCE">
      <w:numFmt w:val="decimal"/>
      <w:lvlText w:val=""/>
      <w:lvlJc w:val="left"/>
    </w:lvl>
  </w:abstractNum>
  <w:abstractNum w:abstractNumId="2" w15:restartNumberingAfterBreak="0">
    <w:nsid w:val="778D3960"/>
    <w:multiLevelType w:val="hybridMultilevel"/>
    <w:tmpl w:val="B5D8D3CE"/>
    <w:lvl w:ilvl="0" w:tplc="3362C658">
      <w:start w:val="1"/>
      <w:numFmt w:val="bullet"/>
      <w:lvlText w:val="–"/>
      <w:lvlJc w:val="left"/>
      <w:pPr>
        <w:ind w:left="560" w:hanging="280"/>
      </w:pPr>
    </w:lvl>
    <w:lvl w:ilvl="1" w:tplc="9594BA18">
      <w:numFmt w:val="decimal"/>
      <w:lvlText w:val=""/>
      <w:lvlJc w:val="left"/>
    </w:lvl>
    <w:lvl w:ilvl="2" w:tplc="E2D256E0">
      <w:numFmt w:val="decimal"/>
      <w:lvlText w:val=""/>
      <w:lvlJc w:val="left"/>
    </w:lvl>
    <w:lvl w:ilvl="3" w:tplc="1FFC5E52">
      <w:numFmt w:val="decimal"/>
      <w:lvlText w:val=""/>
      <w:lvlJc w:val="left"/>
    </w:lvl>
    <w:lvl w:ilvl="4" w:tplc="E38279CA">
      <w:numFmt w:val="decimal"/>
      <w:lvlText w:val=""/>
      <w:lvlJc w:val="left"/>
    </w:lvl>
    <w:lvl w:ilvl="5" w:tplc="B218B6DC">
      <w:numFmt w:val="decimal"/>
      <w:lvlText w:val=""/>
      <w:lvlJc w:val="left"/>
    </w:lvl>
    <w:lvl w:ilvl="6" w:tplc="9D3A3F5E">
      <w:numFmt w:val="decimal"/>
      <w:lvlText w:val=""/>
      <w:lvlJc w:val="left"/>
    </w:lvl>
    <w:lvl w:ilvl="7" w:tplc="4906DA50">
      <w:numFmt w:val="decimal"/>
      <w:lvlText w:val=""/>
      <w:lvlJc w:val="left"/>
    </w:lvl>
    <w:lvl w:ilvl="8" w:tplc="D9DEA3E2">
      <w:numFmt w:val="decimal"/>
      <w:lvlText w:val=""/>
      <w:lvlJc w:val="left"/>
    </w:lvl>
  </w:abstractNum>
  <w:num w:numId="1" w16cid:durableId="912274312">
    <w:abstractNumId w:val="0"/>
    <w:lvlOverride w:ilvl="0">
      <w:startOverride w:val="1"/>
    </w:lvlOverride>
  </w:num>
  <w:num w:numId="2" w16cid:durableId="612596673">
    <w:abstractNumId w:val="1"/>
    <w:lvlOverride w:ilvl="0">
      <w:startOverride w:val="1"/>
    </w:lvlOverride>
  </w:num>
  <w:num w:numId="3" w16cid:durableId="205943334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0BD"/>
    <w:rsid w:val="002820BD"/>
    <w:rsid w:val="00691EFD"/>
    <w:rsid w:val="00BC22FB"/>
    <w:rsid w:val="00D9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675E3"/>
  <w15:docId w15:val="{DAFDC033-26B0-2A44-8A9E-B45AA7BAB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4" w:space="4" w:color="8A6D3B"/>
      </w:pBdr>
      <w:spacing w:before="300" w:after="160"/>
      <w:outlineLvl w:val="0"/>
    </w:pPr>
    <w:rPr>
      <w:b/>
      <w:bCs/>
      <w:color w:val="1F3A5F"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000000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2055</Words>
  <Characters>2262</Characters>
  <Application>Microsoft Office Word</Application>
  <DocSecurity>0</DocSecurity>
  <Lines>83</Lines>
  <Paragraphs>59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Gorch Brothers</dc:creator>
  <cp:lastModifiedBy>Tatsuya Ito</cp:lastModifiedBy>
  <cp:revision>2</cp:revision>
  <dcterms:created xsi:type="dcterms:W3CDTF">2026-06-17T10:51:00Z</dcterms:created>
  <dcterms:modified xsi:type="dcterms:W3CDTF">2026-06-30T05:38:00Z</dcterms:modified>
</cp:coreProperties>
</file>