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D95A" w14:textId="77777777" w:rsidR="00B454A8" w:rsidRPr="00651EC8" w:rsidRDefault="00000000">
      <w:pPr>
        <w:spacing w:before="1200" w:after="80"/>
        <w:jc w:val="center"/>
        <w:rPr>
          <w:rFonts w:ascii="ＭＳ Ｐゴシック" w:eastAsia="ＭＳ Ｐゴシック" w:hAnsi="ＭＳ Ｐゴシック"/>
        </w:rPr>
      </w:pPr>
      <w:r w:rsidRPr="00651EC8">
        <w:rPr>
          <w:rFonts w:ascii="ＭＳ Ｐゴシック" w:eastAsia="ＭＳ Ｐゴシック" w:hAnsi="ＭＳ Ｐゴシック"/>
          <w:b/>
          <w:bCs/>
          <w:sz w:val="28"/>
          <w:szCs w:val="28"/>
        </w:rPr>
        <w:t>リサーチ資料</w:t>
      </w:r>
    </w:p>
    <w:p w14:paraId="20BA12CF" w14:textId="77777777" w:rsidR="00B454A8" w:rsidRPr="00651EC8" w:rsidRDefault="00000000">
      <w:pPr>
        <w:spacing w:after="60"/>
        <w:jc w:val="center"/>
        <w:rPr>
          <w:rFonts w:ascii="ＭＳ Ｐゴシック" w:eastAsia="ＭＳ Ｐゴシック" w:hAnsi="ＭＳ Ｐゴシック"/>
        </w:rPr>
      </w:pPr>
      <w:r w:rsidRPr="00651EC8">
        <w:rPr>
          <w:rFonts w:ascii="ＭＳ Ｐゴシック" w:eastAsia="ＭＳ Ｐゴシック" w:hAnsi="ＭＳ Ｐゴシック"/>
          <w:b/>
          <w:bCs/>
          <w:sz w:val="24"/>
          <w:szCs w:val="24"/>
        </w:rPr>
        <w:t>『MARIE CURIE／</w:t>
      </w:r>
      <w:r w:rsidRPr="00651EC8">
        <w:rPr>
          <w:rFonts w:ascii="Malgun Gothic" w:eastAsia="Malgun Gothic" w:hAnsi="Malgun Gothic" w:cs="Malgun Gothic" w:hint="eastAsia"/>
          <w:b/>
          <w:bCs/>
          <w:sz w:val="24"/>
          <w:szCs w:val="24"/>
        </w:rPr>
        <w:t>마리</w:t>
      </w:r>
      <w:r w:rsidRPr="00651EC8">
        <w:rPr>
          <w:rFonts w:ascii="ＭＳ Ｐゴシック" w:eastAsia="ＭＳ Ｐゴシック" w:hAnsi="ＭＳ Ｐゴシック"/>
          <w:b/>
          <w:bCs/>
          <w:sz w:val="24"/>
          <w:szCs w:val="24"/>
        </w:rPr>
        <w:t xml:space="preserve"> </w:t>
      </w:r>
      <w:r w:rsidRPr="00651EC8">
        <w:rPr>
          <w:rFonts w:ascii="Malgun Gothic" w:eastAsia="Malgun Gothic" w:hAnsi="Malgun Gothic" w:cs="Malgun Gothic" w:hint="eastAsia"/>
          <w:b/>
          <w:bCs/>
          <w:sz w:val="24"/>
          <w:szCs w:val="24"/>
        </w:rPr>
        <w:t>퀴리</w:t>
      </w:r>
      <w:r w:rsidRPr="00651EC8">
        <w:rPr>
          <w:rFonts w:ascii="ＭＳ Ｐゴシック" w:eastAsia="ＭＳ Ｐゴシック" w:hAnsi="ＭＳ Ｐゴシック"/>
          <w:b/>
          <w:bCs/>
          <w:sz w:val="24"/>
          <w:szCs w:val="24"/>
        </w:rPr>
        <w:t>』</w:t>
      </w:r>
    </w:p>
    <w:p w14:paraId="1D70631F" w14:textId="089E998F" w:rsidR="00B454A8" w:rsidRPr="00651EC8" w:rsidRDefault="00000000">
      <w:pPr>
        <w:pBdr>
          <w:bottom w:val="single" w:sz="6" w:space="8" w:color="8A6D3B"/>
        </w:pBdr>
        <w:spacing w:after="60"/>
        <w:jc w:val="center"/>
        <w:rPr>
          <w:rFonts w:ascii="ＭＳ Ｐゴシック" w:eastAsia="ＭＳ Ｐゴシック" w:hAnsi="ＭＳ Ｐゴシック"/>
        </w:rPr>
      </w:pPr>
      <w:r w:rsidRPr="00651EC8">
        <w:rPr>
          <w:rFonts w:ascii="ＭＳ Ｐゴシック" w:eastAsia="ＭＳ Ｐゴシック" w:hAnsi="ＭＳ Ｐゴシック"/>
          <w:sz w:val="18"/>
          <w:szCs w:val="18"/>
        </w:rPr>
        <w:t>韓国型の典型 ― 公</w:t>
      </w:r>
      <w:r w:rsidR="00651EC8">
        <w:rPr>
          <w:rFonts w:ascii="ＭＳ Ｐゴシック" w:eastAsia="ＭＳ Ｐゴシック" w:hAnsi="ＭＳ Ｐゴシック" w:hint="eastAsia"/>
          <w:sz w:val="18"/>
          <w:szCs w:val="18"/>
        </w:rPr>
        <w:t>的セクター</w:t>
      </w:r>
      <w:r w:rsidRPr="00651EC8">
        <w:rPr>
          <w:rFonts w:ascii="ＭＳ Ｐゴシック" w:eastAsia="ＭＳ Ｐゴシック" w:hAnsi="ＭＳ Ｐゴシック"/>
          <w:sz w:val="18"/>
          <w:szCs w:val="18"/>
        </w:rPr>
        <w:t>が種をまき、民間プロデューサーが世界で刈り取る</w:t>
      </w:r>
    </w:p>
    <w:p w14:paraId="7B976085" w14:textId="4B29140C" w:rsidR="00B454A8" w:rsidRPr="00651EC8" w:rsidRDefault="00B454A8">
      <w:pPr>
        <w:spacing w:before="700"/>
        <w:jc w:val="center"/>
        <w:rPr>
          <w:rFonts w:ascii="ＭＳ Ｐゴシック" w:eastAsia="ＭＳ Ｐゴシック" w:hAnsi="ＭＳ Ｐゴシック" w:hint="eastAsia"/>
        </w:rPr>
      </w:pPr>
    </w:p>
    <w:p w14:paraId="795EBA5C" w14:textId="77777777" w:rsidR="00B454A8" w:rsidRPr="00651EC8" w:rsidRDefault="00000000">
      <w:pPr>
        <w:spacing w:after="40"/>
        <w:jc w:val="center"/>
        <w:rPr>
          <w:rFonts w:ascii="ＭＳ Ｐゴシック" w:eastAsia="ＭＳ Ｐゴシック" w:hAnsi="ＭＳ Ｐゴシック"/>
        </w:rPr>
      </w:pPr>
      <w:r w:rsidRPr="00651EC8">
        <w:rPr>
          <w:rFonts w:ascii="ＭＳ Ｐゴシック" w:eastAsia="ＭＳ Ｐゴシック" w:hAnsi="ＭＳ Ｐゴシック"/>
          <w:sz w:val="19"/>
          <w:szCs w:val="19"/>
        </w:rPr>
        <w:t>2026年6月</w:t>
      </w:r>
    </w:p>
    <w:p w14:paraId="422058C7" w14:textId="77777777" w:rsidR="00B454A8" w:rsidRPr="00651EC8" w:rsidRDefault="00000000">
      <w:pPr>
        <w:rPr>
          <w:rFonts w:ascii="ＭＳ Ｐゴシック" w:eastAsia="ＭＳ Ｐゴシック" w:hAnsi="ＭＳ Ｐゴシック"/>
        </w:rPr>
      </w:pPr>
      <w:r w:rsidRPr="00651EC8">
        <w:rPr>
          <w:rFonts w:ascii="ＭＳ Ｐゴシック" w:eastAsia="ＭＳ Ｐゴシック" w:hAnsi="ＭＳ Ｐゴシック"/>
        </w:rPr>
        <w:br w:type="page"/>
      </w:r>
    </w:p>
    <w:p w14:paraId="6DFA9FC9" w14:textId="77777777" w:rsidR="00B454A8" w:rsidRPr="00651EC8" w:rsidRDefault="00000000">
      <w:pPr>
        <w:spacing w:after="240" w:line="300" w:lineRule="auto"/>
        <w:rPr>
          <w:rFonts w:ascii="ＭＳ Ｐゴシック" w:eastAsia="ＭＳ Ｐゴシック" w:hAnsi="ＭＳ Ｐゴシック"/>
        </w:rPr>
      </w:pPr>
      <w:r w:rsidRPr="00651EC8">
        <w:rPr>
          <w:rFonts w:ascii="ＭＳ Ｐゴシック" w:eastAsia="ＭＳ Ｐゴシック" w:hAnsi="ＭＳ Ｐゴシック"/>
          <w:sz w:val="19"/>
          <w:szCs w:val="19"/>
        </w:rPr>
        <w:lastRenderedPageBreak/>
        <w:t>本資料は、公共のインキュベーション事業で開発された韓国創作ミュージカルが、民間プロデューサーの保有IPとして国際展開（日本・欧州・ウエストエンド）に至った事例を整理する。標準的な論点――韓国型は転送が機能するが公共・創作者側への還流機構を欠く一方通行型――の、最も明快な現代的実例である。</w:t>
      </w:r>
    </w:p>
    <w:p w14:paraId="42D0C586" w14:textId="0F2058D0"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t>1. 発端 ― 公</w:t>
      </w:r>
      <w:r w:rsidR="00651EC8">
        <w:rPr>
          <w:rFonts w:ascii="ＭＳ Ｐゴシック" w:eastAsia="ＭＳ Ｐゴシック" w:hAnsi="ＭＳ Ｐゴシック" w:hint="eastAsia"/>
          <w:color w:val="auto"/>
        </w:rPr>
        <w:t>的</w:t>
      </w:r>
      <w:r w:rsidRPr="00651EC8">
        <w:rPr>
          <w:rFonts w:ascii="ＭＳ Ｐゴシック" w:eastAsia="ＭＳ Ｐゴシック" w:hAnsi="ＭＳ Ｐゴシック"/>
          <w:color w:val="auto"/>
        </w:rPr>
        <w:t>インキュベーション「グローカル・ミュージカル・ライブ」</w:t>
      </w:r>
    </w:p>
    <w:p w14:paraId="5E3687E9" w14:textId="77777777"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制作はコンテンツ制作会社ライブ（株、2011年設立、代表カン・ビョンウォン）。本作は、ライブ社が主管し、文化体育観光部・韓国コンテンツ振興院が主催する新進作家育成プログラム『グローカル・ミュージカル・ライブ』（</w:t>
      </w:r>
      <w:proofErr w:type="spellStart"/>
      <w:r w:rsidRPr="00651EC8">
        <w:rPr>
          <w:rFonts w:ascii="ＭＳ Ｐゴシック" w:eastAsia="ＭＳ Ｐゴシック" w:hAnsi="ＭＳ Ｐゴシック"/>
        </w:rPr>
        <w:t>Glocal</w:t>
      </w:r>
      <w:proofErr w:type="spellEnd"/>
      <w:r w:rsidRPr="00651EC8">
        <w:rPr>
          <w:rFonts w:ascii="ＭＳ Ｐゴシック" w:eastAsia="ＭＳ Ｐゴシック" w:hAnsi="ＭＳ Ｐゴシック"/>
        </w:rPr>
        <w:t>＝Global＋Local）の枠組みで開発された創作ミュージカルである。作曲チェ・ジョンユン、脚本・作詞チョン・セウン。</w:t>
      </w:r>
    </w:p>
    <w:p w14:paraId="6D08D480" w14:textId="05C0CDA7"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ここに本事例の構造的な核がある。公</w:t>
      </w:r>
      <w:r w:rsidR="00651EC8">
        <w:rPr>
          <w:rFonts w:ascii="ＭＳ Ｐゴシック" w:eastAsia="ＭＳ Ｐゴシック" w:hAnsi="ＭＳ Ｐゴシック" w:hint="eastAsia"/>
        </w:rPr>
        <w:t>的</w:t>
      </w:r>
      <w:r w:rsidRPr="00651EC8">
        <w:rPr>
          <w:rFonts w:ascii="ＭＳ Ｐゴシック" w:eastAsia="ＭＳ Ｐゴシック" w:hAnsi="ＭＳ Ｐゴシック"/>
        </w:rPr>
        <w:t>資金（文化体育観光部・KOCCA）が開発を支える一方で、事業を運営し、成果物のIPを保有・展開するのは民間のライブ社である。</w:t>
      </w:r>
    </w:p>
    <w:p w14:paraId="06CD310F" w14:textId="77777777"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t>2. 開発と国内初演</w:t>
      </w:r>
    </w:p>
    <w:p w14:paraId="08DFB7FC" w14:textId="77777777"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2017年に『グローカル・ミュージカル・ライブ』シーズン2で開発され、2018年にトライアウト公演、2020年に忠武アートセンター中劇場ブラックで初演。以後、複数シーズンの上演を通じて作品性を確立した。マリ・キュリーの生涯に、ラジウム工場労働者の被曝という倫理的ジレンマを重ねたファクション（史実＋創作）である。</w:t>
      </w:r>
    </w:p>
    <w:p w14:paraId="09A2067B" w14:textId="77777777"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t>3. 役輸出 ― 日本・欧州・ウエストエンドへ</w:t>
      </w:r>
    </w:p>
    <w:p w14:paraId="27DF5E8C" w14:textId="77777777"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2021年にポーランドで公演実況の上映、2022年にワルシャワでショーケース公演を行い、音楽祭で最高賞（『黄金の如雨露賞』）を受賞。2023年には日本ライセンス初演（アミューズ製作、演出・鈴木裕美、東京・天王洲 銀河劇場および大阪・梅田芸術劇場）。</w:t>
      </w:r>
    </w:p>
    <w:p w14:paraId="3F3AEDBC" w14:textId="77777777"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2024年6〜7月には英国ウエストエンドのチャリングクロス劇場で英国初演。ライブ社のカン代表が現地プロダクションのリード・プロデューサーを務め、英国の演出サラ・メドウズ、台本翻案トム・ラムジー等の現地クリエイティブを起用した。『韓国で作られ、主人公の故郷である欧州市場へ「逆輸出」された』ことに大きな意義があるとされる。ライブ社は2013〜2021年にアジア40都市・約600回の海外公演を重ねており、創作から海外進出までのワンストップ体制を構築している。</w:t>
      </w:r>
    </w:p>
    <w:p w14:paraId="52BF2D12" w14:textId="1703C677"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t>4. 還流構造 ― 公</w:t>
      </w:r>
      <w:r w:rsidR="00651EC8">
        <w:rPr>
          <w:rFonts w:ascii="ＭＳ Ｐゴシック" w:eastAsia="ＭＳ Ｐゴシック" w:hAnsi="ＭＳ Ｐゴシック" w:hint="eastAsia"/>
          <w:color w:val="auto"/>
        </w:rPr>
        <w:t>的セクター</w:t>
      </w:r>
      <w:r w:rsidRPr="00651EC8">
        <w:rPr>
          <w:rFonts w:ascii="ＭＳ Ｐゴシック" w:eastAsia="ＭＳ Ｐゴシック" w:hAnsi="ＭＳ Ｐゴシック"/>
          <w:color w:val="auto"/>
        </w:rPr>
        <w:t>が種をまき、民間が刈り取る</w:t>
      </w:r>
    </w:p>
    <w:p w14:paraId="0B30FB56" w14:textId="07D496E8"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本作の還流経路の核心は、公</w:t>
      </w:r>
      <w:r w:rsidR="00651EC8">
        <w:rPr>
          <w:rFonts w:ascii="ＭＳ Ｐゴシック" w:eastAsia="ＭＳ Ｐゴシック" w:hAnsi="ＭＳ Ｐゴシック" w:hint="eastAsia"/>
        </w:rPr>
        <w:t>的セクター</w:t>
      </w:r>
      <w:r w:rsidRPr="00651EC8">
        <w:rPr>
          <w:rFonts w:ascii="ＭＳ Ｐゴシック" w:eastAsia="ＭＳ Ｐゴシック" w:hAnsi="ＭＳ Ｐゴシック"/>
        </w:rPr>
        <w:t>のインキュベーション（文化体育観光部・KOCCAの資金）が開発をde-riskする一方で、生まれたIPと国際展開の利益は民間プロデューサー（ライブ社）に帰属する点にある。</w:t>
      </w:r>
    </w:p>
    <w:p w14:paraId="7126C604" w14:textId="1AA74A19" w:rsidR="00B454A8" w:rsidRPr="00651EC8" w:rsidRDefault="00000000" w:rsidP="00651EC8">
      <w:pPr>
        <w:spacing w:after="120" w:line="300" w:lineRule="auto"/>
        <w:ind w:firstLineChars="50" w:firstLine="105"/>
        <w:rPr>
          <w:rFonts w:ascii="ＭＳ Ｐゴシック" w:eastAsia="ＭＳ Ｐゴシック" w:hAnsi="ＭＳ Ｐゴシック"/>
        </w:rPr>
      </w:pPr>
      <w:r w:rsidRPr="00651EC8">
        <w:rPr>
          <w:rFonts w:ascii="ＭＳ Ｐゴシック" w:eastAsia="ＭＳ Ｐゴシック" w:hAnsi="ＭＳ Ｐゴシック"/>
        </w:rPr>
        <w:t>すなわち、転送（日本・欧州・ウエストエンド）は確かに機能している。しかし公</w:t>
      </w:r>
      <w:r w:rsidR="00651EC8">
        <w:rPr>
          <w:rFonts w:ascii="ＭＳ Ｐゴシック" w:eastAsia="ＭＳ Ｐゴシック" w:hAnsi="ＭＳ Ｐゴシック" w:hint="eastAsia"/>
        </w:rPr>
        <w:t>的</w:t>
      </w:r>
      <w:r w:rsidRPr="00651EC8">
        <w:rPr>
          <w:rFonts w:ascii="ＭＳ Ｐゴシック" w:eastAsia="ＭＳ Ｐゴシック" w:hAnsi="ＭＳ Ｐゴシック"/>
        </w:rPr>
        <w:t>資金や創作エコシステムへ利益が構造的に戻る『還流機構』は存在せず、価値は民間へ一方向に流れる。これは標準比較に置く『レッドブック』（創作産室選定→民間アッテオドゥムが版権を保有しレパートリー化）と同型のパターンである。</w:t>
      </w:r>
    </w:p>
    <w:p w14:paraId="778774FF" w14:textId="77777777"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lastRenderedPageBreak/>
        <w:t>5. 文化資本循環モデルへの示唆</w:t>
      </w:r>
    </w:p>
    <w:p w14:paraId="22A049E8" w14:textId="77777777" w:rsidR="00B454A8" w:rsidRPr="00651EC8" w:rsidRDefault="00000000">
      <w:pPr>
        <w:pStyle w:val="a4"/>
        <w:numPr>
          <w:ilvl w:val="0"/>
          <w:numId w:val="2"/>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一方通行型の最も明快な現代例：公共が開発を支え、民間が国際展開の果実を得る。Nexus／転生装置の差別化点――『公共が育てた価値を公共・創作者側に戻す還流機構』――の必要性を、最も鮮明に裏づける反面教師である。</w:t>
      </w:r>
    </w:p>
    <w:p w14:paraId="7A401914" w14:textId="7BF58B8E" w:rsidR="00B454A8" w:rsidRPr="00651EC8" w:rsidRDefault="00000000">
      <w:pPr>
        <w:pStyle w:val="a4"/>
        <w:numPr>
          <w:ilvl w:val="0"/>
          <w:numId w:val="2"/>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公</w:t>
      </w:r>
      <w:r w:rsidR="00651EC8">
        <w:rPr>
          <w:rFonts w:ascii="ＭＳ Ｐゴシック" w:eastAsia="ＭＳ Ｐゴシック" w:hAnsi="ＭＳ Ｐゴシック" w:hint="eastAsia"/>
        </w:rPr>
        <w:t>的</w:t>
      </w:r>
      <w:r w:rsidRPr="00651EC8">
        <w:rPr>
          <w:rFonts w:ascii="ＭＳ Ｐゴシック" w:eastAsia="ＭＳ Ｐゴシック" w:hAnsi="ＭＳ Ｐゴシック"/>
        </w:rPr>
        <w:t>インキュベーション設計の穴：事業運営とIP保有を民間に委ねると、公共投資のリターンが構造的に外部化する。Nexusが公共資金で上流を担うなら、IP保有・利益参加・返還条項を最初から設計に組み込む必要がある（転生装置Phase 1〜3）。</w:t>
      </w:r>
    </w:p>
    <w:p w14:paraId="080EFF44" w14:textId="77777777" w:rsidR="00B454A8" w:rsidRPr="00651EC8" w:rsidRDefault="00000000">
      <w:pPr>
        <w:pStyle w:val="a4"/>
        <w:numPr>
          <w:ilvl w:val="0"/>
          <w:numId w:val="2"/>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民間の海外展開力は学ぶべき：ライブ社のアジア600回・欧州/ウエストエンド進出のワンストップ体制は、日本に欠ける『創作ミュージカルの海外展開エンジン』。Nexusは還流機構を備えつつ、この種の展開実務能力を内製または提携で確保すべき。</w:t>
      </w:r>
    </w:p>
    <w:p w14:paraId="426395DD" w14:textId="77777777" w:rsidR="00B454A8" w:rsidRPr="00651EC8" w:rsidRDefault="00000000">
      <w:pPr>
        <w:pStyle w:val="a4"/>
        <w:numPr>
          <w:ilvl w:val="0"/>
          <w:numId w:val="2"/>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現地クリエイティブの起用：ウエストエンドで現地の演出・翻案を起用した手法は、日本作品の海外展開（Studio West等）でも有効な現地化モデルになる。</w:t>
      </w:r>
    </w:p>
    <w:p w14:paraId="0179280A" w14:textId="77777777" w:rsidR="00B454A8" w:rsidRPr="00651EC8" w:rsidRDefault="00B454A8">
      <w:pPr>
        <w:spacing w:after="160" w:line="300" w:lineRule="auto"/>
        <w:rPr>
          <w:rFonts w:ascii="ＭＳ Ｐゴシック" w:eastAsia="ＭＳ Ｐゴシック" w:hAnsi="ＭＳ Ｐゴシック"/>
        </w:rPr>
      </w:pPr>
    </w:p>
    <w:p w14:paraId="2001B890" w14:textId="77777777" w:rsidR="00B454A8" w:rsidRPr="00651EC8" w:rsidRDefault="00000000">
      <w:pPr>
        <w:pStyle w:val="1"/>
        <w:rPr>
          <w:rFonts w:ascii="ＭＳ Ｐゴシック" w:eastAsia="ＭＳ Ｐゴシック" w:hAnsi="ＭＳ Ｐゴシック"/>
          <w:color w:val="auto"/>
        </w:rPr>
      </w:pPr>
      <w:r w:rsidRPr="00651EC8">
        <w:rPr>
          <w:rFonts w:ascii="ＭＳ Ｐゴシック" w:eastAsia="ＭＳ Ｐゴシック" w:hAnsi="ＭＳ Ｐゴシック"/>
          <w:color w:val="auto"/>
        </w:rPr>
        <w:t>6. 主な出典</w:t>
      </w:r>
    </w:p>
    <w:p w14:paraId="7D12373D" w14:textId="77777777" w:rsidR="00B454A8" w:rsidRPr="00651EC8" w:rsidRDefault="00000000">
      <w:pPr>
        <w:spacing w:after="120" w:line="300" w:lineRule="auto"/>
        <w:rPr>
          <w:rFonts w:ascii="ＭＳ Ｐゴシック" w:eastAsia="ＭＳ Ｐゴシック" w:hAnsi="ＭＳ Ｐゴシック"/>
        </w:rPr>
      </w:pPr>
      <w:r w:rsidRPr="00651EC8">
        <w:rPr>
          <w:rFonts w:ascii="ＭＳ Ｐゴシック" w:eastAsia="ＭＳ Ｐゴシック" w:hAnsi="ＭＳ Ｐゴシック"/>
        </w:rPr>
        <w:t>本資料は以下の公開情報に基づき整理した（主なもの）。</w:t>
      </w:r>
    </w:p>
    <w:p w14:paraId="3EDE1D14" w14:textId="77777777" w:rsidR="00B454A8" w:rsidRPr="00651EC8" w:rsidRDefault="00000000">
      <w:pPr>
        <w:pStyle w:val="a4"/>
        <w:numPr>
          <w:ilvl w:val="0"/>
          <w:numId w:val="3"/>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ライブ（株）会社サイト／</w:t>
      </w:r>
      <w:proofErr w:type="spellStart"/>
      <w:r w:rsidRPr="00651EC8">
        <w:rPr>
          <w:rFonts w:ascii="ＭＳ Ｐゴシック" w:eastAsia="ＭＳ Ｐゴシック" w:hAnsi="ＭＳ Ｐゴシック"/>
        </w:rPr>
        <w:t>artmore</w:t>
      </w:r>
      <w:proofErr w:type="spellEnd"/>
      <w:r w:rsidRPr="00651EC8">
        <w:rPr>
          <w:rFonts w:ascii="ＭＳ Ｐゴシック" w:eastAsia="ＭＳ Ｐゴシック" w:hAnsi="ＭＳ Ｐゴシック"/>
        </w:rPr>
        <w:t xml:space="preserve"> 企業紹介（グローカル・ミュージカル・ライブの主催・主管構造、海外公演実績）</w:t>
      </w:r>
    </w:p>
    <w:p w14:paraId="6A0E585D" w14:textId="77777777" w:rsidR="00B454A8" w:rsidRPr="00651EC8" w:rsidRDefault="00000000">
      <w:pPr>
        <w:pStyle w:val="a4"/>
        <w:numPr>
          <w:ilvl w:val="0"/>
          <w:numId w:val="3"/>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themusical.co.kr（カン・ビョンウォン代表インタビュー、ウエストエンド進出の経緯）</w:t>
      </w:r>
    </w:p>
    <w:p w14:paraId="4360C84B" w14:textId="77777777" w:rsidR="00B454A8" w:rsidRPr="00651EC8" w:rsidRDefault="00000000">
      <w:pPr>
        <w:pStyle w:val="a4"/>
        <w:numPr>
          <w:ilvl w:val="0"/>
          <w:numId w:val="3"/>
        </w:numPr>
        <w:spacing w:after="60" w:line="290" w:lineRule="auto"/>
        <w:rPr>
          <w:rFonts w:ascii="ＭＳ Ｐゴシック" w:eastAsia="ＭＳ Ｐゴシック" w:hAnsi="ＭＳ Ｐゴシック"/>
        </w:rPr>
      </w:pPr>
      <w:proofErr w:type="spellStart"/>
      <w:r w:rsidRPr="00651EC8">
        <w:rPr>
          <w:rFonts w:ascii="ＭＳ Ｐゴシック" w:eastAsia="ＭＳ Ｐゴシック" w:hAnsi="ＭＳ Ｐゴシック"/>
        </w:rPr>
        <w:t>Dailian</w:t>
      </w:r>
      <w:proofErr w:type="spellEnd"/>
      <w:r w:rsidRPr="00651EC8">
        <w:rPr>
          <w:rFonts w:ascii="ＭＳ Ｐゴシック" w:eastAsia="ＭＳ Ｐゴシック" w:hAnsi="ＭＳ Ｐゴシック"/>
        </w:rPr>
        <w:t>／毎日日報（K-ミュージカルの海外進出、ウエストエンド初演、逆輸出の意義）</w:t>
      </w:r>
    </w:p>
    <w:p w14:paraId="72F0BD49" w14:textId="77777777" w:rsidR="00B454A8" w:rsidRPr="00651EC8" w:rsidRDefault="00000000">
      <w:pPr>
        <w:pStyle w:val="a4"/>
        <w:numPr>
          <w:ilvl w:val="0"/>
          <w:numId w:val="3"/>
        </w:numPr>
        <w:spacing w:after="60" w:line="290" w:lineRule="auto"/>
        <w:rPr>
          <w:rFonts w:ascii="ＭＳ Ｐゴシック" w:eastAsia="ＭＳ Ｐゴシック" w:hAnsi="ＭＳ Ｐゴシック"/>
        </w:rPr>
      </w:pPr>
      <w:r w:rsidRPr="00651EC8">
        <w:rPr>
          <w:rFonts w:ascii="ＭＳ Ｐゴシック" w:eastAsia="ＭＳ Ｐゴシック" w:hAnsi="ＭＳ Ｐゴシック"/>
        </w:rPr>
        <w:t>Wikipedia／Charing Cross Theatre（上演史：ソウル2018・上海・ワルシャワ・東京2023・ロンドン2024）</w:t>
      </w:r>
    </w:p>
    <w:p w14:paraId="189A83C5" w14:textId="77777777" w:rsidR="00B454A8" w:rsidRPr="00651EC8" w:rsidRDefault="00B454A8">
      <w:pPr>
        <w:spacing w:after="120" w:line="300" w:lineRule="auto"/>
        <w:rPr>
          <w:rFonts w:ascii="ＭＳ Ｐゴシック" w:eastAsia="ＭＳ Ｐゴシック" w:hAnsi="ＭＳ Ｐゴシック"/>
        </w:rPr>
      </w:pPr>
    </w:p>
    <w:p w14:paraId="7ABDE5C5" w14:textId="77777777" w:rsidR="00B454A8" w:rsidRPr="00651EC8" w:rsidRDefault="00000000">
      <w:pPr>
        <w:spacing w:after="120" w:line="300" w:lineRule="auto"/>
        <w:rPr>
          <w:rFonts w:ascii="ＭＳ Ｐゴシック" w:eastAsia="ＭＳ Ｐゴシック" w:hAnsi="ＭＳ Ｐゴシック"/>
        </w:rPr>
      </w:pPr>
      <w:r w:rsidRPr="00651EC8">
        <w:rPr>
          <w:rFonts w:ascii="ＭＳ Ｐゴシック" w:eastAsia="ＭＳ Ｐゴシック" w:hAnsi="ＭＳ Ｐゴシック"/>
          <w:sz w:val="19"/>
          <w:szCs w:val="19"/>
        </w:rPr>
        <w:t>以上。事実関係は今後の一次情報との照合により補強しうる。</w:t>
      </w:r>
    </w:p>
    <w:sectPr w:rsidR="00B454A8" w:rsidRPr="00651E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7902" w14:textId="77777777" w:rsidR="00502A65" w:rsidRDefault="00502A65">
      <w:r>
        <w:separator/>
      </w:r>
    </w:p>
  </w:endnote>
  <w:endnote w:type="continuationSeparator" w:id="0">
    <w:p w14:paraId="5623D06D" w14:textId="77777777" w:rsidR="00502A65" w:rsidRDefault="0050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7292" w14:textId="77777777" w:rsidR="00B454A8"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651EC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E3C9D" w14:textId="77777777" w:rsidR="00502A65" w:rsidRDefault="00502A65">
      <w:r>
        <w:separator/>
      </w:r>
    </w:p>
  </w:footnote>
  <w:footnote w:type="continuationSeparator" w:id="0">
    <w:p w14:paraId="30D08860" w14:textId="77777777" w:rsidR="00502A65" w:rsidRDefault="00502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E421" w14:textId="77777777" w:rsidR="00B454A8" w:rsidRDefault="00000000">
    <w:pPr>
      <w:jc w:val="right"/>
    </w:pPr>
    <w:r>
      <w:rPr>
        <w:color w:val="595959"/>
        <w:sz w:val="15"/>
        <w:szCs w:val="15"/>
      </w:rPr>
      <w:t>リサーチ資料｜Marie Curie 一方通行型の典型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3A12"/>
    <w:multiLevelType w:val="hybridMultilevel"/>
    <w:tmpl w:val="2124D1C4"/>
    <w:lvl w:ilvl="0" w:tplc="0D526304">
      <w:start w:val="1"/>
      <w:numFmt w:val="bullet"/>
      <w:lvlText w:val="●"/>
      <w:lvlJc w:val="left"/>
      <w:pPr>
        <w:ind w:left="720" w:hanging="360"/>
      </w:pPr>
    </w:lvl>
    <w:lvl w:ilvl="1" w:tplc="04466392">
      <w:start w:val="1"/>
      <w:numFmt w:val="bullet"/>
      <w:lvlText w:val="○"/>
      <w:lvlJc w:val="left"/>
      <w:pPr>
        <w:ind w:left="1440" w:hanging="360"/>
      </w:pPr>
    </w:lvl>
    <w:lvl w:ilvl="2" w:tplc="664C0620">
      <w:start w:val="1"/>
      <w:numFmt w:val="bullet"/>
      <w:lvlText w:val="■"/>
      <w:lvlJc w:val="left"/>
      <w:pPr>
        <w:ind w:left="2160" w:hanging="360"/>
      </w:pPr>
    </w:lvl>
    <w:lvl w:ilvl="3" w:tplc="5212D426">
      <w:start w:val="1"/>
      <w:numFmt w:val="bullet"/>
      <w:lvlText w:val="●"/>
      <w:lvlJc w:val="left"/>
      <w:pPr>
        <w:ind w:left="2880" w:hanging="360"/>
      </w:pPr>
    </w:lvl>
    <w:lvl w:ilvl="4" w:tplc="4C76B97C">
      <w:start w:val="1"/>
      <w:numFmt w:val="bullet"/>
      <w:lvlText w:val="○"/>
      <w:lvlJc w:val="left"/>
      <w:pPr>
        <w:ind w:left="3600" w:hanging="360"/>
      </w:pPr>
    </w:lvl>
    <w:lvl w:ilvl="5" w:tplc="4E0A4FAA">
      <w:start w:val="1"/>
      <w:numFmt w:val="bullet"/>
      <w:lvlText w:val="■"/>
      <w:lvlJc w:val="left"/>
      <w:pPr>
        <w:ind w:left="4320" w:hanging="360"/>
      </w:pPr>
    </w:lvl>
    <w:lvl w:ilvl="6" w:tplc="A8C6412A">
      <w:start w:val="1"/>
      <w:numFmt w:val="bullet"/>
      <w:lvlText w:val="●"/>
      <w:lvlJc w:val="left"/>
      <w:pPr>
        <w:ind w:left="5040" w:hanging="360"/>
      </w:pPr>
    </w:lvl>
    <w:lvl w:ilvl="7" w:tplc="42763730">
      <w:start w:val="1"/>
      <w:numFmt w:val="bullet"/>
      <w:lvlText w:val="●"/>
      <w:lvlJc w:val="left"/>
      <w:pPr>
        <w:ind w:left="5760" w:hanging="360"/>
      </w:pPr>
    </w:lvl>
    <w:lvl w:ilvl="8" w:tplc="79DA380E">
      <w:start w:val="1"/>
      <w:numFmt w:val="bullet"/>
      <w:lvlText w:val="●"/>
      <w:lvlJc w:val="left"/>
      <w:pPr>
        <w:ind w:left="6480" w:hanging="360"/>
      </w:pPr>
    </w:lvl>
  </w:abstractNum>
  <w:abstractNum w:abstractNumId="1" w15:restartNumberingAfterBreak="0">
    <w:nsid w:val="16420C34"/>
    <w:multiLevelType w:val="hybridMultilevel"/>
    <w:tmpl w:val="A9DAC440"/>
    <w:lvl w:ilvl="0" w:tplc="49A23128">
      <w:start w:val="1"/>
      <w:numFmt w:val="bullet"/>
      <w:lvlText w:val="•"/>
      <w:lvlJc w:val="left"/>
      <w:pPr>
        <w:ind w:left="560" w:hanging="280"/>
      </w:pPr>
    </w:lvl>
    <w:lvl w:ilvl="1" w:tplc="4616153E">
      <w:numFmt w:val="decimal"/>
      <w:lvlText w:val=""/>
      <w:lvlJc w:val="left"/>
    </w:lvl>
    <w:lvl w:ilvl="2" w:tplc="502064E2">
      <w:numFmt w:val="decimal"/>
      <w:lvlText w:val=""/>
      <w:lvlJc w:val="left"/>
    </w:lvl>
    <w:lvl w:ilvl="3" w:tplc="D1262BD0">
      <w:numFmt w:val="decimal"/>
      <w:lvlText w:val=""/>
      <w:lvlJc w:val="left"/>
    </w:lvl>
    <w:lvl w:ilvl="4" w:tplc="42DAF08A">
      <w:numFmt w:val="decimal"/>
      <w:lvlText w:val=""/>
      <w:lvlJc w:val="left"/>
    </w:lvl>
    <w:lvl w:ilvl="5" w:tplc="9AAEAD02">
      <w:numFmt w:val="decimal"/>
      <w:lvlText w:val=""/>
      <w:lvlJc w:val="left"/>
    </w:lvl>
    <w:lvl w:ilvl="6" w:tplc="C762932A">
      <w:numFmt w:val="decimal"/>
      <w:lvlText w:val=""/>
      <w:lvlJc w:val="left"/>
    </w:lvl>
    <w:lvl w:ilvl="7" w:tplc="218A2306">
      <w:numFmt w:val="decimal"/>
      <w:lvlText w:val=""/>
      <w:lvlJc w:val="left"/>
    </w:lvl>
    <w:lvl w:ilvl="8" w:tplc="F5A8C2B6">
      <w:numFmt w:val="decimal"/>
      <w:lvlText w:val=""/>
      <w:lvlJc w:val="left"/>
    </w:lvl>
  </w:abstractNum>
  <w:abstractNum w:abstractNumId="2" w15:restartNumberingAfterBreak="0">
    <w:nsid w:val="6E6A315F"/>
    <w:multiLevelType w:val="hybridMultilevel"/>
    <w:tmpl w:val="75886C0C"/>
    <w:lvl w:ilvl="0" w:tplc="858267B8">
      <w:start w:val="1"/>
      <w:numFmt w:val="bullet"/>
      <w:lvlText w:val="–"/>
      <w:lvlJc w:val="left"/>
      <w:pPr>
        <w:ind w:left="560" w:hanging="280"/>
      </w:pPr>
    </w:lvl>
    <w:lvl w:ilvl="1" w:tplc="6452083E">
      <w:numFmt w:val="decimal"/>
      <w:lvlText w:val=""/>
      <w:lvlJc w:val="left"/>
    </w:lvl>
    <w:lvl w:ilvl="2" w:tplc="815645EC">
      <w:numFmt w:val="decimal"/>
      <w:lvlText w:val=""/>
      <w:lvlJc w:val="left"/>
    </w:lvl>
    <w:lvl w:ilvl="3" w:tplc="CB26115C">
      <w:numFmt w:val="decimal"/>
      <w:lvlText w:val=""/>
      <w:lvlJc w:val="left"/>
    </w:lvl>
    <w:lvl w:ilvl="4" w:tplc="613C8ECE">
      <w:numFmt w:val="decimal"/>
      <w:lvlText w:val=""/>
      <w:lvlJc w:val="left"/>
    </w:lvl>
    <w:lvl w:ilvl="5" w:tplc="032296D6">
      <w:numFmt w:val="decimal"/>
      <w:lvlText w:val=""/>
      <w:lvlJc w:val="left"/>
    </w:lvl>
    <w:lvl w:ilvl="6" w:tplc="11DA48B8">
      <w:numFmt w:val="decimal"/>
      <w:lvlText w:val=""/>
      <w:lvlJc w:val="left"/>
    </w:lvl>
    <w:lvl w:ilvl="7" w:tplc="480203EC">
      <w:numFmt w:val="decimal"/>
      <w:lvlText w:val=""/>
      <w:lvlJc w:val="left"/>
    </w:lvl>
    <w:lvl w:ilvl="8" w:tplc="BD62EA5E">
      <w:numFmt w:val="decimal"/>
      <w:lvlText w:val=""/>
      <w:lvlJc w:val="left"/>
    </w:lvl>
  </w:abstractNum>
  <w:num w:numId="1" w16cid:durableId="1974939717">
    <w:abstractNumId w:val="0"/>
    <w:lvlOverride w:ilvl="0">
      <w:startOverride w:val="1"/>
    </w:lvlOverride>
  </w:num>
  <w:num w:numId="2" w16cid:durableId="2091198336">
    <w:abstractNumId w:val="1"/>
    <w:lvlOverride w:ilvl="0">
      <w:startOverride w:val="1"/>
    </w:lvlOverride>
  </w:num>
  <w:num w:numId="3" w16cid:durableId="10845725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A8"/>
    <w:rsid w:val="00502A65"/>
    <w:rsid w:val="00651EC8"/>
    <w:rsid w:val="00B454A8"/>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88DC00"/>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989</Words>
  <Characters>1079</Characters>
  <Application>Microsoft Office Word</Application>
  <DocSecurity>0</DocSecurity>
  <Lines>33</Lines>
  <Paragraphs>29</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2026-06-17T11:09:00Z</dcterms:created>
  <dcterms:modified xsi:type="dcterms:W3CDTF">2026-06-30T05:44:00Z</dcterms:modified>
</cp:coreProperties>
</file>