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6D9835F7" w14:textId="77777777" w:rsidTr="7B8508EF">
        <w:tc>
          <w:tcPr>
            <w:tcW w:w="8320" w:type="dxa"/>
          </w:tcPr>
          <w:p w14:paraId="29D9B91A" w14:textId="77777777" w:rsidR="00CC64E3" w:rsidRPr="00F362A7" w:rsidRDefault="00D147EC" w:rsidP="00435193">
            <w:pPr>
              <w:pStyle w:val="Subtitle"/>
            </w:pPr>
            <w:r>
              <w:t>Gene Expression</w:t>
            </w:r>
          </w:p>
          <w:p w14:paraId="2D190407" w14:textId="11D58214" w:rsidR="00CC64E3" w:rsidRPr="00F362A7" w:rsidRDefault="53D9E7AA" w:rsidP="00435193">
            <w:pPr>
              <w:pStyle w:val="Title"/>
            </w:pPr>
            <w:r>
              <w:t>ExpressionExpertIpynb: Promoter library analysis with a Jupyter Notebook machine learning workflow</w:t>
            </w:r>
          </w:p>
          <w:p w14:paraId="2B13B9CA" w14:textId="521FF0A6" w:rsidR="00CC64E3" w:rsidRPr="00F362A7" w:rsidRDefault="00D147EC" w:rsidP="00513FFC">
            <w:pPr>
              <w:pStyle w:val="Author-Group"/>
            </w:pPr>
            <w:r>
              <w:t>Ulf W. Liebal</w:t>
            </w:r>
            <w:r w:rsidR="00CC64E3" w:rsidRPr="00F362A7">
              <w:rPr>
                <w:vertAlign w:val="superscript"/>
              </w:rPr>
              <w:t>1,</w:t>
            </w:r>
            <w:r w:rsidR="00CC64E3" w:rsidRPr="00F362A7">
              <w:rPr>
                <w:rFonts w:ascii="Times New Roman" w:hAnsi="Times New Roman"/>
                <w:vertAlign w:val="superscript"/>
              </w:rPr>
              <w:t>*</w:t>
            </w:r>
            <w:r w:rsidR="00CC64E3" w:rsidRPr="00F362A7">
              <w:t xml:space="preserve">, and </w:t>
            </w:r>
            <w:r>
              <w:t>Lars Blank</w:t>
            </w:r>
            <w:r w:rsidR="00C0458A">
              <w:rPr>
                <w:vertAlign w:val="superscript"/>
              </w:rPr>
              <w:t>1</w:t>
            </w:r>
          </w:p>
          <w:p w14:paraId="7EED937D" w14:textId="77777777" w:rsidR="00CC64E3" w:rsidRPr="00D65C51" w:rsidRDefault="00CC64E3" w:rsidP="00513FFC">
            <w:pPr>
              <w:pStyle w:val="Author-Affiliation"/>
            </w:pPr>
            <w:r w:rsidRPr="00D65C51">
              <w:rPr>
                <w:vertAlign w:val="superscript"/>
              </w:rPr>
              <w:t>1</w:t>
            </w:r>
            <w:r w:rsidR="00D147EC" w:rsidRPr="008D2353">
              <w:t xml:space="preserve"> Institute of Applied Microbiology-iAMB, Aachen Biology and Biotechnology-ABBt, RWTH Aachen University, Worringerweg 1, 52074 Aachen, Germany</w:t>
            </w:r>
            <w:r w:rsidR="00D147EC" w:rsidRPr="00D65C51">
              <w:t xml:space="preserve"> </w:t>
            </w:r>
          </w:p>
          <w:p w14:paraId="77A05D03" w14:textId="77777777" w:rsidR="00CC64E3" w:rsidRPr="00D65C51" w:rsidRDefault="00CC64E3" w:rsidP="002F4CA8">
            <w:pPr>
              <w:pStyle w:val="corrs-au"/>
            </w:pPr>
            <w:r w:rsidRPr="00D65C51">
              <w:t>*To whom correspondence should be addressed.</w:t>
            </w:r>
          </w:p>
          <w:p w14:paraId="7CBFD60A" w14:textId="77777777" w:rsidR="00CC64E3" w:rsidRPr="00C4341F" w:rsidRDefault="00CC64E3" w:rsidP="00A5432A">
            <w:pPr>
              <w:pStyle w:val="Abstract-Head"/>
            </w:pPr>
            <w:r w:rsidRPr="00C4341F">
              <w:t>Abstract</w:t>
            </w:r>
          </w:p>
          <w:p w14:paraId="5F06C075" w14:textId="59815D99" w:rsidR="00CC64E3" w:rsidRPr="00DA7E18" w:rsidRDefault="04ABE3BB" w:rsidP="00A5432A">
            <w:pPr>
              <w:pStyle w:val="Abstract-Text"/>
            </w:pPr>
            <w:r w:rsidRPr="04ABE3BB">
              <w:rPr>
                <w:b/>
                <w:bCs/>
              </w:rPr>
              <w:t>Motivation:</w:t>
            </w:r>
            <w:r>
              <w:t xml:space="preserve"> In metabolic engineering enzyme expression is adjusted to rearrange metabolic pathways. Among the main determinants of gene expression are consensus sequences in and around the promoter region. However, the effects of consensus sequences depend on environmental context, may vary across organisms and are divergent for different sigma factors. Here, we present a workflow to support in the identification of sequence features with effects on gene expression.</w:t>
            </w:r>
          </w:p>
          <w:p w14:paraId="2AB3D4A9" w14:textId="09CF00ED" w:rsidR="00CC64E3" w:rsidRDefault="04ABE3BB" w:rsidP="00A5432A">
            <w:pPr>
              <w:pStyle w:val="Abstract-Text"/>
            </w:pPr>
            <w:r w:rsidRPr="04ABE3BB">
              <w:rPr>
                <w:b/>
                <w:bCs/>
              </w:rPr>
              <w:t>Results:</w:t>
            </w:r>
            <w:r>
              <w:t xml:space="preserve"> The workflow is based on a Python Jupyter Notebook and covers (i) the statistical sequence analysis, (ii) machine learning regression of sequence and GC-content to expression values, (iii) performance evaluation of the regressor, (iv) sampling of the theoretical exploration space, and (v) generation of novel sequences with defined activity. The notebook is flexible to also analyze multiple promoter libraries across multiple species to predict defined cross-host activity. It can be adapted to investigate any sequence library to identify sequence factors that determine targeted quantitative outcomes.</w:t>
            </w:r>
          </w:p>
          <w:p w14:paraId="30C1869F" w14:textId="35D5BF71" w:rsidR="003A4127" w:rsidRDefault="7B8508EF" w:rsidP="00A5432A">
            <w:pPr>
              <w:pStyle w:val="Abstract-Text"/>
              <w:rPr>
                <w:rFonts w:ascii="AdvPS2AA1" w:hAnsi="AdvPS2AA1" w:cs="AdvPS2AA1"/>
                <w:lang w:val="en-GB" w:eastAsia="en-IN"/>
              </w:rPr>
            </w:pPr>
            <w:r w:rsidRPr="7B8508EF">
              <w:rPr>
                <w:rFonts w:ascii="AdvPS2AA1" w:hAnsi="AdvPS2AA1" w:cs="AdvPS2AA1"/>
                <w:b/>
                <w:bCs/>
                <w:lang w:val="en-GB" w:eastAsia="en-IN"/>
              </w:rPr>
              <w:t>Availability:</w:t>
            </w:r>
            <w:r w:rsidRPr="7B8508EF">
              <w:rPr>
                <w:rFonts w:ascii="AdvPS2AA1" w:hAnsi="AdvPS2AA1" w:cs="AdvPS2AA1"/>
                <w:lang w:val="en-GB" w:eastAsia="en-IN"/>
              </w:rPr>
              <w:t xml:space="preserve"> Freely available for git cloning at </w:t>
            </w:r>
            <w:hyperlink r:id="rId8">
              <w:r w:rsidRPr="7B8508EF">
                <w:rPr>
                  <w:rStyle w:val="Hyperlink"/>
                </w:rPr>
                <w:t>https://git.rwth-aachen.de/ulf.liebal/exp2.ipynb</w:t>
              </w:r>
            </w:hyperlink>
            <w:r>
              <w:t xml:space="preserve"> and licensed under the terms of GPLv3.</w:t>
            </w:r>
          </w:p>
          <w:p w14:paraId="05B80E08"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C0458A">
              <w:rPr>
                <w:lang w:val="en-GB" w:eastAsia="en-IN"/>
              </w:rPr>
              <w:t>ulf.liebal@rwth-aachen.de</w:t>
            </w:r>
            <w:r>
              <w:rPr>
                <w:lang w:val="en-GB" w:eastAsia="en-IN"/>
              </w:rPr>
              <w:t xml:space="preserve"> </w:t>
            </w:r>
          </w:p>
          <w:p w14:paraId="7F5CBE68" w14:textId="5D63624A" w:rsidR="003A4127" w:rsidRDefault="7B8508EF" w:rsidP="00A5432A">
            <w:pPr>
              <w:pStyle w:val="Abstract-Text"/>
              <w:rPr>
                <w:sz w:val="28"/>
                <w:szCs w:val="28"/>
              </w:rPr>
            </w:pPr>
            <w:r w:rsidRPr="7B8508EF">
              <w:rPr>
                <w:b/>
                <w:bCs/>
                <w:lang w:val="en-GB" w:eastAsia="en-IN"/>
              </w:rPr>
              <w:t>Supplementary information:</w:t>
            </w:r>
            <w:r w:rsidRPr="7B8508EF">
              <w:rPr>
                <w:rFonts w:ascii="AdvPS2A83" w:hAnsi="AdvPS2A83" w:cs="AdvPS2A83"/>
                <w:color w:val="0000FF"/>
                <w:lang w:val="en-GB" w:eastAsia="en-IN"/>
              </w:rPr>
              <w:t xml:space="preserve"> </w:t>
            </w:r>
            <w:r w:rsidRPr="7B8508EF">
              <w:rPr>
                <w:lang w:val="en-GB" w:eastAsia="en-IN"/>
              </w:rPr>
              <w:t>Supplementary data available in the Git folder</w:t>
            </w:r>
            <w:r w:rsidRPr="7B8508EF">
              <w:rPr>
                <w:rFonts w:ascii="AdvPS2A83" w:hAnsi="AdvPS2A83" w:cs="AdvPS2A83"/>
                <w:color w:val="000000" w:themeColor="text1"/>
                <w:lang w:val="en-GB" w:eastAsia="en-IN"/>
              </w:rPr>
              <w:t>.</w:t>
            </w:r>
          </w:p>
        </w:tc>
      </w:tr>
    </w:tbl>
    <w:p w14:paraId="0A37501D" w14:textId="77777777" w:rsidR="002C783E" w:rsidRDefault="002C783E">
      <w:pPr>
        <w:pStyle w:val="AbstractHead"/>
        <w:spacing w:line="14" w:lineRule="exact"/>
      </w:pPr>
    </w:p>
    <w:p w14:paraId="5DAB6C7B" w14:textId="77777777" w:rsidR="00400C63" w:rsidRDefault="00400C63">
      <w:pPr>
        <w:pStyle w:val="AbstractHead"/>
        <w:spacing w:line="14" w:lineRule="exact"/>
      </w:pPr>
    </w:p>
    <w:p w14:paraId="02EB378F" w14:textId="77777777" w:rsidR="0019362B" w:rsidRDefault="0019362B" w:rsidP="03A79A63">
      <w:pPr>
        <w:pStyle w:val="Heading1"/>
        <w:numPr>
          <w:ilvl w:val="0"/>
          <w:numId w:val="0"/>
        </w:numPr>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14:paraId="2635E364" w14:textId="77777777" w:rsidR="00D83B8A" w:rsidRPr="00F4766C" w:rsidRDefault="03A79A63" w:rsidP="001A0125">
      <w:pPr>
        <w:pStyle w:val="Heading1"/>
      </w:pPr>
      <w:r>
        <w:lastRenderedPageBreak/>
        <w:t xml:space="preserve">Introduction </w:t>
      </w:r>
    </w:p>
    <w:p w14:paraId="1BE161F4" w14:textId="64452FF4" w:rsidR="00D83B8A" w:rsidRPr="00F4766C" w:rsidRDefault="56B1B410" w:rsidP="56B1B410">
      <w:pPr>
        <w:pStyle w:val="para-first"/>
      </w:pPr>
      <w:r>
        <w:t>Metabolic engineering requires the controlled adjustment of gene expression to optimize metabolite production. The regulation of gene expression can occur on several levels, and among the most well-known and commonly implemented control points is the promoter region. Sequences in the vicinity of the promoter region contain consensus sequences that determine expression activity. Despite the general characterization of the effects of consensus sequences, their effects may change in different environmental contexts, may vary across organisms and are divergent for different sigma factors. In this context promoter libraries are useful to get access to promoters over a range of activities and to identify sequence features responsible for activity</w:t>
      </w:r>
      <w:r w:rsidR="00F554D0">
        <w:fldChar w:fldCharType="begin" w:fldLock="1"/>
      </w:r>
      <w:r w:rsidR="00F554D0">
        <w:instrText>ADDIN CSL_CITATION {"citationItems":[{"id":"ITEM-1","itemData":{"DOI":"10.1101/gr.224964.117","abstract":"Our ability to predict protein expression from DNA sequence alone remains poor, reflecting our limited understanding of cis-regulatory grammar and hampering the design of engineered genes for synthetic biology applications. Here, we generate a model that predicts the protein expression of the 5′ untranslated region (UTR) of mRNAs in the yeast Saccharomyces cerevisiae. We constructed a library of half a million 50-nucleotide-long random 5′ UTRs and assayed their activity in a massively parallel growth selection experiment. The resulting data allow us to quantify the impact on protein expression of Kozak sequence composition, upstream open reading frames (uORFs), and secondary structure. We trained a convolutional neural network (CNN) on the random library and showed that it performs well at predicting the protein expression of both a held-out set of the random 5′ UTRs as well as native S. cerevisiae 5′ UTRs. The model additionally was used to computationally evolve highly active 5′ UTRs. We confirmed experimentally that the great majority of the evolved sequences led to higher protein expression rates than the starting sequences, demonstrating the predictive power of this model.","author":[{"dropping-particle":"","family":"Cuperus","given":"Josh T","non-dropping-particle":"","parse-names":false,"suffix":""},{"dropping-particle":"","family":"Groves","given":"Benjamin","non-dropping-particle":"","parse-names":false,"suffix":""},{"dropping-particle":"","family":"Kuchina","given":"Anna","non-dropping-particle":"","parse-names":false,"suffix":""},{"dropping-particle":"","family":"Rosenberg","given":"Alexander B","non-dropping-particle":"","parse-names":false,"suffix":""},{"dropping-particle":"","family":"Jojic","given":"Nebojsa","non-dropping-particle":"","parse-names":false,"suffix":""},{"dropping-particle":"","family":"Fields","given":"Stanley","non-dropping-particle":"","parse-names":false,"suffix":""},{"dropping-particle":"","family":"Seelig","given":"Georg","non-dropping-particle":"","parse-names":false,"suffix":""}],"container-title":"Genome Res","id":"ITEM-1","issue":"12","issued":{"date-parts":[["2017"]]},"page":"2015-2024","publisher":"Cold Spring Harbor Lab","title":"Deep learning of the regulatory grammar of yeast 5′ untranslated regions from 500,000 random sequences","type":"article-journal","volume":"27"},"uris":["http://www.mendeley.com/documents/?uuid=52dbb332-f252-310f-81bd-66fa02011f49"]},{"id":"ITEM-2","itemData":{"DOI":"10.1038/nbt.4238","abstract":"Comparative analyses of natural and mutated sequences have been used to probe mechanisms of gene expression, but small sample sizes may produce biased outcomes. We applied an unbiased design-of-experiments approach to disentangle factors suspected to affect translation efficiency in E. coli. We precisely designed 244,000 DNA sequences implementing 56 replicates of a full factorial design to evaluate nucleotide, secondary structure, codon and amino acid properties in combination. For each sequence, we measured reporter transcript abundance and decay, polysome profiles, protein production and growth rates. Associations between designed sequences properties and these consequent phenotypes were dominated by secondary structures and their interactions within transcripts. We confirmed that transcript structure generally limits translation initiation and demonstrated its physiological cost using an epigenetic assay. Codon composition has a sizable impact on translatability, but only in comparatively rare elongation-limited transcripts. We propose a set of design principles to improve translation efficiency that would benefit from more accurate prediction of secondary structures in vivo.","author":[{"dropping-particle":"","family":"Cambray","given":"Guillaume","non-dropping-particle":"","parse-names":false,"suffix":""},{"dropping-particle":"","family":"Guimaraes","given":"Joao C","non-dropping-particle":"","parse-names":false,"suffix":""},{"dropping-particle":"","family":"Arkin","given":"Adam Paul","non-dropping-particle":"","parse-names":false,"suffix":""}],"container-title":"Nature biotechnology","id":"ITEM-2","issue":"10","issued":{"date-parts":[["2018"]]},"page":"1005","publisher":"Nature Publishing Group","title":"Evaluation of 244,000 synthetic sequences reveals design principles to optimize translation in Escherichia coli","type":"article-journal","volume":"36"},"uris":["http://www.mendeley.com/documents/?uuid=f3796822-8c34-3245-b3af-2bc9d3ff2a5d"]},{"id":"ITEM-3","itemData":{"DOI":"10.1073/pnas.0915066107","abstract":"Sequenced bacterial genomes provide a wealth of information but little understanding of transcriptional regulatory circuits largely because accurate prediction of promoters is difficult. We examined two important issues for accurate promoter prediction: (1) the ability to predict promoter strength and (2) the sequence properties that distinguish between active and weak/inactive promoters. We addressed promoter prediction using natural core promoters recognized by the well-studied alternative sigma factor, Escherichia coli σE, as a representative of group 4 σs, the largest σ group. To evaluate the contribution of sequence to promoter strength and function, we used modular position weight matrix models comprised of each promoter motif and a penalty score for suboptimal motif location. We find that a combination of select modules is moderately predictive of promoter strength and that imposing minimal motif scores distinguished active from weak/inactive promoters. The combined -35/-10 score is the most important predictor of activity. Our models also identified key sequence features associated with active promoters. A conserved “AAC” motif in the -35 region is likely to be a general predictor of function for promoters recognized by group 4 σs. These results provide valuable insights into sequences that govern promoter strength, distinguish active and inactive promoters for the first time, and are applicable to both in vivo and in vitro measures of promoter strength.","author":[{"dropping-particle":"","family":"Rhodius","given":"Virgil A","non-dropping-particle":"","parse-names":false,"suffix":""},{"dropping-particle":"","family":"Mutalik","given":"Vivek K","non-dropping-particle":"","parse-names":false,"suffix":""}],"container-title":"Proceedings of the National Academy of Sciences","id":"ITEM-3","issue":"7","issued":{"date-parts":[["2010"]]},"page":"2854-2859","publisher":"National Acad Sciences","title":"Predicting strength and function for promoters of the Escherichia coli alternative sigma factor, σE","type":"article-journal","volume":"107"},"uris":["http://www.mendeley.com/documents/?uuid=f58b9c69-f03a-3d6f-b821-8ed7d12679f9"]}],"mendeley":{"formattedCitation":"&lt;sup&gt;1–3&lt;/sup&gt;","plainTextFormattedCitation":"1–3","previouslyFormattedCitation":"&lt;sup&gt;1–3&lt;/sup&gt;"},"properties":{"noteIndex":0},"schema":"https://github.com/citation-style-language/schema/raw/master/csl-citation.json"}</w:instrText>
      </w:r>
      <w:r w:rsidR="00F554D0">
        <w:fldChar w:fldCharType="separate"/>
      </w:r>
      <w:r w:rsidR="00F554D0" w:rsidRPr="00F554D0">
        <w:rPr>
          <w:noProof/>
          <w:vertAlign w:val="superscript"/>
        </w:rPr>
        <w:t>1–3</w:t>
      </w:r>
      <w:r w:rsidR="00F554D0">
        <w:fldChar w:fldCharType="end"/>
      </w:r>
      <w:r w:rsidR="00CD24F1">
        <w:fldChar w:fldCharType="begin"/>
      </w:r>
      <w:r w:rsidR="00CD24F1">
        <w:instrText xml:space="preserve"> QUOTE "{Rhodius, 2010 #6359}" </w:instrText>
      </w:r>
      <w:r w:rsidR="00CD24F1">
        <w:fldChar w:fldCharType="separate"/>
      </w:r>
      <w:r w:rsidR="00CD24F1">
        <w:fldChar w:fldCharType="end"/>
      </w:r>
      <w:r>
        <w:t>.</w:t>
      </w:r>
      <w:r w:rsidR="002323E3">
        <w:fldChar w:fldCharType="begin"/>
      </w:r>
      <w:r w:rsidR="002323E3">
        <w:instrText xml:space="preserve"> QUOTE "{Rhodius, 2010 #6359}" </w:instrText>
      </w:r>
      <w:r w:rsidR="002323E3">
        <w:fldChar w:fldCharType="separate"/>
      </w:r>
      <w:r w:rsidR="002323E3">
        <w:fldChar w:fldCharType="end"/>
      </w:r>
      <w:r w:rsidR="00F554D0">
        <w:t xml:space="preserve"> </w:t>
      </w:r>
    </w:p>
    <w:p w14:paraId="14E10977" w14:textId="795DD2C8" w:rsidR="00D83B8A" w:rsidRPr="00F4766C" w:rsidRDefault="00D83B8A" w:rsidP="56B1B410">
      <w:pPr>
        <w:pStyle w:val="para-first"/>
      </w:pPr>
    </w:p>
    <w:p w14:paraId="44578C83" w14:textId="51AD9B63" w:rsidR="00D83B8A" w:rsidRPr="00F4766C" w:rsidRDefault="56B1B410" w:rsidP="002323E3">
      <w:pPr>
        <w:pStyle w:val="para-first"/>
        <w:ind w:firstLine="170"/>
      </w:pPr>
      <w:r>
        <w:t xml:space="preserve">Most promoter library studies have performed detailed machine learning analysis to identify sequence features that drive expression activity. However, the analyses are based on diverse programming tools implementing different algorithms and thus direct comparison of library analysis results is impeded and the reconfiguration of the analysis to new libraries is hampered. To unify the analysis and to provide a platform suitable for easy reconfiguration with present the ExpressionExpertIpynb tool. The ExpressionExpertIpynb is based on Python Jupyter Notebooks and consists of workflows to I) support in generating statistical overview to the </w:t>
      </w:r>
      <w:r>
        <w:lastRenderedPageBreak/>
        <w:t>promoter libraries, II) train machine learning algorithms to predict activities and identify sequence features affecting gene expression, III) predict novel sequences with defined activity. Jupyter Notebooks provide a versatile coding environment and allows users with basic programming experience to amend and expand the existing workflow to specific data needs. In the following, we show the application of the ExpressionExpertIpynb on a promoter library with lumped transcription factors in Bacillus subtilis</w:t>
      </w:r>
      <w:r w:rsidR="00F554D0">
        <w:fldChar w:fldCharType="begin" w:fldLock="1"/>
      </w:r>
      <w:r w:rsidR="00F554D0">
        <w:instrText>ADDIN CSL_CITATION {"citationItems":[{"id":"ITEM-1","itemData":{"DOI":"10.1021/acssynbio.8b00115","abstract":"Promoters are among the most-important and most-basic tools for the control of metabolic pathways. However, previous research mainly focused on the screening and characterization of some native promoters in Bacillus subtilis. To develop a broadly applicable promoter system for this important platform organism, we created a de novo synthetic promoter library (SPL) based on consensus sequences by analyzing the microarray transcriptome data of B. subtilis 168. A total of 214 potential promoters spanning a gradient of strengths was isolated and characterized by a green fluorescence assay. Among these, a detailed intensity analysis was conducted on nine promoters with different strengths by reverse-transcription polymerase chain reaction (RT-PCR) and sodium dodecyl sulfate polyacrylamide gel electrophoresis (SDS-PAGE). Furthermore, reconstructed promoters and promoter cassettes (tandem promoter cluster) were designed via statistical model-based analysis and tandem dual promoters, which showed strength that was increased 1.2- and 2.77-fold compared to that of promoter P43, respectively. Finally, the SPL was employed in the production of inosine and acetoin by repressing and over-expressing the relevant metabolic pathways, yielding a 700% and 44% increase relative to the respective control strains. This is the first report of a de novo synthetic promoter library for B. subtilis, which is independent of any native promoter. The strategy of improving and fine-tuning promoter strengths will contribute to future metabolic engineering and synthetic biology projects in B. subtilis.","author":[{"dropping-particle":"","family":"Liu","given":"Dingyu","non-dropping-particle":"","parse-names":false,"suffix":""},{"dropping-particle":"","family":"Mao","given":"Zhitao","non-dropping-particle":"","parse-names":false,"suffix":""},{"dropping-particle":"","family":"Guo","given":"Jiaxin","non-dropping-particle":"","parse-names":false,"suffix":""},{"dropping-particle":"","family":"Wei","given":"Leyi","non-dropping-particle":"","parse-names":false,"suffix":""},{"dropping-particle":"","family":"Ma","given":"Hongwu","non-dropping-particle":"","parse-names":false,"suffix":""},{"dropping-particle":"","family":"Tang","given":"Yajie","non-dropping-particle":"","parse-names":false,"suffix":""},{"dropping-particle":"","family":"Chen","given":"Tao","non-dropping-particle":"","parse-names":false,"suffix":""},{"dropping-particle":"","family":"Wang","given":"Zhiwen","non-dropping-particle":"","parse-names":false,"suffix":""},{"dropping-particle":"","family":"Zhao","given":"Xueming","non-dropping-particle":"","parse-names":false,"suffix":""}],"container-title":"ACS Synth Biol","id":"ITEM-1","issue":"7","issued":{"date-parts":[["2018"]]},"page":"1785-1797","publisher":"ACS Publications","title":"Construction, model-based analysis, and characterization of a promoter library for fine-tuned gene expression in Bacillus subtilis","type":"article-journal","volume":"7"},"uris":["http://www.mendeley.com/documents/?uuid=0c7bbf3e-4d4f-4f28-ada9-dc9af58945af"]}],"mendeley":{"formattedCitation":"&lt;sup&gt;4&lt;/sup&gt;","plainTextFormattedCitation":"4","previouslyFormattedCitation":"&lt;sup&gt;4&lt;/sup&gt;"},"properties":{"noteIndex":0},"schema":"https://github.com/citation-style-language/schema/raw/master/csl-citation.json"}</w:instrText>
      </w:r>
      <w:r w:rsidR="00F554D0">
        <w:fldChar w:fldCharType="separate"/>
      </w:r>
      <w:r w:rsidR="00F554D0" w:rsidRPr="00F554D0">
        <w:rPr>
          <w:noProof/>
          <w:vertAlign w:val="superscript"/>
        </w:rPr>
        <w:t>4</w:t>
      </w:r>
      <w:r w:rsidR="00F554D0">
        <w:fldChar w:fldCharType="end"/>
      </w:r>
      <w:r w:rsidR="00F554D0">
        <w:t xml:space="preserve"> </w:t>
      </w:r>
      <w:r>
        <w:t>and an expression study of GFP and mOrange in Geobacillus</w:t>
      </w:r>
      <w:r w:rsidR="00F554D0">
        <w:fldChar w:fldCharType="begin" w:fldLock="1"/>
      </w:r>
      <w:r w:rsidR="00F554D0">
        <w:instrText>ADDIN CSL_CITATION {"citationItems":[{"id":"ITEM-1","itemData":{"DOI":"10.1021/acssynbio.9b00061","ISSN":"2161-5063","abstract":"Well-characterized promoter collections for synthetic biology applications are not always available in industrially relevant hosts. We developed a broadly applicable method for promoter identification in atypical microbial hosts that requires no a priori understanding of cis-regulatory element structure. This novel approach combines bioinformatic filtering with rapid empirical characterization to expand the promoter toolkit and uses machine learning to improve the understanding of the relationship between DNA sequence and function. Here, we apply the method in Geobacillus thermoglucosidasius, a thermophilic organism with high potential as a synthetic biology chassis for industrial applications. Bioinformatic screening of G. kaustophilus, G. stearothermophilus, G. thermodenitrificans, and G. thermoglucosidasius resulted in the identification of 636 100 bp putative promoters, encompassing the genome-wide design space and lacking known transcription factor binding sites. Eighty of these sequences were characterized in vivo, and activities covered a 2-log range of predictable expression levels. Seven sequences were shown to function consistently regardless of the downstream coding sequence. Partition modeling identified sequence positions upstream of the canonical −35 and −10 consensus motifs that were predicted to strongly influence regulatory activity in Geobacillus, and artificial neural network and partial least squares regression models were derived to assess if there were a simple, forward, quantitative method for in silico prediction of promoter function. However, the models were insufficiently general to predict pre hoc promoter activity in vivo, most probably as a result of the relatively small size of the training data set compared to the size of the modeled design space.","author":[{"dropping-particle":"","family":"Gilman","given":"James","non-dropping-particle":"","parse-names":false,"suffix":""},{"dropping-particle":"","family":"Singleton","given":"Chloe","non-dropping-particle":"","parse-names":false,"suffix":""},{"dropping-particle":"","family":"Tennant","given":"Richard K","non-dropping-particle":"","parse-names":false,"suffix":""},{"dropping-particle":"","family":"James","given":"Paul","non-dropping-particle":"","parse-names":false,"suffix":""},{"dropping-particle":"","family":"Howard","given":"Thomas P","non-dropping-particle":"","parse-names":false,"suffix":""},{"dropping-particle":"","family":"Lux","given":"Thomas","non-dropping-particle":"","parse-names":false,"suffix":""},{"dropping-particle":"","family":"Parker","given":"David A","non-dropping-particle":"","parse-names":false,"suffix":""},{"dropping-particle":"","family":"Love","given":"John","non-dropping-particle":"","parse-names":false,"suffix":""}],"container-title":"ACS Synthetic Biology","id":"ITEM-1","issue":"5","issued":{"date-parts":[["2019","5","17"]]},"page":"1175-1186","publisher":"ACS Publications","title":"Rapid, Heuristic Discovery and Design of Promoter Collections in Non-Model Microbes for Industrial Applications","type":"article-journal","volume":"8"},"uris":["http://www.mendeley.com/documents/?uuid=6e744edb-f34c-39f7-a76c-aaef43b66672"]}],"mendeley":{"formattedCitation":"&lt;sup&gt;5&lt;/sup&gt;","plainTextFormattedCitation":"5","previouslyFormattedCitation":"&lt;sup&gt;5&lt;/sup&gt;"},"properties":{"noteIndex":0},"schema":"https://github.com/citation-style-language/schema/raw/master/csl-citation.json"}</w:instrText>
      </w:r>
      <w:r w:rsidR="00F554D0">
        <w:fldChar w:fldCharType="separate"/>
      </w:r>
      <w:r w:rsidR="00F554D0" w:rsidRPr="00F554D0">
        <w:rPr>
          <w:noProof/>
          <w:vertAlign w:val="superscript"/>
        </w:rPr>
        <w:t>5</w:t>
      </w:r>
      <w:r w:rsidR="00F554D0">
        <w:fldChar w:fldCharType="end"/>
      </w:r>
      <w:r>
        <w:t>.</w:t>
      </w:r>
    </w:p>
    <w:p w14:paraId="24924C10" w14:textId="2330EF65" w:rsidR="00D83B8A" w:rsidRDefault="03A79A63" w:rsidP="001A0125">
      <w:pPr>
        <w:pStyle w:val="Heading1"/>
      </w:pPr>
      <w:r>
        <w:t>Workflow and implementation</w:t>
      </w:r>
    </w:p>
    <w:p w14:paraId="1DCCE5A2" w14:textId="2835550A" w:rsidR="00D83B8A" w:rsidRDefault="56B1B410" w:rsidP="004E0596">
      <w:pPr>
        <w:pStyle w:val="para-first"/>
      </w:pPr>
      <w:r>
        <w:t>We aimed at realizing the guidelines for Jupyter Notebook program development</w:t>
      </w:r>
      <w:r w:rsidR="00F554D0">
        <w:fldChar w:fldCharType="begin" w:fldLock="1"/>
      </w:r>
      <w:r w:rsidR="00F554D0">
        <w:instrText>ADDIN CSL_CITATION {"citationItems":[{"id":"ITEM-1","itemData":{"DOI":"10.1371/journal.pcbi.1007007","author":[{"dropping-particle":"","family":"Rule","given":"Adam","non-dropping-particle":"","parse-names":false,"suffix":""},{"dropping-particle":"","family":"Birmingham","given":"Amanda","non-dropping-particle":"","parse-names":false,"suffix":""},{"dropping-particle":"","family":"Zuniga","given":"Cristal","non-dropping-particle":"","parse-names":false,"suffix":""},{"dropping-particle":"","family":"Altintas","given":"Ilkay","non-dropping-particle":"","parse-names":false,"suffix":""},{"dropping-particle":"","family":"Huang","given":"Shih-Cheng","non-dropping-particle":"","parse-names":false,"suffix":""},{"dropping-particle":"","family":"Knight","given":"Rob","non-dropping-particle":"","parse-names":false,"suffix":""},{"dropping-particle":"","family":"Moshiri","given":"Niema","non-dropping-particle":"","parse-names":false,"suffix":""},{"dropping-particle":"","family":"Nguyen","given":"Mai H","non-dropping-particle":"","parse-names":false,"suffix":""},{"dropping-particle":"","family":"Rosenthal","given":"Sara Brin","non-dropping-particle":"","parse-names":false,"suffix":""},{"dropping-particle":"","family":"Pérez","given":"Fernando","non-dropping-particle":"","parse-names":false,"suffix":""},{"dropping-particle":"","family":"others","given":"","non-dropping-particle":"","parse-names":false,"suffix":""}],"container-title":"PLoS Comp Biol","id":"ITEM-1","issued":{"date-parts":[["2019"]]},"publisher":"Public Library of Science","title":"Ten simple rules for writing and sharing computational analyses in Jupyter Notebooks","type":"article-journal"},"uris":["http://www.mendeley.com/documents/?uuid=0c38d1c1-2065-392a-8007-9711f59ca5b7"]}],"mendeley":{"formattedCitation":"&lt;sup&gt;6&lt;/sup&gt;","plainTextFormattedCitation":"6","previouslyFormattedCitation":"&lt;sup&gt;6&lt;/sup&gt;"},"properties":{"noteIndex":0},"schema":"https://github.com/citation-style-language/schema/raw/master/csl-citation.json"}</w:instrText>
      </w:r>
      <w:r w:rsidR="00F554D0">
        <w:fldChar w:fldCharType="separate"/>
      </w:r>
      <w:r w:rsidR="00F554D0" w:rsidRPr="00F554D0">
        <w:rPr>
          <w:noProof/>
          <w:vertAlign w:val="superscript"/>
        </w:rPr>
        <w:t>6</w:t>
      </w:r>
      <w:r w:rsidR="00F554D0">
        <w:fldChar w:fldCharType="end"/>
      </w:r>
      <w:r>
        <w:t xml:space="preserve"> and all user input and configuration parameters are stored in the configuration file ‘config.txt.’  </w:t>
      </w:r>
    </w:p>
    <w:p w14:paraId="6192EBDF" w14:textId="496A1B9E" w:rsidR="5EC59C67" w:rsidRDefault="007A2B25" w:rsidP="00FD050A">
      <w:pPr>
        <w:pStyle w:val="Heading2"/>
        <w:numPr>
          <w:ilvl w:val="1"/>
          <w:numId w:val="14"/>
        </w:numPr>
      </w:pPr>
      <w:r>
        <w:t xml:space="preserve">Data preparation and </w:t>
      </w:r>
      <w:r w:rsidR="00FD050A">
        <w:t xml:space="preserve">statistical </w:t>
      </w:r>
      <w:r>
        <w:t>analysis</w:t>
      </w:r>
    </w:p>
    <w:p w14:paraId="037DAA02" w14:textId="371EDD3E" w:rsidR="007A2B25" w:rsidRDefault="281BD29D" w:rsidP="007A2B25">
      <w:pPr>
        <w:pStyle w:val="para1"/>
        <w:ind w:firstLine="0"/>
      </w:pPr>
      <w:r>
        <w:t xml:space="preserve">The first Notebook called ‘1-Statistical-Analysis’ provides an overview to the promoter library and generates several statistical information regarding the sequence and the activity measurements. For some datasets only the average activity and standard deviation is available, however, machine learning algorithms cannot process statistical information and perform better if separate samples are available. Therefore, the workflow enables the generation of multiple samples based on mean and standard deviation. </w:t>
      </w:r>
      <w:r>
        <w:lastRenderedPageBreak/>
        <w:t>This is a reasonable procedure if the original data was normal distributed without outliers. This procedure is beneficial if the sampling size is low (e.g. &lt; 500 samples), increases the training robustness significantly while adding a reasonable prediction bias. The sequences are converted into a one-hot encoding.</w:t>
      </w:r>
    </w:p>
    <w:p w14:paraId="7BE1115A" w14:textId="06B25BF0" w:rsidR="00032A71" w:rsidRDefault="00032A71" w:rsidP="00032A71">
      <w:pPr>
        <w:pStyle w:val="para1"/>
      </w:pPr>
      <w:r>
        <w:t>The statistical analysis provides an overview to important properties of the promoter library, namely:</w:t>
      </w:r>
    </w:p>
    <w:p w14:paraId="7F2346BE" w14:textId="35EB35A6" w:rsidR="00032A71" w:rsidRDefault="00032A71" w:rsidP="00032A71">
      <w:pPr>
        <w:pStyle w:val="para1"/>
        <w:numPr>
          <w:ilvl w:val="0"/>
          <w:numId w:val="15"/>
        </w:numPr>
      </w:pPr>
      <w:r>
        <w:t>sequence diversity</w:t>
      </w:r>
    </w:p>
    <w:p w14:paraId="03B67531" w14:textId="1B75F860" w:rsidR="00032A71" w:rsidRDefault="00032A71" w:rsidP="00032A71">
      <w:pPr>
        <w:pStyle w:val="para1"/>
        <w:numPr>
          <w:ilvl w:val="0"/>
          <w:numId w:val="15"/>
        </w:numPr>
      </w:pPr>
      <w:r>
        <w:t>position diversity</w:t>
      </w:r>
    </w:p>
    <w:p w14:paraId="5DCA5351" w14:textId="13131D67" w:rsidR="00032A71" w:rsidRDefault="00032A71" w:rsidP="00032A71">
      <w:pPr>
        <w:pStyle w:val="para1"/>
        <w:numPr>
          <w:ilvl w:val="0"/>
          <w:numId w:val="15"/>
        </w:numPr>
      </w:pPr>
      <w:r>
        <w:t>nucleotide-position expression statistics</w:t>
      </w:r>
    </w:p>
    <w:p w14:paraId="5F5BA5D3" w14:textId="5F942ACB" w:rsidR="00032A71" w:rsidRDefault="00032A71" w:rsidP="00032A71">
      <w:pPr>
        <w:pStyle w:val="para1"/>
        <w:numPr>
          <w:ilvl w:val="0"/>
          <w:numId w:val="15"/>
        </w:numPr>
      </w:pPr>
      <w:r>
        <w:t>expression strength distribution</w:t>
      </w:r>
    </w:p>
    <w:p w14:paraId="523A8D21" w14:textId="45267BA6" w:rsidR="00032A71" w:rsidRDefault="00032A71" w:rsidP="00032A71">
      <w:pPr>
        <w:pStyle w:val="para1"/>
        <w:numPr>
          <w:ilvl w:val="0"/>
          <w:numId w:val="15"/>
        </w:numPr>
      </w:pPr>
      <w:r>
        <w:t>cross host expression strength</w:t>
      </w:r>
    </w:p>
    <w:p w14:paraId="565B29D0" w14:textId="0D12F287" w:rsidR="00032A71" w:rsidRDefault="002C4AA8" w:rsidP="00A90474">
      <w:pPr>
        <w:pStyle w:val="para1"/>
      </w:pPr>
      <w:r>
        <w:t>The promoter diversity is visualized by the sequence and position diversity. The sequence diversity is important to evaluate how well the sequence space was sampled. It is visualized by a histogram of the nucleotide exchange ratio relative to a reference or among all sequences. The position diversity informs about how many nucleotides have been sampled for each position.</w:t>
      </w:r>
      <w:r w:rsidR="00662374">
        <w:t xml:space="preserve"> It is visualized as a stacked bar plot with the amount of each nucleotide on each position, and with the position specific entropy in a bar plot. </w:t>
      </w:r>
      <w:r>
        <w:t>The nucleotide-position expression</w:t>
      </w:r>
      <w:r w:rsidR="00662374">
        <w:t xml:space="preserve"> statistics</w:t>
      </w:r>
      <w:r>
        <w:t xml:space="preserve"> </w:t>
      </w:r>
      <w:r w:rsidR="00F243DB">
        <w:t xml:space="preserve">is calculated for all measurements on a specific nucleotide-position. </w:t>
      </w:r>
      <w:r w:rsidR="009B05BD">
        <w:t>For each sequence</w:t>
      </w:r>
      <w:r w:rsidR="00F243DB">
        <w:t xml:space="preserve"> a matrix of one-hot encodings </w:t>
      </w:r>
      <w:r w:rsidR="00F32E53">
        <w:t xml:space="preserve">with </w:t>
      </w:r>
      <w:r w:rsidR="009B05BD">
        <w:t xml:space="preserve">the </w:t>
      </w:r>
      <w:r w:rsidR="00F32E53">
        <w:t xml:space="preserve">positions on </w:t>
      </w:r>
      <w:r w:rsidR="00F243DB">
        <w:t>the columns and</w:t>
      </w:r>
      <w:r w:rsidR="00F32E53">
        <w:t xml:space="preserve"> </w:t>
      </w:r>
      <w:r w:rsidR="009B05BD">
        <w:t xml:space="preserve">the </w:t>
      </w:r>
      <w:r w:rsidR="00F32E53">
        <w:t>nucleotides</w:t>
      </w:r>
      <w:r w:rsidR="00F243DB">
        <w:t xml:space="preserve"> </w:t>
      </w:r>
      <w:r w:rsidR="00F32E53">
        <w:t xml:space="preserve">on </w:t>
      </w:r>
      <w:r w:rsidR="00F243DB">
        <w:t>the rows</w:t>
      </w:r>
      <w:r w:rsidR="00F32E53">
        <w:t xml:space="preserve"> </w:t>
      </w:r>
      <w:r w:rsidR="009B05BD">
        <w:t>was</w:t>
      </w:r>
      <w:r w:rsidR="00F243DB">
        <w:t xml:space="preserve"> multiplied</w:t>
      </w:r>
      <w:r w:rsidR="009B05BD">
        <w:t xml:space="preserve"> by</w:t>
      </w:r>
      <w:r w:rsidR="00F243DB">
        <w:t xml:space="preserve"> </w:t>
      </w:r>
      <w:r>
        <w:t xml:space="preserve">the </w:t>
      </w:r>
      <w:r w:rsidR="009B05BD">
        <w:t>expression strength</w:t>
      </w:r>
      <w:r w:rsidR="00A90474">
        <w:t xml:space="preserve"> yielding a matrix with the expression strength at correct nucleotide-positions in the matrix</w:t>
      </w:r>
      <w:r w:rsidR="009B05BD">
        <w:t xml:space="preserve">. </w:t>
      </w:r>
      <w:r w:rsidR="00A90474">
        <w:t xml:space="preserve">The matrices allowed calculation of </w:t>
      </w:r>
      <w:r>
        <w:t>average and the variance of expression on each nucleotide position</w:t>
      </w:r>
      <w:r w:rsidR="00A90474">
        <w:t xml:space="preserve"> and the</w:t>
      </w:r>
      <w:r>
        <w:t xml:space="preserve"> </w:t>
      </w:r>
      <w:r w:rsidR="00A90474">
        <w:t>corresponding</w:t>
      </w:r>
      <w:r>
        <w:t xml:space="preserve"> heat-map shows which positions are associated with higher or lower expression. </w:t>
      </w:r>
      <w:r w:rsidR="00A90474">
        <w:t>The expression strength is</w:t>
      </w:r>
      <w:r w:rsidR="00032A71">
        <w:t xml:space="preserve"> visualize</w:t>
      </w:r>
      <w:r w:rsidR="00A90474">
        <w:t>d</w:t>
      </w:r>
      <w:r w:rsidR="00032A71">
        <w:t xml:space="preserve"> with a histogram</w:t>
      </w:r>
      <w:r w:rsidR="00A90474">
        <w:t xml:space="preserve"> </w:t>
      </w:r>
      <w:r w:rsidR="00831B0A">
        <w:t>and</w:t>
      </w:r>
      <w:r w:rsidR="00A90474">
        <w:t xml:space="preserve"> a scatter plot </w:t>
      </w:r>
      <w:r w:rsidR="00831B0A">
        <w:t>for</w:t>
      </w:r>
      <w:r w:rsidR="00A90474">
        <w:t xml:space="preserve"> cross host expression</w:t>
      </w:r>
      <w:r w:rsidR="00032A71">
        <w:t xml:space="preserve">. </w:t>
      </w:r>
    </w:p>
    <w:p w14:paraId="78FDB2CD" w14:textId="56158D75" w:rsidR="00C40B4B" w:rsidRDefault="56B1B410" w:rsidP="003B4FC4">
      <w:pPr>
        <w:pStyle w:val="Heading2"/>
        <w:numPr>
          <w:ilvl w:val="1"/>
          <w:numId w:val="12"/>
        </w:numPr>
      </w:pPr>
      <w:r>
        <w:t>Regressor training and performance</w:t>
      </w:r>
    </w:p>
    <w:p w14:paraId="72BE9145" w14:textId="411B8214" w:rsidR="00384E31" w:rsidRPr="005B167A" w:rsidRDefault="56B1B410" w:rsidP="56B1B410">
      <w:pPr>
        <w:spacing w:line="220" w:lineRule="exact"/>
        <w:jc w:val="both"/>
        <w:rPr>
          <w:rFonts w:ascii="Times New Roman" w:hAnsi="Times New Roman"/>
          <w:sz w:val="16"/>
          <w:szCs w:val="16"/>
        </w:rPr>
      </w:pPr>
      <w:r w:rsidRPr="56B1B410">
        <w:rPr>
          <w:rFonts w:ascii="Times New Roman" w:hAnsi="Times New Roman"/>
          <w:sz w:val="16"/>
          <w:szCs w:val="16"/>
        </w:rPr>
        <w:t>The implemented machine learning routines are random forest (RFR), gradient boosting (GBR), and support vector regression (SVR). The input features are nucleotides on each position and the overall sequence GC-content, and the target variable is the expression strength. The data is split into training and test set, with a default ratio of 9:1. The data is standardized with zero mean and unit variance for SVR, whereas tree-based methods perform well on original data. The library is scanned for uninformative positions with low position diversity and the user can adjust a parameter to exclude positions based on an entropy cut-off. A grid search identifies the optimal hyperparameters. The training is performed with cross-validation, by default with data separation in 9:1, and, a group shuffle split based on the sequences distributes replicates either to the test or the training set. The group shuffle split ensures that the test sequences are unknown to the regressor. The performance evaluation is based on the R</w:t>
      </w:r>
      <w:r w:rsidRPr="00F554D0">
        <w:rPr>
          <w:rFonts w:ascii="Times New Roman" w:hAnsi="Times New Roman"/>
          <w:sz w:val="16"/>
          <w:szCs w:val="16"/>
          <w:vertAlign w:val="superscript"/>
        </w:rPr>
        <w:t>2</w:t>
      </w:r>
      <w:r w:rsidR="00F554D0">
        <w:rPr>
          <w:rFonts w:ascii="Times New Roman" w:hAnsi="Times New Roman"/>
          <w:sz w:val="16"/>
          <w:szCs w:val="16"/>
        </w:rPr>
        <w:t>-</w:t>
      </w:r>
      <w:r w:rsidRPr="56B1B410">
        <w:rPr>
          <w:rFonts w:ascii="Times New Roman" w:hAnsi="Times New Roman"/>
          <w:sz w:val="16"/>
          <w:szCs w:val="16"/>
        </w:rPr>
        <w:t>score and plot for the correlation of measured and predicted expression for training and test set is generated. The tree-based methods allow the extraction of feature importance and represent the contributions of each nucleotide-position to the prediction. They are extracted and visualized with a Logo-plot</w:t>
      </w:r>
      <w:r w:rsidR="00F554D0">
        <w:rPr>
          <w:rFonts w:ascii="Times New Roman" w:hAnsi="Times New Roman"/>
          <w:sz w:val="16"/>
          <w:szCs w:val="16"/>
        </w:rPr>
        <w:fldChar w:fldCharType="begin" w:fldLock="1"/>
      </w:r>
      <w:r w:rsidR="00A64110">
        <w:rPr>
          <w:rFonts w:ascii="Times New Roman" w:hAnsi="Times New Roman"/>
          <w:sz w:val="16"/>
          <w:szCs w:val="16"/>
        </w:rPr>
        <w:instrText>ADDIN CSL_CITATION {"citationItems":[{"id":"ITEM-1","itemData":{"DOI":"10.1093/bioinformatics/btz921","abstract":"Sequence logos are visually compelling ways of illustrating the biological properties of DNA, RNA, and protein sequences, yet it is currently difficult to generate such logos within the Python programming environment. Here we introduce Logomaker, a Python API for creating publication-quality sequence logos. Logomaker can produce both standard and highly customized logos from any matrix-like array of numbers. Logos are rendered as vector graphics that are easy to stylize using standard matplotlib functions. Methods for creating logos from multiple-sequence alignments are also included.\r\n\r\nAvailability and Implementation Logomaker can be installed using the pip package manager and is compatible with both Python 2.7 and Python 3.6. Source code is available at http://github.com/jbkinney/logomaker.","author":[{"dropping-particle":"","family":"Tareen","given":"Ammar","non-dropping-particle":"","parse-names":false,"suffix":""},{"dropping-particle":"","family":"Kinney","given":"Justin B","non-dropping-particle":"","parse-names":false,"suffix":""}],"container-title":"Bioinformatics","editor":[{"dropping-particle":"","family":"Valencia","given":"Alfonso","non-dropping-particle":"","parse-names":false,"suffix":""}],"id":"ITEM-1","issue":"7","issued":{"date-parts":[["2019","12"]]},"page":"2272-2274","publisher":"Oxford University Press (OUP)","title":"Logomaker: beautiful sequence logos in Python","type":"article-journal","volume":"36"},"uris":["http://www.mendeley.com/documents/?uuid=147cbaf9-21cb-3776-b987-45c8507648f0"]}],"mendeley":{"formattedCitation":"&lt;sup&gt;7&lt;/sup&gt;","plainTextFormattedCitation":"7","previouslyFormattedCitation":"&lt;sup&gt;7&lt;/sup&gt;"},"properties":{"noteIndex":0},"schema":"https://github.com/citation-style-language/schema/raw/master/csl-citation.json"}</w:instrText>
      </w:r>
      <w:r w:rsidR="00F554D0">
        <w:rPr>
          <w:rFonts w:ascii="Times New Roman" w:hAnsi="Times New Roman"/>
          <w:sz w:val="16"/>
          <w:szCs w:val="16"/>
        </w:rPr>
        <w:fldChar w:fldCharType="separate"/>
      </w:r>
      <w:r w:rsidR="00F554D0" w:rsidRPr="00F554D0">
        <w:rPr>
          <w:rFonts w:ascii="Times New Roman" w:hAnsi="Times New Roman"/>
          <w:noProof/>
          <w:sz w:val="16"/>
          <w:szCs w:val="16"/>
          <w:vertAlign w:val="superscript"/>
        </w:rPr>
        <w:t>7</w:t>
      </w:r>
      <w:r w:rsidR="00F554D0">
        <w:rPr>
          <w:rFonts w:ascii="Times New Roman" w:hAnsi="Times New Roman"/>
          <w:sz w:val="16"/>
          <w:szCs w:val="16"/>
        </w:rPr>
        <w:fldChar w:fldCharType="end"/>
      </w:r>
      <w:r w:rsidRPr="56B1B410">
        <w:rPr>
          <w:rFonts w:ascii="Times New Roman" w:hAnsi="Times New Roman"/>
          <w:sz w:val="16"/>
          <w:szCs w:val="16"/>
        </w:rPr>
        <w:t>.</w:t>
      </w:r>
    </w:p>
    <w:p w14:paraId="5B23C9B4" w14:textId="6BA04F02" w:rsidR="00FD050A" w:rsidRDefault="00FD050A" w:rsidP="00FD050A">
      <w:pPr>
        <w:pStyle w:val="Heading2"/>
        <w:numPr>
          <w:ilvl w:val="1"/>
          <w:numId w:val="12"/>
        </w:numPr>
      </w:pPr>
      <w:r>
        <w:t>Synthetic sequence characterization</w:t>
      </w:r>
    </w:p>
    <w:p w14:paraId="2A78CBB7" w14:textId="1D4B0549" w:rsidR="003B4FC4" w:rsidRPr="003B4FC4" w:rsidRDefault="7CED35BE" w:rsidP="00B36C86">
      <w:pPr>
        <w:jc w:val="both"/>
      </w:pPr>
      <w:r w:rsidRPr="7CED35BE">
        <w:rPr>
          <w:rFonts w:ascii="Times New Roman" w:hAnsi="Times New Roman"/>
          <w:sz w:val="16"/>
          <w:szCs w:val="16"/>
        </w:rPr>
        <w:t xml:space="preserve">The workflow allows to identify the exploration space covered by the samples for which reliable prediction are possible and to test novel sequences within the exploration space. The exploration space spans the sequences for which reasonable predictions can be expected and is bounded by the sequence and position diversity. Only for sufficiently sampled nucleotides </w:t>
      </w:r>
      <w:r w:rsidRPr="7CED35BE">
        <w:rPr>
          <w:rFonts w:ascii="Times New Roman" w:hAnsi="Times New Roman"/>
          <w:sz w:val="16"/>
          <w:szCs w:val="16"/>
        </w:rPr>
        <w:lastRenderedPageBreak/>
        <w:t>at any position can the regressor derive activity rules and predict reasonable activities. In addition, the sequence distance of an unknown sequence with respect to the reference sequence of all other sequences should be lower than the sequence distances in the training samples because unknown regulatory or physiological events can interfere with sequences deviating too much from the samples. The user defines the cut-off for the exploration space based on the visualizations of position and sequence diversities in the statistical analysis. The sequences of the exploration space can be generated exhaustively or a random subset of defined size and results in a synthetic promoter library with predicted expression activities. The workflow allows to select synthetic sequences close to a target expression and the synthetic library can be statistically analyzed similarly to the experimental library.</w:t>
      </w:r>
    </w:p>
    <w:p w14:paraId="36704A0D" w14:textId="5513548C" w:rsidR="00D83B8A" w:rsidRDefault="00573591" w:rsidP="001A0125">
      <w:pPr>
        <w:pStyle w:val="Heading1"/>
      </w:pPr>
      <w:r>
        <w:t>Performance</w:t>
      </w:r>
    </w:p>
    <w:p w14:paraId="3FD48415" w14:textId="64940183" w:rsidR="56B1B410" w:rsidRDefault="7B8508EF" w:rsidP="56B1B410">
      <w:pPr>
        <w:pStyle w:val="para-first"/>
      </w:pPr>
      <w:r>
        <w:t xml:space="preserve">In the following, the results of two published examples are presented, available also in the ExpressionExpertIpynb package. The first example represents a single library measured for GFP in </w:t>
      </w:r>
      <w:r w:rsidRPr="7B8508EF">
        <w:rPr>
          <w:i/>
          <w:iCs/>
        </w:rPr>
        <w:t>Bacillus subtilis</w:t>
      </w:r>
      <w:r w:rsidR="00A64110">
        <w:rPr>
          <w:i/>
          <w:iCs/>
        </w:rPr>
        <w:fldChar w:fldCharType="begin" w:fldLock="1"/>
      </w:r>
      <w:r w:rsidR="00A64110">
        <w:rPr>
          <w:i/>
          <w:iCs/>
        </w:rPr>
        <w:instrText>ADDIN CSL_CITATION {"citationItems":[{"id":"ITEM-1","itemData":{"DOI":"10.1021/acssynbio.8b00115","abstract":"Promoters are among the most-important and most-basic tools for the control of metabolic pathways. However, previous research mainly focused on the screening and characterization of some native promoters in Bacillus subtilis. To develop a broadly applicable promoter system for this important platform organism, we created a de novo synthetic promoter library (SPL) based on consensus sequences by analyzing the microarray transcriptome data of B. subtilis 168. A total of 214 potential promoters spanning a gradient of strengths was isolated and characterized by a green fluorescence assay. Among these, a detailed intensity analysis was conducted on nine promoters with different strengths by reverse-transcription polymerase chain reaction (RT-PCR) and sodium dodecyl sulfate polyacrylamide gel electrophoresis (SDS-PAGE). Furthermore, reconstructed promoters and promoter cassettes (tandem promoter cluster) were designed via statistical model-based analysis and tandem dual promoters, which showed strength that was increased 1.2- and 2.77-fold compared to that of promoter P43, respectively. Finally, the SPL was employed in the production of inosine and acetoin by repressing and over-expressing the relevant metabolic pathways, yielding a 700% and 44% increase relative to the respective control strains. This is the first report of a de novo synthetic promoter library for B. subtilis, which is independent of any native promoter. The strategy of improving and fine-tuning promoter strengths will contribute to future metabolic engineering and synthetic biology projects in B. subtilis.","author":[{"dropping-particle":"","family":"Liu","given":"Dingyu","non-dropping-particle":"","parse-names":false,"suffix":""},{"dropping-particle":"","family":"Mao","given":"Zhitao","non-dropping-particle":"","parse-names":false,"suffix":""},{"dropping-particle":"","family":"Guo","given":"Jiaxin","non-dropping-particle":"","parse-names":false,"suffix":""},{"dropping-particle":"","family":"Wei","given":"Leyi","non-dropping-particle":"","parse-names":false,"suffix":""},{"dropping-particle":"","family":"Ma","given":"Hongwu","non-dropping-particle":"","parse-names":false,"suffix":""},{"dropping-particle":"","family":"Tang","given":"Yajie","non-dropping-particle":"","parse-names":false,"suffix":""},{"dropping-particle":"","family":"Chen","given":"Tao","non-dropping-particle":"","parse-names":false,"suffix":""},{"dropping-particle":"","family":"Wang","given":"Zhiwen","non-dropping-particle":"","parse-names":false,"suffix":""},{"dropping-particle":"","family":"Zhao","given":"Xueming","non-dropping-particle":"","parse-names":false,"suffix":""}],"container-title":"ACS Synth Biol","id":"ITEM-1","issue":"7","issued":{"date-parts":[["2018"]]},"page":"1785-1797","publisher":"ACS Publications","title":"Construction, model-based analysis, and characterization of a promoter library for fine-tuned gene expression in Bacillus subtilis","type":"article-journal","volume":"7"},"uris":["http://www.mendeley.com/documents/?uuid=0c7bbf3e-4d4f-4f28-ada9-dc9af58945af"]}],"mendeley":{"formattedCitation":"&lt;sup&gt;4&lt;/sup&gt;","plainTextFormattedCitation":"4","previouslyFormattedCitation":"&lt;sup&gt;4&lt;/sup&gt;"},"properties":{"noteIndex":0},"schema":"https://github.com/citation-style-language/schema/raw/master/csl-citation.json"}</w:instrText>
      </w:r>
      <w:r w:rsidR="00A64110">
        <w:rPr>
          <w:i/>
          <w:iCs/>
        </w:rPr>
        <w:fldChar w:fldCharType="separate"/>
      </w:r>
      <w:r w:rsidR="00A64110" w:rsidRPr="00A64110">
        <w:rPr>
          <w:iCs/>
          <w:noProof/>
          <w:vertAlign w:val="superscript"/>
        </w:rPr>
        <w:t>4</w:t>
      </w:r>
      <w:r w:rsidR="00A64110">
        <w:rPr>
          <w:i/>
          <w:iCs/>
        </w:rPr>
        <w:fldChar w:fldCharType="end"/>
      </w:r>
      <w:r>
        <w:t>. The data contains 206 different sequences with 52 nucleotide positions recognized by various sigma factors analyzed collectively.  The GFP mean and standard deviation is reported along with the information triplicate measurements, which was used to re-generate triplicates analytically. The main results from the ExpressionExpertIpynb workflow are shown in Figure 1 and Table 1. The Table 1 reports for the three regression strategies of random forest regression (RFR), gradient boost regression (GBR), and support vector regression (SVR) the regression run time in s</w:t>
      </w:r>
      <w:r w:rsidR="00074DAD">
        <w:t xml:space="preserve"> (</w:t>
      </w:r>
      <w:r w:rsidR="00074DAD" w:rsidRPr="281BD29D">
        <w:t>AMD Ryzen 5 2400G, 8-cores, 6MB RAM)</w:t>
      </w:r>
      <w:r>
        <w:t xml:space="preserve">, the correlation coefficient over cross-validation sets, and the correlation coefficients of a randomly selected training-test-set separation. A feature importance for each nucleotide and the GC-content can be derived from the tree-based methods of RFR and GBR, and the corresponding importance for the GC-content is indicated. The corresponding data is visually presented in Figure 1 and organized into three rows: the top row representing sequence related statistical information, the middle row containing reporter protein associated information and the bottom row with the performance of RFR, GBR, and SVR. Two graphs on the very bottom indicate the feature importance results derived from the tree-based methods RFR and GBR. Whereas the training set is reasonably reproduced, and the feature importance of nucleotide positions reproduce known sequence determinants, </w:t>
      </w:r>
      <w:r w:rsidRPr="7B8508EF">
        <w:rPr>
          <w:i/>
          <w:iCs/>
        </w:rPr>
        <w:t>e.g.</w:t>
      </w:r>
      <w:r>
        <w:t>, the G between –10 and –20, the test set is predicted not better than by chance.</w:t>
      </w:r>
    </w:p>
    <w:p w14:paraId="6022C865" w14:textId="4B6D8737" w:rsidR="7B8508EF" w:rsidRDefault="7B8508EF" w:rsidP="7B8508EF">
      <w:pPr>
        <w:pStyle w:val="para-first"/>
      </w:pPr>
    </w:p>
    <w:p w14:paraId="76A63E8A" w14:textId="7965F7AA" w:rsidR="7B8508EF" w:rsidRDefault="7B8508EF" w:rsidP="00074DAD">
      <w:pPr>
        <w:pStyle w:val="para-first"/>
        <w:ind w:firstLine="170"/>
      </w:pPr>
      <w:r>
        <w:t>The workflow in ExpressionExpertIpynb offers the feature to analyze parallel experiments involving two hosts or two reporter proteins for a reference promoter library. This feature is shown on a dataset on Geobacillus with a library containing 81 promoter sequences stretching 104 nucleotides where each promoter is measured with GFP and mOrange</w:t>
      </w:r>
      <w:r w:rsidR="00A64110">
        <w:fldChar w:fldCharType="begin" w:fldLock="1"/>
      </w:r>
      <w:r w:rsidR="00A64110">
        <w:instrText>ADDIN CSL_CITATION {"citationItems":[{"id":"ITEM-1","itemData":{"DOI":"10.1021/acssynbio.9b00061","ISSN":"2161-5063","abstract":"Well-characterized promoter collections for synthetic biology applications are not always available in industrially relevant hosts. We developed a broadly applicable method for promoter identification in atypical microbial hosts that requires no a priori understanding of cis-regulatory element structure. This novel approach combines bioinformatic filtering with rapid empirical characterization to expand the promoter toolkit and uses machine learning to improve the understanding of the relationship between DNA sequence and function. Here, we apply the method in Geobacillus thermoglucosidasius, a thermophilic organism with high potential as a synthetic biology chassis for industrial applications. Bioinformatic screening of G. kaustophilus, G. stearothermophilus, G. thermodenitrificans, and G. thermoglucosidasius resulted in the identification of 636 100 bp putative promoters, encompassing the genome-wide design space and lacking known transcription factor binding sites. Eighty of these sequences were characterized in vivo, and activities covered a 2-log range of predictable expression levels. Seven sequences were shown to function consistently regardless of the downstream coding sequence. Partition modeling identified sequence positions upstream of the canonical −35 and −10 consensus motifs that were predicted to strongly influence regulatory activity in Geobacillus, and artificial neural network and partial least squares regression models were derived to assess if there were a simple, forward, quantitative method for in silico prediction of promoter function. However, the models were insufficiently general to predict pre hoc promoter activity in vivo, most probably as a result of the relatively small size of the training data set compared to the size of the modeled design space.","author":[{"dropping-particle":"","family":"Gilman","given":"James","non-dropping-particle":"","parse-names":false,"suffix":""},{"dropping-particle":"","family":"Singleton","given":"Chloe","non-dropping-particle":"","parse-names":false,"suffix":""},{"dropping-particle":"","family":"Tennant","given":"Richard K","non-dropping-particle":"","parse-names":false,"suffix":""},{"dropping-particle":"","family":"James","given":"Paul","non-dropping-particle":"","parse-names":false,"suffix":""},{"dropping-particle":"","family":"Howard","given":"Thomas P","non-dropping-particle":"","parse-names":false,"suffix":""},{"dropping-particle":"","family":"Lux","given":"Thomas","non-dropping-particle":"","parse-names":false,"suffix":""},{"dropping-particle":"","family":"Parker","given":"David A","non-dropping-particle":"","parse-names":false,"suffix":""},{"dropping-particle":"","family":"Love","given":"John","non-dropping-particle":"","parse-names":false,"suffix":""}],"container-title":"ACS Synthetic Biology","id":"ITEM-1","issue":"5","issued":{"date-parts":[["2019","5","17"]]},"page":"1175-1186","publisher":"ACS Publications","title":"Rapid, Heuristic Discovery and Design of Promoter Collections in Non-Model Microbes for Industrial Applications","type":"article-journal","volume":"8"},"uris":["http://www.mendeley.com/documents/?uuid=6e744edb-f34c-39f7-a76c-aaef43b66672"]}],"mendeley":{"formattedCitation":"&lt;sup&gt;5&lt;/sup&gt;","plainTextFormattedCitation":"5","previouslyFormattedCitation":"&lt;sup&gt;5&lt;/sup&gt;"},"properties":{"noteIndex":0},"schema":"https://github.com/citation-style-language/schema/raw/master/csl-citation.json"}</w:instrText>
      </w:r>
      <w:r w:rsidR="00A64110">
        <w:fldChar w:fldCharType="separate"/>
      </w:r>
      <w:r w:rsidR="00A64110" w:rsidRPr="00A64110">
        <w:rPr>
          <w:noProof/>
          <w:vertAlign w:val="superscript"/>
        </w:rPr>
        <w:t>5</w:t>
      </w:r>
      <w:r w:rsidR="00A64110">
        <w:fldChar w:fldCharType="end"/>
      </w:r>
      <w:r>
        <w:t xml:space="preserve">. The difference to the single observation is represented in Figure 2, in the second row containing the statistical information of the two observations of reporter proteins. The scatter plot represents the conservation of expression strength among the reporter proteins and shows that no correlation of expression activity exists between the reporter proteins. The heat map indicates the difference between the average expression between GFP and mOrange for each nucleotide position. The strongest difference is detected for base ‘C’ on position </w:t>
      </w:r>
      <w:r w:rsidRPr="7B8508EF">
        <w:rPr>
          <w:highlight w:val="yellow"/>
        </w:rPr>
        <w:t>–96</w:t>
      </w:r>
      <w:r>
        <w:t>, and a closer investigation of the effect of this position on the differential expression is warranted. The predictive potential of the machine learning regressors are mediocre, the correlation coefficients of the cross-validation are equal to random choices.</w:t>
      </w:r>
    </w:p>
    <w:p w14:paraId="03EDE0C1" w14:textId="6E2B7268" w:rsidR="74B5144C" w:rsidRDefault="281BD29D" w:rsidP="74B5144C">
      <w:pPr>
        <w:pStyle w:val="Tablecaption"/>
        <w:spacing w:before="360"/>
      </w:pPr>
      <w:r w:rsidRPr="281BD29D">
        <w:rPr>
          <w:b/>
          <w:bCs/>
        </w:rPr>
        <w:lastRenderedPageBreak/>
        <w:t>Table 1. </w:t>
      </w:r>
      <w:r>
        <w:t xml:space="preserve">ML Regression for the </w:t>
      </w:r>
      <w:r w:rsidRPr="281BD29D">
        <w:rPr>
          <w:i/>
          <w:iCs/>
        </w:rPr>
        <w:t>Bacillus subtilis</w:t>
      </w:r>
      <w:r>
        <w:t xml:space="preserve"> library</w:t>
      </w:r>
      <w:r w:rsidR="00A64110">
        <w:fldChar w:fldCharType="begin" w:fldLock="1"/>
      </w:r>
      <w:r w:rsidR="00A64110">
        <w:instrText>ADDIN CSL_CITATION {"citationItems":[{"id":"ITEM-1","itemData":{"DOI":"10.1021/acssynbio.8b00115","abstract":"Promoters are among the most-important and most-basic tools for the control of metabolic pathways. However, previous research mainly focused on the screening and characterization of some native promoters in Bacillus subtilis. To develop a broadly applicable promoter system for this important platform organism, we created a de novo synthetic promoter library (SPL) based on consensus sequences by analyzing the microarray transcriptome data of B. subtilis 168. A total of 214 potential promoters spanning a gradient of strengths was isolated and characterized by a green fluorescence assay. Among these, a detailed intensity analysis was conducted on nine promoters with different strengths by reverse-transcription polymerase chain reaction (RT-PCR) and sodium dodecyl sulfate polyacrylamide gel electrophoresis (SDS-PAGE). Furthermore, reconstructed promoters and promoter cassettes (tandem promoter cluster) were designed via statistical model-based analysis and tandem dual promoters, which showed strength that was increased 1.2- and 2.77-fold compared to that of promoter P43, respectively. Finally, the SPL was employed in the production of inosine and acetoin by repressing and over-expressing the relevant metabolic pathways, yielding a 700% and 44% increase relative to the respective control strains. This is the first report of a de novo synthetic promoter library for B. subtilis, which is independent of any native promoter. The strategy of improving and fine-tuning promoter strengths will contribute to future metabolic engineering and synthetic biology projects in B. subtilis.","author":[{"dropping-particle":"","family":"Liu","given":"Dingyu","non-dropping-particle":"","parse-names":false,"suffix":""},{"dropping-particle":"","family":"Mao","given":"Zhitao","non-dropping-particle":"","parse-names":false,"suffix":""},{"dropping-particle":"","family":"Guo","given":"Jiaxin","non-dropping-particle":"","parse-names":false,"suffix":""},{"dropping-particle":"","family":"Wei","given":"Leyi","non-dropping-particle":"","parse-names":false,"suffix":""},{"dropping-particle":"","family":"Ma","given":"Hongwu","non-dropping-particle":"","parse-names":false,"suffix":""},{"dropping-particle":"","family":"Tang","given":"Yajie","non-dropping-particle":"","parse-names":false,"suffix":""},{"dropping-particle":"","family":"Chen","given":"Tao","non-dropping-particle":"","parse-names":false,"suffix":""},{"dropping-particle":"","family":"Wang","given":"Zhiwen","non-dropping-particle":"","parse-names":false,"suffix":""},{"dropping-particle":"","family":"Zhao","given":"Xueming","non-dropping-particle":"","parse-names":false,"suffix":""}],"container-title":"ACS Synth Biol","id":"ITEM-1","issue":"7","issued":{"date-parts":[["2018"]]},"page":"1785-1797","publisher":"ACS Publications","title":"Construction, model-based analysis, and characterization of a promoter library for fine-tuned gene expression in Bacillus subtilis","type":"article-journal","volume":"7"},"uris":["http://www.mendeley.com/documents/?uuid=0c7bbf3e-4d4f-4f28-ada9-dc9af58945af"]}],"mendeley":{"formattedCitation":"&lt;sup&gt;4&lt;/sup&gt;","plainTextFormattedCitation":"4","previouslyFormattedCitation":"&lt;sup&gt;4&lt;/sup&gt;"},"properties":{"noteIndex":0},"schema":"https://github.com/citation-style-language/schema/raw/master/csl-citation.json"}</w:instrText>
      </w:r>
      <w:r w:rsidR="00A64110">
        <w:fldChar w:fldCharType="separate"/>
      </w:r>
      <w:r w:rsidR="00A64110" w:rsidRPr="00A64110">
        <w:rPr>
          <w:noProof/>
          <w:vertAlign w:val="superscript"/>
        </w:rPr>
        <w:t>4</w:t>
      </w:r>
      <w:r w:rsidR="00A64110">
        <w:fldChar w:fldCharType="end"/>
      </w:r>
      <w:r>
        <w:t>, see also Figure 1. The library is composed of 206 promoters in triplicates with changes in 52 nucleotides upstream of the transcription start site and measured for GFP activity. RFR: random forest regression, GBR: gradient boosting regression, SVR: support vector regression.</w:t>
      </w:r>
    </w:p>
    <w:tbl>
      <w:tblPr>
        <w:tblW w:w="4650" w:type="dxa"/>
        <w:tblLook w:val="0000" w:firstRow="0" w:lastRow="0" w:firstColumn="0" w:lastColumn="0" w:noHBand="0" w:noVBand="0"/>
      </w:tblPr>
      <w:tblGrid>
        <w:gridCol w:w="1125"/>
        <w:gridCol w:w="1110"/>
        <w:gridCol w:w="1170"/>
        <w:gridCol w:w="1245"/>
      </w:tblGrid>
      <w:tr w:rsidR="74B5144C" w14:paraId="4945EF3F" w14:textId="77777777" w:rsidTr="2944FDC6">
        <w:tc>
          <w:tcPr>
            <w:tcW w:w="1125" w:type="dxa"/>
            <w:tcBorders>
              <w:top w:val="single" w:sz="4" w:space="0" w:color="auto"/>
              <w:bottom w:val="single" w:sz="4" w:space="0" w:color="auto"/>
            </w:tcBorders>
          </w:tcPr>
          <w:p w14:paraId="66CF68B8" w14:textId="71B0FC7A" w:rsidR="74B5144C" w:rsidRDefault="74B5144C" w:rsidP="74B5144C">
            <w:pPr>
              <w:pStyle w:val="TableColumnhead"/>
              <w:spacing w:line="240" w:lineRule="exact"/>
            </w:pPr>
            <w:r>
              <w:t>ML Type</w:t>
            </w:r>
          </w:p>
        </w:tc>
        <w:tc>
          <w:tcPr>
            <w:tcW w:w="1110" w:type="dxa"/>
            <w:tcBorders>
              <w:top w:val="single" w:sz="4" w:space="0" w:color="auto"/>
              <w:bottom w:val="single" w:sz="4" w:space="0" w:color="auto"/>
            </w:tcBorders>
          </w:tcPr>
          <w:p w14:paraId="4BCE8CF9" w14:textId="0894082B" w:rsidR="74B5144C" w:rsidRDefault="74B5144C" w:rsidP="74B5144C">
            <w:pPr>
              <w:pStyle w:val="TableColumnhead"/>
              <w:spacing w:line="240" w:lineRule="exact"/>
            </w:pPr>
            <w:r>
              <w:t>RFR</w:t>
            </w:r>
          </w:p>
        </w:tc>
        <w:tc>
          <w:tcPr>
            <w:tcW w:w="1170" w:type="dxa"/>
            <w:tcBorders>
              <w:top w:val="single" w:sz="4" w:space="0" w:color="auto"/>
              <w:bottom w:val="single" w:sz="4" w:space="0" w:color="auto"/>
            </w:tcBorders>
          </w:tcPr>
          <w:p w14:paraId="38BEB33C" w14:textId="6D25F6C2" w:rsidR="74B5144C" w:rsidRDefault="74B5144C" w:rsidP="74B5144C">
            <w:pPr>
              <w:pStyle w:val="TableColumnhead"/>
            </w:pPr>
            <w:r>
              <w:t>GBR</w:t>
            </w:r>
          </w:p>
        </w:tc>
        <w:tc>
          <w:tcPr>
            <w:tcW w:w="1245" w:type="dxa"/>
            <w:tcBorders>
              <w:top w:val="single" w:sz="4" w:space="0" w:color="auto"/>
              <w:bottom w:val="single" w:sz="4" w:space="0" w:color="auto"/>
            </w:tcBorders>
          </w:tcPr>
          <w:p w14:paraId="014A7C3E" w14:textId="5103FD36" w:rsidR="74B5144C" w:rsidRDefault="74B5144C" w:rsidP="74B5144C">
            <w:pPr>
              <w:pStyle w:val="TableColumnhead"/>
              <w:spacing w:line="240" w:lineRule="exact"/>
            </w:pPr>
            <w:r>
              <w:t>SVR</w:t>
            </w:r>
          </w:p>
        </w:tc>
      </w:tr>
      <w:tr w:rsidR="74B5144C" w14:paraId="1F24D15F" w14:textId="77777777" w:rsidTr="2944FDC6">
        <w:tc>
          <w:tcPr>
            <w:tcW w:w="1125" w:type="dxa"/>
            <w:tcBorders>
              <w:top w:val="single" w:sz="4" w:space="0" w:color="auto"/>
            </w:tcBorders>
          </w:tcPr>
          <w:p w14:paraId="30D150F6" w14:textId="4C90D3DB" w:rsidR="74B5144C" w:rsidRDefault="74B5144C" w:rsidP="74B5144C">
            <w:pPr>
              <w:pStyle w:val="Tablebodyfirst"/>
            </w:pPr>
            <w:r>
              <w:t>Run Time (s)</w:t>
            </w:r>
          </w:p>
        </w:tc>
        <w:tc>
          <w:tcPr>
            <w:tcW w:w="1110" w:type="dxa"/>
            <w:tcBorders>
              <w:top w:val="single" w:sz="4" w:space="0" w:color="auto"/>
            </w:tcBorders>
          </w:tcPr>
          <w:p w14:paraId="557DC3E2" w14:textId="373E5AAB" w:rsidR="74B5144C" w:rsidRDefault="37A5ACC4" w:rsidP="74B5144C">
            <w:pPr>
              <w:pStyle w:val="Tablebodyfirst"/>
              <w:spacing w:line="240" w:lineRule="exact"/>
            </w:pPr>
            <w:r>
              <w:t>315</w:t>
            </w:r>
          </w:p>
        </w:tc>
        <w:tc>
          <w:tcPr>
            <w:tcW w:w="1170" w:type="dxa"/>
            <w:tcBorders>
              <w:top w:val="single" w:sz="4" w:space="0" w:color="auto"/>
            </w:tcBorders>
          </w:tcPr>
          <w:p w14:paraId="1F84DB74" w14:textId="7D48D004" w:rsidR="74B5144C" w:rsidRDefault="37A5ACC4" w:rsidP="74B5144C">
            <w:pPr>
              <w:pStyle w:val="Tablebodyfirst"/>
            </w:pPr>
            <w:r>
              <w:t>825</w:t>
            </w:r>
          </w:p>
        </w:tc>
        <w:tc>
          <w:tcPr>
            <w:tcW w:w="1245" w:type="dxa"/>
            <w:tcBorders>
              <w:top w:val="single" w:sz="4" w:space="0" w:color="auto"/>
            </w:tcBorders>
          </w:tcPr>
          <w:p w14:paraId="0329EC5C" w14:textId="59C57E80" w:rsidR="74B5144C" w:rsidRDefault="37A5ACC4" w:rsidP="74B5144C">
            <w:pPr>
              <w:pStyle w:val="Tablebodyfirst"/>
              <w:spacing w:line="240" w:lineRule="exact"/>
            </w:pPr>
            <w:r>
              <w:t>183</w:t>
            </w:r>
          </w:p>
        </w:tc>
      </w:tr>
      <w:tr w:rsidR="74B5144C" w14:paraId="6EB4A868" w14:textId="77777777" w:rsidTr="2944FDC6">
        <w:tc>
          <w:tcPr>
            <w:tcW w:w="1125" w:type="dxa"/>
          </w:tcPr>
          <w:p w14:paraId="58DD0DA2" w14:textId="7D52CD01" w:rsidR="74B5144C" w:rsidRDefault="74B5144C" w:rsidP="74B5144C">
            <w:pPr>
              <w:pStyle w:val="Tablebody"/>
            </w:pPr>
            <w:r>
              <w:t>R2 Cross-Val</w:t>
            </w:r>
          </w:p>
        </w:tc>
        <w:tc>
          <w:tcPr>
            <w:tcW w:w="1110" w:type="dxa"/>
          </w:tcPr>
          <w:p w14:paraId="4F819CA7" w14:textId="2726CD90" w:rsidR="74B5144C" w:rsidRDefault="37A5ACC4" w:rsidP="37A5ACC4">
            <w:pPr>
              <w:pStyle w:val="Tablebody"/>
              <w:ind w:left="0" w:firstLine="0"/>
            </w:pPr>
            <w:r>
              <w:t>0.3 (+/-0.4)</w:t>
            </w:r>
          </w:p>
        </w:tc>
        <w:tc>
          <w:tcPr>
            <w:tcW w:w="1170" w:type="dxa"/>
          </w:tcPr>
          <w:p w14:paraId="735CAD04" w14:textId="1A56C6C8" w:rsidR="74B5144C" w:rsidRDefault="37A5ACC4" w:rsidP="74B5144C">
            <w:pPr>
              <w:pStyle w:val="Tablebody"/>
            </w:pPr>
            <w:r>
              <w:t>0.28 (+/-0.45)</w:t>
            </w:r>
          </w:p>
        </w:tc>
        <w:tc>
          <w:tcPr>
            <w:tcW w:w="1245" w:type="dxa"/>
          </w:tcPr>
          <w:p w14:paraId="6D82AFCC" w14:textId="7BDF69BE" w:rsidR="74B5144C" w:rsidRDefault="37A5ACC4" w:rsidP="74B5144C">
            <w:pPr>
              <w:pStyle w:val="Tablebody"/>
              <w:spacing w:line="240" w:lineRule="exact"/>
            </w:pPr>
            <w:r>
              <w:t>0.3 (+/-0.51)</w:t>
            </w:r>
          </w:p>
        </w:tc>
      </w:tr>
      <w:tr w:rsidR="74B5144C" w14:paraId="51BD03B4" w14:textId="77777777" w:rsidTr="2944FDC6">
        <w:tc>
          <w:tcPr>
            <w:tcW w:w="1125" w:type="dxa"/>
          </w:tcPr>
          <w:p w14:paraId="4E51AED9" w14:textId="0A7B7CAA" w:rsidR="74B5144C" w:rsidRDefault="74B5144C" w:rsidP="74B5144C">
            <w:pPr>
              <w:pStyle w:val="Tablebody"/>
            </w:pPr>
            <w:r>
              <w:t>R2 Training</w:t>
            </w:r>
          </w:p>
        </w:tc>
        <w:tc>
          <w:tcPr>
            <w:tcW w:w="1110" w:type="dxa"/>
          </w:tcPr>
          <w:p w14:paraId="5AFFDF35" w14:textId="309E3752" w:rsidR="74B5144C" w:rsidRDefault="37A5ACC4" w:rsidP="74B5144C">
            <w:pPr>
              <w:pStyle w:val="Tablebody"/>
            </w:pPr>
            <w:r>
              <w:t>0.88</w:t>
            </w:r>
          </w:p>
        </w:tc>
        <w:tc>
          <w:tcPr>
            <w:tcW w:w="1170" w:type="dxa"/>
          </w:tcPr>
          <w:p w14:paraId="26E69858" w14:textId="12A6E62C" w:rsidR="74B5144C" w:rsidRDefault="37A5ACC4" w:rsidP="74B5144C">
            <w:pPr>
              <w:pStyle w:val="Tablebody"/>
            </w:pPr>
            <w:r>
              <w:t>0.83</w:t>
            </w:r>
          </w:p>
        </w:tc>
        <w:tc>
          <w:tcPr>
            <w:tcW w:w="1245" w:type="dxa"/>
          </w:tcPr>
          <w:p w14:paraId="666F05D2" w14:textId="5742C203" w:rsidR="74B5144C" w:rsidRDefault="37A5ACC4" w:rsidP="74B5144C">
            <w:pPr>
              <w:pStyle w:val="Tablebody"/>
            </w:pPr>
            <w:r>
              <w:t>0.43</w:t>
            </w:r>
          </w:p>
        </w:tc>
      </w:tr>
      <w:tr w:rsidR="74B5144C" w14:paraId="46ACD924" w14:textId="77777777" w:rsidTr="2944FDC6">
        <w:tc>
          <w:tcPr>
            <w:tcW w:w="1125" w:type="dxa"/>
          </w:tcPr>
          <w:p w14:paraId="3DEA8530" w14:textId="09475FE7" w:rsidR="74B5144C" w:rsidRDefault="74B5144C" w:rsidP="74B5144C">
            <w:pPr>
              <w:pStyle w:val="Tablebody"/>
            </w:pPr>
            <w:r>
              <w:t>R2 Test</w:t>
            </w:r>
          </w:p>
        </w:tc>
        <w:tc>
          <w:tcPr>
            <w:tcW w:w="1110" w:type="dxa"/>
          </w:tcPr>
          <w:p w14:paraId="5A889801" w14:textId="231A36D4" w:rsidR="74B5144C" w:rsidRDefault="37A5ACC4" w:rsidP="74B5144C">
            <w:pPr>
              <w:pStyle w:val="Tablebody"/>
              <w:spacing w:line="240" w:lineRule="exact"/>
            </w:pPr>
            <w:r>
              <w:t>0.04</w:t>
            </w:r>
          </w:p>
        </w:tc>
        <w:tc>
          <w:tcPr>
            <w:tcW w:w="1170" w:type="dxa"/>
          </w:tcPr>
          <w:p w14:paraId="0E0EBF51" w14:textId="28AF86F5" w:rsidR="74B5144C" w:rsidRDefault="56B1B410" w:rsidP="74B5144C">
            <w:pPr>
              <w:pStyle w:val="Tablebody"/>
              <w:spacing w:line="240" w:lineRule="exact"/>
            </w:pPr>
            <w:r>
              <w:t>-0.36</w:t>
            </w:r>
          </w:p>
        </w:tc>
        <w:tc>
          <w:tcPr>
            <w:tcW w:w="1245" w:type="dxa"/>
          </w:tcPr>
          <w:p w14:paraId="361611F8" w14:textId="35CBBB85" w:rsidR="74B5144C" w:rsidRDefault="37A5ACC4" w:rsidP="74B5144C">
            <w:pPr>
              <w:pStyle w:val="Tablebody"/>
            </w:pPr>
            <w:r>
              <w:t>0.03</w:t>
            </w:r>
          </w:p>
        </w:tc>
      </w:tr>
      <w:tr w:rsidR="74B5144C" w14:paraId="18FA1A3F" w14:textId="77777777" w:rsidTr="2944FDC6">
        <w:tc>
          <w:tcPr>
            <w:tcW w:w="1125" w:type="dxa"/>
            <w:tcBorders>
              <w:bottom w:val="single" w:sz="4" w:space="0" w:color="auto"/>
            </w:tcBorders>
          </w:tcPr>
          <w:p w14:paraId="09F4AFBA" w14:textId="2F0FDD4B" w:rsidR="74B5144C" w:rsidRDefault="74B5144C" w:rsidP="74B5144C">
            <w:pPr>
              <w:pStyle w:val="Tablebodylast"/>
              <w:spacing w:line="240" w:lineRule="exact"/>
            </w:pPr>
            <w:r>
              <w:t>GC-Content</w:t>
            </w:r>
          </w:p>
        </w:tc>
        <w:tc>
          <w:tcPr>
            <w:tcW w:w="1110" w:type="dxa"/>
            <w:tcBorders>
              <w:bottom w:val="single" w:sz="4" w:space="0" w:color="auto"/>
            </w:tcBorders>
          </w:tcPr>
          <w:p w14:paraId="5E54708B" w14:textId="1F17E04B" w:rsidR="74B5144C" w:rsidRDefault="37A5ACC4" w:rsidP="74B5144C">
            <w:pPr>
              <w:pStyle w:val="Tablebodylast"/>
              <w:spacing w:line="240" w:lineRule="exact"/>
              <w:ind w:left="0" w:firstLine="0"/>
            </w:pPr>
            <w:r>
              <w:t>11</w:t>
            </w:r>
            <w:r w:rsidRPr="37A5ACC4">
              <w:rPr>
                <w:vertAlign w:val="superscript"/>
              </w:rPr>
              <w:t>th</w:t>
            </w:r>
            <w:r>
              <w:t xml:space="preserve"> </w:t>
            </w:r>
            <w:r w:rsidRPr="37A5ACC4">
              <w:rPr>
                <w:vertAlign w:val="superscript"/>
              </w:rPr>
              <w:t xml:space="preserve"> </w:t>
            </w:r>
          </w:p>
        </w:tc>
        <w:tc>
          <w:tcPr>
            <w:tcW w:w="1170" w:type="dxa"/>
            <w:tcBorders>
              <w:bottom w:val="single" w:sz="4" w:space="0" w:color="auto"/>
            </w:tcBorders>
          </w:tcPr>
          <w:p w14:paraId="66622B6B" w14:textId="1510AA64" w:rsidR="74B5144C" w:rsidRDefault="37A5ACC4" w:rsidP="74B5144C">
            <w:pPr>
              <w:pStyle w:val="Tablebodylast"/>
            </w:pPr>
            <w:r>
              <w:t>11</w:t>
            </w:r>
            <w:r w:rsidRPr="37A5ACC4">
              <w:rPr>
                <w:vertAlign w:val="superscript"/>
              </w:rPr>
              <w:t>th</w:t>
            </w:r>
            <w:r>
              <w:t xml:space="preserve"> </w:t>
            </w:r>
          </w:p>
        </w:tc>
        <w:tc>
          <w:tcPr>
            <w:tcW w:w="1245" w:type="dxa"/>
            <w:tcBorders>
              <w:bottom w:val="single" w:sz="4" w:space="0" w:color="auto"/>
            </w:tcBorders>
          </w:tcPr>
          <w:p w14:paraId="5BF46EAE" w14:textId="37704FBB" w:rsidR="74B5144C" w:rsidRDefault="74B5144C" w:rsidP="74B5144C">
            <w:pPr>
              <w:pStyle w:val="Tablebodylast"/>
            </w:pPr>
            <w:r>
              <w:t>N.A.</w:t>
            </w:r>
          </w:p>
        </w:tc>
      </w:tr>
    </w:tbl>
    <w:p w14:paraId="3F789AF8" w14:textId="58E2AAFC" w:rsidR="74B5144C" w:rsidRDefault="74B5144C" w:rsidP="74B5144C">
      <w:pPr>
        <w:pStyle w:val="para-first"/>
      </w:pPr>
    </w:p>
    <w:p w14:paraId="26CA5BAD" w14:textId="2B3B796F" w:rsidR="281BD29D" w:rsidRDefault="7B8508EF" w:rsidP="281BD29D">
      <w:pPr>
        <w:pStyle w:val="Tablecaption"/>
        <w:spacing w:before="360"/>
      </w:pPr>
      <w:r w:rsidRPr="7B8508EF">
        <w:rPr>
          <w:b/>
          <w:bCs/>
        </w:rPr>
        <w:t>Table 2. </w:t>
      </w:r>
      <w:r>
        <w:t xml:space="preserve">ML Regression for the </w:t>
      </w:r>
      <w:r w:rsidRPr="7B8508EF">
        <w:rPr>
          <w:i/>
          <w:iCs/>
        </w:rPr>
        <w:t>Geobacillus</w:t>
      </w:r>
      <w:r>
        <w:t xml:space="preserve"> library</w:t>
      </w:r>
      <w:r w:rsidR="00A64110">
        <w:fldChar w:fldCharType="begin" w:fldLock="1"/>
      </w:r>
      <w:r w:rsidR="00A64110">
        <w:instrText>ADDIN CSL_CITATION {"citationItems":[{"id":"ITEM-1","itemData":{"DOI":"10.1021/acssynbio.9b00061","ISSN":"2161-5063","abstract":"Well-characterized promoter collections for synthetic biology applications are not always available in industrially relevant hosts. We developed a broadly applicable method for promoter identification in atypical microbial hosts that requires no a priori understanding of cis-regulatory element structure. This novel approach combines bioinformatic filtering with rapid empirical characterization to expand the promoter toolkit and uses machine learning to improve the understanding of the relationship between DNA sequence and function. Here, we apply the method in Geobacillus thermoglucosidasius, a thermophilic organism with high potential as a synthetic biology chassis for industrial applications. Bioinformatic screening of G. kaustophilus, G. stearothermophilus, G. thermodenitrificans, and G. thermoglucosidasius resulted in the identification of 636 100 bp putative promoters, encompassing the genome-wide design space and lacking known transcription factor binding sites. Eighty of these sequences were characterized in vivo, and activities covered a 2-log range of predictable expression levels. Seven sequences were shown to function consistently regardless of the downstream coding sequence. Partition modeling identified sequence positions upstream of the canonical −35 and −10 consensus motifs that were predicted to strongly influence regulatory activity in Geobacillus, and artificial neural network and partial least squares regression models were derived to assess if there were a simple, forward, quantitative method for in silico prediction of promoter function. However, the models were insufficiently general to predict pre hoc promoter activity in vivo, most probably as a result of the relatively small size of the training data set compared to the size of the modeled design space.","author":[{"dropping-particle":"","family":"Gilman","given":"James","non-dropping-particle":"","parse-names":false,"suffix":""},{"dropping-particle":"","family":"Singleton","given":"Chloe","non-dropping-particle":"","parse-names":false,"suffix":""},{"dropping-particle":"","family":"Tennant","given":"Richard K","non-dropping-particle":"","parse-names":false,"suffix":""},{"dropping-particle":"","family":"James","given":"Paul","non-dropping-particle":"","parse-names":false,"suffix":""},{"dropping-particle":"","family":"Howard","given":"Thomas P","non-dropping-particle":"","parse-names":false,"suffix":""},{"dropping-particle":"","family":"Lux","given":"Thomas","non-dropping-particle":"","parse-names":false,"suffix":""},{"dropping-particle":"","family":"Parker","given":"David A","non-dropping-particle":"","parse-names":false,"suffix":""},{"dropping-particle":"","family":"Love","given":"John","non-dropping-particle":"","parse-names":false,"suffix":""}],"container-title":"ACS Synthetic Biology","id":"ITEM-1","issue":"5","issued":{"date-parts":[["2019","5","17"]]},"page":"1175-1186","publisher":"ACS Publications","title":"Rapid, Heuristic Discovery and Design of Promoter Collections in Non-Model Microbes for Industrial Applications","type":"article-journal","volume":"8"},"uris":["http://www.mendeley.com/documents/?uuid=6e744edb-f34c-39f7-a76c-aaef43b66672"]}],"mendeley":{"formattedCitation":"&lt;sup&gt;5&lt;/sup&gt;","plainTextFormattedCitation":"5","previouslyFormattedCitation":"&lt;sup&gt;5&lt;/sup&gt;"},"properties":{"noteIndex":0},"schema":"https://github.com/citation-style-language/schema/raw/master/csl-citation.json"}</w:instrText>
      </w:r>
      <w:r w:rsidR="00A64110">
        <w:fldChar w:fldCharType="separate"/>
      </w:r>
      <w:r w:rsidR="00A64110" w:rsidRPr="00A64110">
        <w:rPr>
          <w:noProof/>
          <w:vertAlign w:val="superscript"/>
        </w:rPr>
        <w:t>5</w:t>
      </w:r>
      <w:r w:rsidR="00A64110">
        <w:fldChar w:fldCharType="end"/>
      </w:r>
      <w:r>
        <w:t>, see also Figure 2. The library is composed of 81 promoters with a median number of 3 replicates with changes in 104 nucleotides upstream of the transcription start site and measured for GFP and mOrange activity. RFR: random forest regression, GBR: gradient boosting regression, SVR: support vector regression.</w:t>
      </w:r>
    </w:p>
    <w:tbl>
      <w:tblPr>
        <w:tblW w:w="4650" w:type="dxa"/>
        <w:tblLook w:val="0000" w:firstRow="0" w:lastRow="0" w:firstColumn="0" w:lastColumn="0" w:noHBand="0" w:noVBand="0"/>
      </w:tblPr>
      <w:tblGrid>
        <w:gridCol w:w="1110"/>
        <w:gridCol w:w="1185"/>
        <w:gridCol w:w="1155"/>
        <w:gridCol w:w="1200"/>
      </w:tblGrid>
      <w:tr w:rsidR="281BD29D" w14:paraId="2EA85803" w14:textId="77777777" w:rsidTr="2944FDC6">
        <w:tc>
          <w:tcPr>
            <w:tcW w:w="1110" w:type="dxa"/>
            <w:tcBorders>
              <w:top w:val="single" w:sz="4" w:space="0" w:color="auto"/>
              <w:bottom w:val="single" w:sz="4" w:space="0" w:color="auto"/>
            </w:tcBorders>
          </w:tcPr>
          <w:p w14:paraId="02FF7D2B" w14:textId="71B0FC7A" w:rsidR="281BD29D" w:rsidRDefault="281BD29D" w:rsidP="281BD29D">
            <w:pPr>
              <w:pStyle w:val="TableColumnhead"/>
              <w:spacing w:line="240" w:lineRule="exact"/>
            </w:pPr>
            <w:r>
              <w:t>ML Type</w:t>
            </w:r>
          </w:p>
        </w:tc>
        <w:tc>
          <w:tcPr>
            <w:tcW w:w="1185" w:type="dxa"/>
            <w:tcBorders>
              <w:top w:val="single" w:sz="4" w:space="0" w:color="auto"/>
              <w:bottom w:val="single" w:sz="4" w:space="0" w:color="auto"/>
            </w:tcBorders>
          </w:tcPr>
          <w:p w14:paraId="40F8F895" w14:textId="0894082B" w:rsidR="281BD29D" w:rsidRDefault="281BD29D" w:rsidP="281BD29D">
            <w:pPr>
              <w:pStyle w:val="TableColumnhead"/>
              <w:spacing w:line="240" w:lineRule="exact"/>
            </w:pPr>
            <w:r>
              <w:t>RFR</w:t>
            </w:r>
          </w:p>
        </w:tc>
        <w:tc>
          <w:tcPr>
            <w:tcW w:w="1155" w:type="dxa"/>
            <w:tcBorders>
              <w:top w:val="single" w:sz="4" w:space="0" w:color="auto"/>
              <w:bottom w:val="single" w:sz="4" w:space="0" w:color="auto"/>
            </w:tcBorders>
          </w:tcPr>
          <w:p w14:paraId="51326D9A" w14:textId="6D25F6C2" w:rsidR="281BD29D" w:rsidRDefault="281BD29D" w:rsidP="281BD29D">
            <w:pPr>
              <w:pStyle w:val="TableColumnhead"/>
            </w:pPr>
            <w:r>
              <w:t>GBR</w:t>
            </w:r>
          </w:p>
        </w:tc>
        <w:tc>
          <w:tcPr>
            <w:tcW w:w="1200" w:type="dxa"/>
            <w:tcBorders>
              <w:top w:val="single" w:sz="4" w:space="0" w:color="auto"/>
              <w:bottom w:val="single" w:sz="4" w:space="0" w:color="auto"/>
            </w:tcBorders>
          </w:tcPr>
          <w:p w14:paraId="495B975F" w14:textId="5103FD36" w:rsidR="281BD29D" w:rsidRDefault="281BD29D" w:rsidP="281BD29D">
            <w:pPr>
              <w:pStyle w:val="TableColumnhead"/>
              <w:spacing w:line="240" w:lineRule="exact"/>
            </w:pPr>
            <w:r>
              <w:t>SVR</w:t>
            </w:r>
          </w:p>
        </w:tc>
      </w:tr>
      <w:tr w:rsidR="281BD29D" w14:paraId="58A8EA79" w14:textId="77777777" w:rsidTr="2944FDC6">
        <w:tc>
          <w:tcPr>
            <w:tcW w:w="1110" w:type="dxa"/>
            <w:tcBorders>
              <w:top w:val="single" w:sz="4" w:space="0" w:color="auto"/>
            </w:tcBorders>
          </w:tcPr>
          <w:p w14:paraId="605E3680" w14:textId="4C90D3DB" w:rsidR="281BD29D" w:rsidRDefault="281BD29D" w:rsidP="281BD29D">
            <w:pPr>
              <w:pStyle w:val="Tablebodyfirst"/>
            </w:pPr>
            <w:r>
              <w:t>Run Time (s)</w:t>
            </w:r>
          </w:p>
        </w:tc>
        <w:tc>
          <w:tcPr>
            <w:tcW w:w="1185" w:type="dxa"/>
            <w:tcBorders>
              <w:top w:val="single" w:sz="4" w:space="0" w:color="auto"/>
            </w:tcBorders>
          </w:tcPr>
          <w:p w14:paraId="2E8051DE" w14:textId="3C5F0AD0" w:rsidR="281BD29D" w:rsidRDefault="2944FDC6" w:rsidP="2944FDC6">
            <w:pPr>
              <w:pStyle w:val="Tablebodyfirst"/>
              <w:spacing w:line="240" w:lineRule="exact"/>
            </w:pPr>
            <w:r>
              <w:t>275/264</w:t>
            </w:r>
          </w:p>
        </w:tc>
        <w:tc>
          <w:tcPr>
            <w:tcW w:w="1155" w:type="dxa"/>
            <w:tcBorders>
              <w:top w:val="single" w:sz="4" w:space="0" w:color="auto"/>
            </w:tcBorders>
          </w:tcPr>
          <w:p w14:paraId="782F9B10" w14:textId="34C9E00D" w:rsidR="281BD29D" w:rsidRDefault="2944FDC6" w:rsidP="281BD29D">
            <w:pPr>
              <w:pStyle w:val="Tablebodyfirst"/>
            </w:pPr>
            <w:r>
              <w:t>712/719</w:t>
            </w:r>
          </w:p>
        </w:tc>
        <w:tc>
          <w:tcPr>
            <w:tcW w:w="1200" w:type="dxa"/>
            <w:tcBorders>
              <w:top w:val="single" w:sz="4" w:space="0" w:color="auto"/>
            </w:tcBorders>
          </w:tcPr>
          <w:p w14:paraId="45F3DCCD" w14:textId="5639B9B8" w:rsidR="281BD29D" w:rsidRDefault="2944FDC6" w:rsidP="281BD29D">
            <w:pPr>
              <w:pStyle w:val="Tablebodyfirst"/>
              <w:spacing w:line="240" w:lineRule="exact"/>
            </w:pPr>
            <w:r>
              <w:t>94/97</w:t>
            </w:r>
          </w:p>
        </w:tc>
      </w:tr>
      <w:tr w:rsidR="281BD29D" w14:paraId="2B5A0461" w14:textId="77777777" w:rsidTr="2944FDC6">
        <w:tc>
          <w:tcPr>
            <w:tcW w:w="1110" w:type="dxa"/>
          </w:tcPr>
          <w:p w14:paraId="198B65A4" w14:textId="7D52CD01" w:rsidR="281BD29D" w:rsidRDefault="281BD29D" w:rsidP="281BD29D">
            <w:pPr>
              <w:pStyle w:val="Tablebody"/>
            </w:pPr>
            <w:r>
              <w:t>R2 Cross-Val</w:t>
            </w:r>
          </w:p>
        </w:tc>
        <w:tc>
          <w:tcPr>
            <w:tcW w:w="1185" w:type="dxa"/>
          </w:tcPr>
          <w:p w14:paraId="44125D68" w14:textId="19FB53B2" w:rsidR="281BD29D" w:rsidRDefault="2944FDC6" w:rsidP="2944FDC6">
            <w:pPr>
              <w:pStyle w:val="Tablebody"/>
            </w:pPr>
            <w:r>
              <w:t>-1.1 (+/-8.7)</w:t>
            </w:r>
          </w:p>
          <w:p w14:paraId="609EB3CC" w14:textId="5A0DC6BA" w:rsidR="281BD29D" w:rsidRDefault="2944FDC6" w:rsidP="2944FDC6">
            <w:pPr>
              <w:pStyle w:val="Tablebody"/>
            </w:pPr>
            <w:r>
              <w:t>-0.57 (+/-1.9)</w:t>
            </w:r>
          </w:p>
        </w:tc>
        <w:tc>
          <w:tcPr>
            <w:tcW w:w="1155" w:type="dxa"/>
          </w:tcPr>
          <w:p w14:paraId="7C469210" w14:textId="264F4586" w:rsidR="281BD29D" w:rsidRDefault="2944FDC6" w:rsidP="281BD29D">
            <w:pPr>
              <w:pStyle w:val="Tablebody"/>
            </w:pPr>
            <w:r>
              <w:t>-0.97 (+/-5.4)</w:t>
            </w:r>
          </w:p>
          <w:p w14:paraId="0661FDCD" w14:textId="44E078ED" w:rsidR="281BD29D" w:rsidRDefault="2944FDC6" w:rsidP="281BD29D">
            <w:pPr>
              <w:pStyle w:val="Tablebody"/>
            </w:pPr>
            <w:r>
              <w:t>-0.28 (+/-1.1)</w:t>
            </w:r>
          </w:p>
        </w:tc>
        <w:tc>
          <w:tcPr>
            <w:tcW w:w="1200" w:type="dxa"/>
          </w:tcPr>
          <w:p w14:paraId="1DF552CD" w14:textId="6AD7CAA8" w:rsidR="281BD29D" w:rsidRDefault="2944FDC6" w:rsidP="281BD29D">
            <w:pPr>
              <w:pStyle w:val="Tablebody"/>
              <w:spacing w:line="240" w:lineRule="exact"/>
            </w:pPr>
            <w:r>
              <w:t>-0.28 (+/-0.3)</w:t>
            </w:r>
          </w:p>
          <w:p w14:paraId="0417A5CB" w14:textId="215EBFE8" w:rsidR="281BD29D" w:rsidRDefault="2944FDC6" w:rsidP="281BD29D">
            <w:pPr>
              <w:pStyle w:val="Tablebody"/>
              <w:spacing w:line="240" w:lineRule="exact"/>
            </w:pPr>
            <w:r>
              <w:t>-0.13 (+/-0.4)</w:t>
            </w:r>
          </w:p>
        </w:tc>
      </w:tr>
      <w:tr w:rsidR="281BD29D" w14:paraId="7E308EEB" w14:textId="77777777" w:rsidTr="2944FDC6">
        <w:tc>
          <w:tcPr>
            <w:tcW w:w="1110" w:type="dxa"/>
          </w:tcPr>
          <w:p w14:paraId="453EE095" w14:textId="0A7B7CAA" w:rsidR="281BD29D" w:rsidRDefault="281BD29D" w:rsidP="281BD29D">
            <w:pPr>
              <w:pStyle w:val="Tablebody"/>
            </w:pPr>
            <w:r>
              <w:t>R2 Training</w:t>
            </w:r>
          </w:p>
        </w:tc>
        <w:tc>
          <w:tcPr>
            <w:tcW w:w="1185" w:type="dxa"/>
          </w:tcPr>
          <w:p w14:paraId="5D9F188A" w14:textId="7D76855C" w:rsidR="281BD29D" w:rsidRDefault="2944FDC6" w:rsidP="281BD29D">
            <w:pPr>
              <w:pStyle w:val="Tablebody"/>
            </w:pPr>
            <w:r>
              <w:t>0.92/0.91</w:t>
            </w:r>
          </w:p>
        </w:tc>
        <w:tc>
          <w:tcPr>
            <w:tcW w:w="1155" w:type="dxa"/>
          </w:tcPr>
          <w:p w14:paraId="239D2FF1" w14:textId="374AE739" w:rsidR="281BD29D" w:rsidRDefault="2944FDC6" w:rsidP="281BD29D">
            <w:pPr>
              <w:pStyle w:val="Tablebody"/>
            </w:pPr>
            <w:r>
              <w:t>0.88/0.34</w:t>
            </w:r>
          </w:p>
        </w:tc>
        <w:tc>
          <w:tcPr>
            <w:tcW w:w="1200" w:type="dxa"/>
          </w:tcPr>
          <w:p w14:paraId="2ACD24FC" w14:textId="036BACA7" w:rsidR="281BD29D" w:rsidRDefault="2944FDC6" w:rsidP="281BD29D">
            <w:pPr>
              <w:pStyle w:val="Tablebody"/>
            </w:pPr>
            <w:r>
              <w:t>-0.18/0.47</w:t>
            </w:r>
          </w:p>
        </w:tc>
      </w:tr>
      <w:tr w:rsidR="281BD29D" w14:paraId="6F33406C" w14:textId="77777777" w:rsidTr="2944FDC6">
        <w:tc>
          <w:tcPr>
            <w:tcW w:w="1110" w:type="dxa"/>
          </w:tcPr>
          <w:p w14:paraId="604B1401" w14:textId="09475FE7" w:rsidR="281BD29D" w:rsidRDefault="281BD29D" w:rsidP="281BD29D">
            <w:pPr>
              <w:pStyle w:val="Tablebody"/>
            </w:pPr>
            <w:r>
              <w:t>R2 Test</w:t>
            </w:r>
          </w:p>
        </w:tc>
        <w:tc>
          <w:tcPr>
            <w:tcW w:w="1185" w:type="dxa"/>
          </w:tcPr>
          <w:p w14:paraId="5827C1EE" w14:textId="2F1E96CF" w:rsidR="281BD29D" w:rsidRDefault="2944FDC6" w:rsidP="281BD29D">
            <w:pPr>
              <w:pStyle w:val="Tablebody"/>
              <w:spacing w:line="240" w:lineRule="exact"/>
            </w:pPr>
            <w:r>
              <w:t>-0.05/-0.2</w:t>
            </w:r>
          </w:p>
        </w:tc>
        <w:tc>
          <w:tcPr>
            <w:tcW w:w="1155" w:type="dxa"/>
          </w:tcPr>
          <w:p w14:paraId="13C363A5" w14:textId="592E60E1" w:rsidR="281BD29D" w:rsidRDefault="2944FDC6" w:rsidP="281BD29D">
            <w:pPr>
              <w:pStyle w:val="Tablebody"/>
              <w:spacing w:line="240" w:lineRule="exact"/>
            </w:pPr>
            <w:r>
              <w:t>-0.03/-0.07</w:t>
            </w:r>
          </w:p>
        </w:tc>
        <w:tc>
          <w:tcPr>
            <w:tcW w:w="1200" w:type="dxa"/>
          </w:tcPr>
          <w:p w14:paraId="76663537" w14:textId="333765FC" w:rsidR="281BD29D" w:rsidRDefault="2944FDC6" w:rsidP="281BD29D">
            <w:pPr>
              <w:pStyle w:val="Tablebody"/>
            </w:pPr>
            <w:r>
              <w:t>-0.42/-0.18</w:t>
            </w:r>
          </w:p>
        </w:tc>
      </w:tr>
      <w:tr w:rsidR="281BD29D" w14:paraId="5690D2AC" w14:textId="77777777" w:rsidTr="2944FDC6">
        <w:tc>
          <w:tcPr>
            <w:tcW w:w="1110" w:type="dxa"/>
            <w:tcBorders>
              <w:bottom w:val="single" w:sz="4" w:space="0" w:color="auto"/>
            </w:tcBorders>
          </w:tcPr>
          <w:p w14:paraId="77107184" w14:textId="2F0FDD4B" w:rsidR="281BD29D" w:rsidRDefault="281BD29D" w:rsidP="281BD29D">
            <w:pPr>
              <w:pStyle w:val="Tablebodylast"/>
              <w:spacing w:line="240" w:lineRule="exact"/>
            </w:pPr>
            <w:r>
              <w:t>GC-Content</w:t>
            </w:r>
          </w:p>
        </w:tc>
        <w:tc>
          <w:tcPr>
            <w:tcW w:w="1185" w:type="dxa"/>
            <w:tcBorders>
              <w:bottom w:val="single" w:sz="4" w:space="0" w:color="auto"/>
            </w:tcBorders>
          </w:tcPr>
          <w:p w14:paraId="52D40C28" w14:textId="10B1ED39" w:rsidR="281BD29D" w:rsidRDefault="2944FDC6" w:rsidP="2944FDC6">
            <w:pPr>
              <w:pStyle w:val="Tablebodylast"/>
              <w:spacing w:line="240" w:lineRule="exact"/>
            </w:pPr>
            <w:r>
              <w:t>1</w:t>
            </w:r>
            <w:r w:rsidRPr="2944FDC6">
              <w:rPr>
                <w:vertAlign w:val="superscript"/>
              </w:rPr>
              <w:t>st</w:t>
            </w:r>
            <w:r>
              <w:t>, 9</w:t>
            </w:r>
            <w:r w:rsidRPr="2944FDC6">
              <w:rPr>
                <w:vertAlign w:val="superscript"/>
              </w:rPr>
              <w:t>th</w:t>
            </w:r>
          </w:p>
        </w:tc>
        <w:tc>
          <w:tcPr>
            <w:tcW w:w="1155" w:type="dxa"/>
            <w:tcBorders>
              <w:bottom w:val="single" w:sz="4" w:space="0" w:color="auto"/>
            </w:tcBorders>
          </w:tcPr>
          <w:p w14:paraId="6F8D4DA3" w14:textId="70408FF0" w:rsidR="281BD29D" w:rsidRDefault="2944FDC6" w:rsidP="281BD29D">
            <w:pPr>
              <w:pStyle w:val="Tablebodylast"/>
            </w:pPr>
            <w:r>
              <w:t>4</w:t>
            </w:r>
            <w:r w:rsidRPr="2944FDC6">
              <w:rPr>
                <w:vertAlign w:val="superscript"/>
              </w:rPr>
              <w:t>th</w:t>
            </w:r>
            <w:r>
              <w:t>, 5</w:t>
            </w:r>
            <w:r w:rsidRPr="2944FDC6">
              <w:rPr>
                <w:vertAlign w:val="superscript"/>
              </w:rPr>
              <w:t>th</w:t>
            </w:r>
            <w:r>
              <w:t xml:space="preserve"> </w:t>
            </w:r>
          </w:p>
        </w:tc>
        <w:tc>
          <w:tcPr>
            <w:tcW w:w="1200" w:type="dxa"/>
            <w:tcBorders>
              <w:bottom w:val="single" w:sz="4" w:space="0" w:color="auto"/>
            </w:tcBorders>
          </w:tcPr>
          <w:p w14:paraId="5DB83655" w14:textId="37704FBB" w:rsidR="281BD29D" w:rsidRDefault="281BD29D" w:rsidP="281BD29D">
            <w:pPr>
              <w:pStyle w:val="Tablebodylast"/>
            </w:pPr>
            <w:r>
              <w:t>N.A.</w:t>
            </w:r>
          </w:p>
        </w:tc>
      </w:tr>
    </w:tbl>
    <w:p w14:paraId="206BCBC6" w14:textId="315D65F9" w:rsidR="281BD29D" w:rsidRDefault="281BD29D" w:rsidP="281BD29D">
      <w:pPr>
        <w:pStyle w:val="para-first"/>
      </w:pPr>
    </w:p>
    <w:p w14:paraId="18822B42" w14:textId="300822B3" w:rsidR="00D83B8A" w:rsidRPr="00584A70" w:rsidRDefault="00AF2379" w:rsidP="00FD050A">
      <w:pPr>
        <w:pStyle w:val="Heading1"/>
      </w:pPr>
      <w:r>
        <w:t>Discussion and conclusion</w:t>
      </w:r>
    </w:p>
    <w:p w14:paraId="6BA776DC" w14:textId="3356ED4A" w:rsidR="00CD1067" w:rsidRPr="00366351" w:rsidRDefault="7B8508EF" w:rsidP="00AF2379">
      <w:pPr>
        <w:pStyle w:val="para-first"/>
      </w:pPr>
      <w:r>
        <w:t>Synthetic promoter libraries are increasingly constructed to facilitate promoter selection with defined activities. The ExpressionExpertIpynb workflow supports the analysis of promoter libraries to identify the sequence information that determines expression strength. The identification is based on statistical analysis of the average nucleotide-position associated expression as well as the training of different machine learning algorithms. Moreover</w:t>
      </w:r>
      <w:r w:rsidR="00A64110">
        <w:t>,</w:t>
      </w:r>
      <w:r>
        <w:t xml:space="preserve"> the analysis of more complex libraries with multiple readouts, like two reporter proteins, transcript and protein level, or cross host expression can be analyzed. The tool facilitates data exploration by providing a workflow from data preparation, regressor training and performance evaluation and testing of novel sequences within the exploration space. The implementation in a Jupyter notebook facilitates rapid implementation and the low level scripting allows for direct adaptation of the workflow to specific needs. </w:t>
      </w:r>
    </w:p>
    <w:p w14:paraId="7FC645A9" w14:textId="5CEB7BCD" w:rsidR="00CD1067" w:rsidRPr="00366351" w:rsidRDefault="00CD1067" w:rsidP="00AF2379">
      <w:pPr>
        <w:pStyle w:val="para-first"/>
      </w:pPr>
    </w:p>
    <w:p w14:paraId="55A3978E" w14:textId="59E63E5C" w:rsidR="00CD1067" w:rsidRPr="00366351" w:rsidRDefault="7B8508EF" w:rsidP="00074DAD">
      <w:pPr>
        <w:pStyle w:val="para-first"/>
        <w:ind w:firstLine="170"/>
      </w:pPr>
      <w:r>
        <w:t>So far, the analysis of promoter libraries was conducted with scripts tailored to the data, obfuscating reproducibility and interpretability. The ExpressionExpertIpynb is a contribution to harmonize analytical workflows and to enable an easy start for new groups with promoter libraries. Other toolboxes exist to support machine learning like tpot</w:t>
      </w:r>
      <w:r w:rsidR="00A64110">
        <w:fldChar w:fldCharType="begin" w:fldLock="1"/>
      </w:r>
      <w:r w:rsidR="00A64110">
        <w:instrText>ADDIN CSL_CITATION {"citationItems":[{"id":"ITEM-1","itemData":{"DOI":"10.1093/bioinformatics/btz470","abstract":"Motivation\r\n\r\nAutomated machine learning (AutoML) systems are helpful data science assistants designed to scan data for novel features, select appropriate supervised learning models and optimize their parameters. For this purpose, Tree-based Pipeline Optimization Tool (TPOT) was developed using strongly typed genetic programing (GP) to recommend an optimized analysis pipeline for the data scientist’s prediction problem. However, like other AutoML systems, TPOT may reach computational resource limits when working on big data such as whole-genome expression data.\r\nResults\r\n\r\nWe introduce two new features implemented in TPOT that helps increase the system’s scalability: Feature Set Selector (FSS) and Template. FSS provides the option to specify subsets of the features as separate datasets, assuming the signals come from one or more of these specific data subsets. FSS increases TPOT’s efficiency in application on big data by slicing the entire dataset into smaller sets of features and allowing GP to select the best subset in the final pipeline. Template enforces type constraints with strongly typed GP and enables the incorporation of FSS at the beginning of each pipeline. Consequently, FSS and Template help reduce TPOT computation time and may provide more interpretable results. Our simulations show TPOT-FSS significantly outperforms a tuned XGBoost model and standard TPOT implementation. We apply TPOT-FSS to real RNA-Seq data from a study of major depressive disorder. Independent of the previous study that identified significant association with depression severity of two modules, TPOT-FSS corroborates that one of the modules is largely predictive of the clinical diagnosis of each individual.\r\nAvailability and implementation\r\n\r\nDetailed simulation and analysis code needed to reproduce the results in this study is available at https://github.com/lelaboratoire/tpot-fss. Implementation of the new TPOT operators is available at https://github.com/EpistasisLab/tpot.","author":[{"dropping-particle":"","family":"Le","given":"Trang T","non-dropping-particle":"","parse-names":false,"suffix":""},{"dropping-particle":"","family":"Fu","given":"Weixuan","non-dropping-particle":"","parse-names":false,"suffix":""},{"dropping-particle":"","family":"Moore","given":"Jason H","non-dropping-particle":"","parse-names":false,"suffix":""}],"container-title":"Bioinformatics","editor":[{"dropping-particle":"","family":"Kelso","given":"Janet","non-dropping-particle":"","parse-names":false,"suffix":""}],"id":"ITEM-1","issue":"1","issued":{"date-parts":[["2020","6"]]},"page":"250-256","publisher":"Oxford University Press (OUP)","title":"Scaling tree-based automated machine learning to biomedical big data with a feature set selector","type":"article-journal","volume":"36"},"uris":["http://www.mendeley.com/documents/?uuid=f638aedd-df5e-34e3-a520-1e240bf6f65d"]}],"mendeley":{"formattedCitation":"&lt;sup&gt;8&lt;/sup&gt;","plainTextFormattedCitation":"8","previouslyFormattedCitation":"&lt;sup&gt;8&lt;/sup&gt;"},"properties":{"noteIndex":0},"schema":"https://github.com/citation-style-language/schema/raw/master/csl-citation.json"}</w:instrText>
      </w:r>
      <w:r w:rsidR="00A64110">
        <w:fldChar w:fldCharType="separate"/>
      </w:r>
      <w:r w:rsidR="00A64110" w:rsidRPr="00A64110">
        <w:rPr>
          <w:noProof/>
          <w:vertAlign w:val="superscript"/>
        </w:rPr>
        <w:t>8</w:t>
      </w:r>
      <w:r w:rsidR="00A64110">
        <w:fldChar w:fldCharType="end"/>
      </w:r>
      <w:r>
        <w:t xml:space="preserve"> and the JADBIO</w:t>
      </w:r>
      <w:r w:rsidR="00A64110">
        <w:fldChar w:fldCharType="begin" w:fldLock="1"/>
      </w:r>
      <w:r w:rsidR="00A64110">
        <w:instrText>ADDIN CSL_CITATION {"citationItems":[{"id":"ITEM-1","itemData":{"DOI":"10.1101/2020.05.04.075747","abstract":"Fully automated machine learning, statistical modelling, and artificial intelligence for predictive modeling is becoming a reality, giving rise to the field of Automated Machine Learning (Au-toML). AutoML systems promise to democratize data analysis to non-experts, drastically in-crease productivity, improve replicability of the statistical analysis, facilitate the interpretation of results, and shield against common methodological analysis pitfalls. We present the basic ideas and principles of Just Add Data Bio (JADBIO), an AutoML technology applicable to the low-sample, high-dimensional omics data that arise in translational medicine and bioinformatics appli-cations. In addition to predictive and diagnostic models ready for clinical use, JADBIO also re-turns the corresponding biosignatures, i.e., minimal-size subsets of biomarkers that are jointly predictive of the outcome of interest. A use-case on thymic epithelial tumors is presented, along with an extensive evaluation on 374 public biological datasets. Results show that long-standing challenges with overfitting and overestimation of complex non-linear machine learning pipelines on high-dimensional, low small sample data can be overcome.Competing Interest StatementCompeting interests: IT, PC, GB, HJ, and VL are or were directly or indirectly affiliated with Gnosis Data Analysis that offers the JADBIO service commercially.","author":[{"dropping-particle":"","family":"Tsamardinos","given":"Ioannis","non-dropping-particle":"","parse-names":false,"suffix":""},{"dropping-particle":"","family":"Charonyktakis","given":"Pavlos","non-dropping-particle":"","parse-names":false,"suffix":""},{"dropping-particle":"","family":"Lakiotaki","given":"Kleanthi","non-dropping-particle":"","parse-names":false,"suffix":""},{"dropping-particle":"","family":"Borboudakis","given":"Giorgos","non-dropping-particle":"","parse-names":false,"suffix":""},{"dropping-particle":"","family":"Zenklusen","given":"Jean Claude","non-dropping-particle":"","parse-names":false,"suffix":""},{"dropping-particle":"","family":"Juhl","given":"Hartmut","non-dropping-particle":"","parse-names":false,"suffix":""},{"dropping-particle":"","family":"Chatzaki","given":"Ekaterini","non-dropping-particle":"","parse-names":false,"suffix":""},{"dropping-particle":"","family":"Lagani","given":"Vincenzo","non-dropping-particle":"","parse-names":false,"suffix":""}],"container-title":"bioRxiv","id":"ITEM-1","issued":{"date-parts":[["2020"]]},"publisher":"Cold Spring Harbor Laboratory","title":"Just Add Data: Automated Predictive Modeling and BioSignature Discovery","type":"article-journal"},"uris":["http://www.mendeley.com/documents/?uuid=a9d63286-de32-3067-a636-2c2ec6ede56b"]}],"mendeley":{"formattedCitation":"&lt;sup&gt;9&lt;/sup&gt;","plainTextFormattedCitation":"9"},"properties":{"noteIndex":0},"schema":"https://github.com/citation-style-language/schema/raw/master/csl-citation.json"}</w:instrText>
      </w:r>
      <w:r w:rsidR="00A64110">
        <w:fldChar w:fldCharType="separate"/>
      </w:r>
      <w:r w:rsidR="00A64110" w:rsidRPr="00A64110">
        <w:rPr>
          <w:noProof/>
          <w:vertAlign w:val="superscript"/>
        </w:rPr>
        <w:t>9</w:t>
      </w:r>
      <w:r w:rsidR="00A64110">
        <w:fldChar w:fldCharType="end"/>
      </w:r>
      <w:r>
        <w:t xml:space="preserve"> tools. The advantage of the ExpressionExpertIpynb is to be general enough to be used across different data </w:t>
      </w:r>
      <w:r>
        <w:lastRenderedPageBreak/>
        <w:t>sets in expression studies, but rem</w:t>
      </w:r>
      <w:r w:rsidR="00A64110">
        <w:t>a</w:t>
      </w:r>
      <w:r>
        <w:t>ining domain specific to facilitate simple data integration.</w:t>
      </w:r>
    </w:p>
    <w:p w14:paraId="79CCAD17" w14:textId="77777777" w:rsidR="001A5509" w:rsidRDefault="00643190" w:rsidP="001A0125">
      <w:pPr>
        <w:pStyle w:val="AckHead"/>
      </w:pPr>
      <w:r>
        <w:t>A</w:t>
      </w:r>
      <w:r w:rsidR="001A5509">
        <w:t>cknowledgements</w:t>
      </w:r>
    </w:p>
    <w:p w14:paraId="6446443C" w14:textId="1518F85C" w:rsidR="00D83B8A" w:rsidRPr="00366351" w:rsidRDefault="281BD29D">
      <w:pPr>
        <w:pStyle w:val="AckText"/>
        <w:rPr>
          <w:sz w:val="14"/>
          <w:szCs w:val="14"/>
        </w:rPr>
      </w:pPr>
      <w:r w:rsidRPr="281BD29D">
        <w:rPr>
          <w:sz w:val="14"/>
          <w:szCs w:val="14"/>
        </w:rPr>
        <w:t>The authors thank Salome Nies, Dario Neves, and Sebastian Köbbing for promoter library data. The authors acknowledge discussions with Birgitta Ebert, Tobias Alter, Bastian Kister.</w:t>
      </w:r>
    </w:p>
    <w:p w14:paraId="6CC25542" w14:textId="77777777" w:rsidR="00366351" w:rsidRPr="00366351" w:rsidRDefault="00CD55D8" w:rsidP="001A0125">
      <w:pPr>
        <w:pStyle w:val="RefHead"/>
        <w:rPr>
          <w:caps/>
        </w:rPr>
      </w:pPr>
      <w:r w:rsidRPr="00366351">
        <w:t>Funding</w:t>
      </w:r>
    </w:p>
    <w:p w14:paraId="41C8F396" w14:textId="77887AB3" w:rsidR="005806E7" w:rsidRPr="001A4BD6" w:rsidRDefault="1451B20C" w:rsidP="001A4BD6">
      <w:pPr>
        <w:pStyle w:val="AckText"/>
        <w:rPr>
          <w:rFonts w:ascii="AdvPSSAB-R" w:hAnsi="AdvPSSAB-R" w:cs="AdvPSSAB-R"/>
          <w:sz w:val="14"/>
          <w:szCs w:val="14"/>
          <w:lang w:val="en-GB" w:eastAsia="en-IN"/>
        </w:rPr>
      </w:pPr>
      <w:r w:rsidRPr="1451B20C">
        <w:rPr>
          <w:rFonts w:ascii="AdvPSSAB-R" w:hAnsi="AdvPSSAB-R" w:cs="AdvPSSAB-R"/>
          <w:sz w:val="14"/>
          <w:szCs w:val="14"/>
          <w:lang w:val="en-GB" w:eastAsia="en-IN"/>
        </w:rPr>
        <w:t>U.W.L. received funding by the Excellence Initiative of the German federal and state governments ((DE-82)EXS-PF-PFSDS015). The laboratory of L.M.B. is partially funded by the Deutsche Forschungsgemeinschaft (DFG, German Research Foundation) under Germany’s Excellence Strategy—Exzellenzcluster 2186, ‘The Fuel Science Center ID: 390919832.’</w:t>
      </w:r>
    </w:p>
    <w:p w14:paraId="798B0DDF"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071E4E01" w14:textId="77777777" w:rsidR="00D83B8A" w:rsidRPr="00366351" w:rsidRDefault="00366351" w:rsidP="001A0125">
      <w:pPr>
        <w:pStyle w:val="RefHead"/>
      </w:pPr>
      <w:r w:rsidRPr="00366351">
        <w:t>References</w:t>
      </w:r>
    </w:p>
    <w:p w14:paraId="45335D18" w14:textId="77777777" w:rsidR="002323E3" w:rsidRDefault="002323E3">
      <w:pPr>
        <w:pStyle w:val="RefText"/>
        <w:rPr>
          <w:szCs w:val="14"/>
        </w:rPr>
      </w:pPr>
    </w:p>
    <w:p w14:paraId="21695D1E" w14:textId="289D7D92" w:rsidR="00A64110" w:rsidRPr="00A64110" w:rsidRDefault="00F554D0" w:rsidP="00A64110">
      <w:pPr>
        <w:widowControl w:val="0"/>
        <w:autoSpaceDE w:val="0"/>
        <w:autoSpaceDN w:val="0"/>
        <w:adjustRightInd w:val="0"/>
        <w:ind w:left="640" w:hanging="640"/>
        <w:rPr>
          <w:rFonts w:ascii="Times New Roman" w:hAnsi="Times New Roman"/>
          <w:noProof/>
          <w:sz w:val="14"/>
        </w:rPr>
      </w:pPr>
      <w:r>
        <w:rPr>
          <w:szCs w:val="14"/>
        </w:rPr>
        <w:fldChar w:fldCharType="begin" w:fldLock="1"/>
      </w:r>
      <w:r>
        <w:rPr>
          <w:szCs w:val="14"/>
        </w:rPr>
        <w:instrText xml:space="preserve">ADDIN Mendeley Bibliography CSL_BIBLIOGRAPHY </w:instrText>
      </w:r>
      <w:r>
        <w:rPr>
          <w:szCs w:val="14"/>
        </w:rPr>
        <w:fldChar w:fldCharType="separate"/>
      </w:r>
      <w:r w:rsidR="00A64110" w:rsidRPr="00A64110">
        <w:rPr>
          <w:rFonts w:ascii="Times New Roman" w:hAnsi="Times New Roman"/>
          <w:noProof/>
          <w:sz w:val="14"/>
        </w:rPr>
        <w:t>1.</w:t>
      </w:r>
      <w:r w:rsidR="00A64110" w:rsidRPr="00A64110">
        <w:rPr>
          <w:rFonts w:ascii="Times New Roman" w:hAnsi="Times New Roman"/>
          <w:noProof/>
          <w:sz w:val="14"/>
        </w:rPr>
        <w:tab/>
        <w:t xml:space="preserve">Rhodius, V. A. &amp; Mutalik, V. K. Predicting strength and function for promoters of the Escherichia coli alternative sigma factor, σE. </w:t>
      </w:r>
      <w:r w:rsidR="00A64110" w:rsidRPr="00A64110">
        <w:rPr>
          <w:rFonts w:ascii="Times New Roman" w:hAnsi="Times New Roman"/>
          <w:i/>
          <w:iCs/>
          <w:noProof/>
          <w:sz w:val="14"/>
        </w:rPr>
        <w:t>Proc. Natl. Acad. Sci.</w:t>
      </w:r>
      <w:r w:rsidR="00A64110" w:rsidRPr="00A64110">
        <w:rPr>
          <w:rFonts w:ascii="Times New Roman" w:hAnsi="Times New Roman"/>
          <w:noProof/>
          <w:sz w:val="14"/>
        </w:rPr>
        <w:t xml:space="preserve"> </w:t>
      </w:r>
      <w:r w:rsidR="00A64110" w:rsidRPr="00A64110">
        <w:rPr>
          <w:rFonts w:ascii="Times New Roman" w:hAnsi="Times New Roman"/>
          <w:b/>
          <w:bCs/>
          <w:noProof/>
          <w:sz w:val="14"/>
        </w:rPr>
        <w:t>107</w:t>
      </w:r>
      <w:r w:rsidR="00A64110" w:rsidRPr="00A64110">
        <w:rPr>
          <w:rFonts w:ascii="Times New Roman" w:hAnsi="Times New Roman"/>
          <w:noProof/>
          <w:sz w:val="14"/>
        </w:rPr>
        <w:t>, 2854–2859 (2010).</w:t>
      </w:r>
    </w:p>
    <w:p w14:paraId="62260A48"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2.</w:t>
      </w:r>
      <w:r w:rsidRPr="00A64110">
        <w:rPr>
          <w:rFonts w:ascii="Times New Roman" w:hAnsi="Times New Roman"/>
          <w:noProof/>
          <w:sz w:val="14"/>
        </w:rPr>
        <w:tab/>
        <w:t xml:space="preserve">Cuperus, J. T. </w:t>
      </w:r>
      <w:r w:rsidRPr="00A64110">
        <w:rPr>
          <w:rFonts w:ascii="Times New Roman" w:hAnsi="Times New Roman"/>
          <w:i/>
          <w:iCs/>
          <w:noProof/>
          <w:sz w:val="14"/>
        </w:rPr>
        <w:t>et al.</w:t>
      </w:r>
      <w:r w:rsidRPr="00A64110">
        <w:rPr>
          <w:rFonts w:ascii="Times New Roman" w:hAnsi="Times New Roman"/>
          <w:noProof/>
          <w:sz w:val="14"/>
        </w:rPr>
        <w:t xml:space="preserve"> Deep learning of the regulatory grammar of yeast 5′ untranslated regions from 500,000 random sequences. </w:t>
      </w:r>
      <w:r w:rsidRPr="00A64110">
        <w:rPr>
          <w:rFonts w:ascii="Times New Roman" w:hAnsi="Times New Roman"/>
          <w:i/>
          <w:iCs/>
          <w:noProof/>
          <w:sz w:val="14"/>
        </w:rPr>
        <w:t>Genome Res</w:t>
      </w:r>
      <w:r w:rsidRPr="00A64110">
        <w:rPr>
          <w:rFonts w:ascii="Times New Roman" w:hAnsi="Times New Roman"/>
          <w:noProof/>
          <w:sz w:val="14"/>
        </w:rPr>
        <w:t xml:space="preserve"> </w:t>
      </w:r>
      <w:r w:rsidRPr="00A64110">
        <w:rPr>
          <w:rFonts w:ascii="Times New Roman" w:hAnsi="Times New Roman"/>
          <w:b/>
          <w:bCs/>
          <w:noProof/>
          <w:sz w:val="14"/>
        </w:rPr>
        <w:t>27</w:t>
      </w:r>
      <w:r w:rsidRPr="00A64110">
        <w:rPr>
          <w:rFonts w:ascii="Times New Roman" w:hAnsi="Times New Roman"/>
          <w:noProof/>
          <w:sz w:val="14"/>
        </w:rPr>
        <w:t>, 2015–2024 (2017).</w:t>
      </w:r>
    </w:p>
    <w:p w14:paraId="686569CF"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3.</w:t>
      </w:r>
      <w:r w:rsidRPr="00A64110">
        <w:rPr>
          <w:rFonts w:ascii="Times New Roman" w:hAnsi="Times New Roman"/>
          <w:noProof/>
          <w:sz w:val="14"/>
        </w:rPr>
        <w:tab/>
        <w:t xml:space="preserve">Cambray, G., Guimaraes, J. C. &amp; Arkin, A. P. Evaluation of 244,000 synthetic sequences reveals design principles to optimize translation in Escherichia coli. </w:t>
      </w:r>
      <w:r w:rsidRPr="00A64110">
        <w:rPr>
          <w:rFonts w:ascii="Times New Roman" w:hAnsi="Times New Roman"/>
          <w:i/>
          <w:iCs/>
          <w:noProof/>
          <w:sz w:val="14"/>
        </w:rPr>
        <w:t>Nat. Biotechnol.</w:t>
      </w:r>
      <w:r w:rsidRPr="00A64110">
        <w:rPr>
          <w:rFonts w:ascii="Times New Roman" w:hAnsi="Times New Roman"/>
          <w:noProof/>
          <w:sz w:val="14"/>
        </w:rPr>
        <w:t xml:space="preserve"> </w:t>
      </w:r>
      <w:r w:rsidRPr="00A64110">
        <w:rPr>
          <w:rFonts w:ascii="Times New Roman" w:hAnsi="Times New Roman"/>
          <w:b/>
          <w:bCs/>
          <w:noProof/>
          <w:sz w:val="14"/>
        </w:rPr>
        <w:t>36</w:t>
      </w:r>
      <w:r w:rsidRPr="00A64110">
        <w:rPr>
          <w:rFonts w:ascii="Times New Roman" w:hAnsi="Times New Roman"/>
          <w:noProof/>
          <w:sz w:val="14"/>
        </w:rPr>
        <w:t>, 1005 (2018).</w:t>
      </w:r>
    </w:p>
    <w:p w14:paraId="15991B7E"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4.</w:t>
      </w:r>
      <w:r w:rsidRPr="00A64110">
        <w:rPr>
          <w:rFonts w:ascii="Times New Roman" w:hAnsi="Times New Roman"/>
          <w:noProof/>
          <w:sz w:val="14"/>
        </w:rPr>
        <w:tab/>
        <w:t xml:space="preserve">Liu, D. </w:t>
      </w:r>
      <w:r w:rsidRPr="00A64110">
        <w:rPr>
          <w:rFonts w:ascii="Times New Roman" w:hAnsi="Times New Roman"/>
          <w:i/>
          <w:iCs/>
          <w:noProof/>
          <w:sz w:val="14"/>
        </w:rPr>
        <w:t>et al.</w:t>
      </w:r>
      <w:r w:rsidRPr="00A64110">
        <w:rPr>
          <w:rFonts w:ascii="Times New Roman" w:hAnsi="Times New Roman"/>
          <w:noProof/>
          <w:sz w:val="14"/>
        </w:rPr>
        <w:t xml:space="preserve"> Construction, model-based analysis, and characterization of a promoter library for fine-tuned gene expression in Bacillus subtilis. </w:t>
      </w:r>
      <w:r w:rsidRPr="00A64110">
        <w:rPr>
          <w:rFonts w:ascii="Times New Roman" w:hAnsi="Times New Roman"/>
          <w:i/>
          <w:iCs/>
          <w:noProof/>
          <w:sz w:val="14"/>
        </w:rPr>
        <w:t>ACS Synth Biol</w:t>
      </w:r>
      <w:r w:rsidRPr="00A64110">
        <w:rPr>
          <w:rFonts w:ascii="Times New Roman" w:hAnsi="Times New Roman"/>
          <w:noProof/>
          <w:sz w:val="14"/>
        </w:rPr>
        <w:t xml:space="preserve"> </w:t>
      </w:r>
      <w:r w:rsidRPr="00A64110">
        <w:rPr>
          <w:rFonts w:ascii="Times New Roman" w:hAnsi="Times New Roman"/>
          <w:b/>
          <w:bCs/>
          <w:noProof/>
          <w:sz w:val="14"/>
        </w:rPr>
        <w:t>7</w:t>
      </w:r>
      <w:r w:rsidRPr="00A64110">
        <w:rPr>
          <w:rFonts w:ascii="Times New Roman" w:hAnsi="Times New Roman"/>
          <w:noProof/>
          <w:sz w:val="14"/>
        </w:rPr>
        <w:t>, 1785–1797 (2018).</w:t>
      </w:r>
    </w:p>
    <w:p w14:paraId="2DC07CD4"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5.</w:t>
      </w:r>
      <w:r w:rsidRPr="00A64110">
        <w:rPr>
          <w:rFonts w:ascii="Times New Roman" w:hAnsi="Times New Roman"/>
          <w:noProof/>
          <w:sz w:val="14"/>
        </w:rPr>
        <w:tab/>
        <w:t xml:space="preserve">Gilman, J. </w:t>
      </w:r>
      <w:r w:rsidRPr="00A64110">
        <w:rPr>
          <w:rFonts w:ascii="Times New Roman" w:hAnsi="Times New Roman"/>
          <w:i/>
          <w:iCs/>
          <w:noProof/>
          <w:sz w:val="14"/>
        </w:rPr>
        <w:t>et al.</w:t>
      </w:r>
      <w:r w:rsidRPr="00A64110">
        <w:rPr>
          <w:rFonts w:ascii="Times New Roman" w:hAnsi="Times New Roman"/>
          <w:noProof/>
          <w:sz w:val="14"/>
        </w:rPr>
        <w:t xml:space="preserve"> Rapid, Heuristic Discovery and Design of Promoter Collections in Non-Model Microbes for Industrial Applications. </w:t>
      </w:r>
      <w:r w:rsidRPr="00A64110">
        <w:rPr>
          <w:rFonts w:ascii="Times New Roman" w:hAnsi="Times New Roman"/>
          <w:i/>
          <w:iCs/>
          <w:noProof/>
          <w:sz w:val="14"/>
        </w:rPr>
        <w:t>ACS Synth. Biol.</w:t>
      </w:r>
      <w:r w:rsidRPr="00A64110">
        <w:rPr>
          <w:rFonts w:ascii="Times New Roman" w:hAnsi="Times New Roman"/>
          <w:noProof/>
          <w:sz w:val="14"/>
        </w:rPr>
        <w:t xml:space="preserve"> </w:t>
      </w:r>
      <w:r w:rsidRPr="00A64110">
        <w:rPr>
          <w:rFonts w:ascii="Times New Roman" w:hAnsi="Times New Roman"/>
          <w:b/>
          <w:bCs/>
          <w:noProof/>
          <w:sz w:val="14"/>
        </w:rPr>
        <w:t>8</w:t>
      </w:r>
      <w:r w:rsidRPr="00A64110">
        <w:rPr>
          <w:rFonts w:ascii="Times New Roman" w:hAnsi="Times New Roman"/>
          <w:noProof/>
          <w:sz w:val="14"/>
        </w:rPr>
        <w:t>, 1175–1186 (2019).</w:t>
      </w:r>
    </w:p>
    <w:p w14:paraId="4C819281"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6.</w:t>
      </w:r>
      <w:r w:rsidRPr="00A64110">
        <w:rPr>
          <w:rFonts w:ascii="Times New Roman" w:hAnsi="Times New Roman"/>
          <w:noProof/>
          <w:sz w:val="14"/>
        </w:rPr>
        <w:tab/>
        <w:t xml:space="preserve">Rule, A. </w:t>
      </w:r>
      <w:r w:rsidRPr="00A64110">
        <w:rPr>
          <w:rFonts w:ascii="Times New Roman" w:hAnsi="Times New Roman"/>
          <w:i/>
          <w:iCs/>
          <w:noProof/>
          <w:sz w:val="14"/>
        </w:rPr>
        <w:t>et al.</w:t>
      </w:r>
      <w:r w:rsidRPr="00A64110">
        <w:rPr>
          <w:rFonts w:ascii="Times New Roman" w:hAnsi="Times New Roman"/>
          <w:noProof/>
          <w:sz w:val="14"/>
        </w:rPr>
        <w:t xml:space="preserve"> Ten simple rules for writing and sharing computational analyses in Jupyter Notebooks. </w:t>
      </w:r>
      <w:r w:rsidRPr="00A64110">
        <w:rPr>
          <w:rFonts w:ascii="Times New Roman" w:hAnsi="Times New Roman"/>
          <w:i/>
          <w:iCs/>
          <w:noProof/>
          <w:sz w:val="14"/>
        </w:rPr>
        <w:t>PLoS Comp Biol</w:t>
      </w:r>
      <w:r w:rsidRPr="00A64110">
        <w:rPr>
          <w:rFonts w:ascii="Times New Roman" w:hAnsi="Times New Roman"/>
          <w:noProof/>
          <w:sz w:val="14"/>
        </w:rPr>
        <w:t xml:space="preserve"> (2019) doi:10.1371/journal.pcbi.1007007.</w:t>
      </w:r>
    </w:p>
    <w:p w14:paraId="21DE2F43"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7.</w:t>
      </w:r>
      <w:r w:rsidRPr="00A64110">
        <w:rPr>
          <w:rFonts w:ascii="Times New Roman" w:hAnsi="Times New Roman"/>
          <w:noProof/>
          <w:sz w:val="14"/>
        </w:rPr>
        <w:tab/>
        <w:t xml:space="preserve">Tareen, A. &amp; Kinney, J. B. Logomaker: beautiful sequence logos in Python. </w:t>
      </w:r>
      <w:r w:rsidRPr="00A64110">
        <w:rPr>
          <w:rFonts w:ascii="Times New Roman" w:hAnsi="Times New Roman"/>
          <w:i/>
          <w:iCs/>
          <w:noProof/>
          <w:sz w:val="14"/>
        </w:rPr>
        <w:t>Bioinformatics</w:t>
      </w:r>
      <w:r w:rsidRPr="00A64110">
        <w:rPr>
          <w:rFonts w:ascii="Times New Roman" w:hAnsi="Times New Roman"/>
          <w:noProof/>
          <w:sz w:val="14"/>
        </w:rPr>
        <w:t xml:space="preserve"> </w:t>
      </w:r>
      <w:r w:rsidRPr="00A64110">
        <w:rPr>
          <w:rFonts w:ascii="Times New Roman" w:hAnsi="Times New Roman"/>
          <w:b/>
          <w:bCs/>
          <w:noProof/>
          <w:sz w:val="14"/>
        </w:rPr>
        <w:t>36</w:t>
      </w:r>
      <w:r w:rsidRPr="00A64110">
        <w:rPr>
          <w:rFonts w:ascii="Times New Roman" w:hAnsi="Times New Roman"/>
          <w:noProof/>
          <w:sz w:val="14"/>
        </w:rPr>
        <w:t>, 2272–2274 (2019).</w:t>
      </w:r>
    </w:p>
    <w:p w14:paraId="63C7F35B"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8.</w:t>
      </w:r>
      <w:r w:rsidRPr="00A64110">
        <w:rPr>
          <w:rFonts w:ascii="Times New Roman" w:hAnsi="Times New Roman"/>
          <w:noProof/>
          <w:sz w:val="14"/>
        </w:rPr>
        <w:tab/>
        <w:t xml:space="preserve">Le, T. T., Fu, W. &amp; Moore, J. H. Scaling tree-based automated machine learning to biomedical big data with a feature set selector. </w:t>
      </w:r>
      <w:r w:rsidRPr="00A64110">
        <w:rPr>
          <w:rFonts w:ascii="Times New Roman" w:hAnsi="Times New Roman"/>
          <w:i/>
          <w:iCs/>
          <w:noProof/>
          <w:sz w:val="14"/>
        </w:rPr>
        <w:t>Bioinformatics</w:t>
      </w:r>
      <w:r w:rsidRPr="00A64110">
        <w:rPr>
          <w:rFonts w:ascii="Times New Roman" w:hAnsi="Times New Roman"/>
          <w:noProof/>
          <w:sz w:val="14"/>
        </w:rPr>
        <w:t xml:space="preserve"> </w:t>
      </w:r>
      <w:r w:rsidRPr="00A64110">
        <w:rPr>
          <w:rFonts w:ascii="Times New Roman" w:hAnsi="Times New Roman"/>
          <w:b/>
          <w:bCs/>
          <w:noProof/>
          <w:sz w:val="14"/>
        </w:rPr>
        <w:t>36</w:t>
      </w:r>
      <w:r w:rsidRPr="00A64110">
        <w:rPr>
          <w:rFonts w:ascii="Times New Roman" w:hAnsi="Times New Roman"/>
          <w:noProof/>
          <w:sz w:val="14"/>
        </w:rPr>
        <w:t>, 250–256 (2020).</w:t>
      </w:r>
    </w:p>
    <w:p w14:paraId="08CFD7FB" w14:textId="77777777" w:rsidR="00A64110" w:rsidRPr="00A64110" w:rsidRDefault="00A64110" w:rsidP="00A64110">
      <w:pPr>
        <w:widowControl w:val="0"/>
        <w:autoSpaceDE w:val="0"/>
        <w:autoSpaceDN w:val="0"/>
        <w:adjustRightInd w:val="0"/>
        <w:ind w:left="640" w:hanging="640"/>
        <w:rPr>
          <w:rFonts w:ascii="Times New Roman" w:hAnsi="Times New Roman"/>
          <w:noProof/>
          <w:sz w:val="14"/>
        </w:rPr>
      </w:pPr>
      <w:r w:rsidRPr="00A64110">
        <w:rPr>
          <w:rFonts w:ascii="Times New Roman" w:hAnsi="Times New Roman"/>
          <w:noProof/>
          <w:sz w:val="14"/>
        </w:rPr>
        <w:t>9.</w:t>
      </w:r>
      <w:r w:rsidRPr="00A64110">
        <w:rPr>
          <w:rFonts w:ascii="Times New Roman" w:hAnsi="Times New Roman"/>
          <w:noProof/>
          <w:sz w:val="14"/>
        </w:rPr>
        <w:tab/>
        <w:t xml:space="preserve">Tsamardinos, I. </w:t>
      </w:r>
      <w:r w:rsidRPr="00A64110">
        <w:rPr>
          <w:rFonts w:ascii="Times New Roman" w:hAnsi="Times New Roman"/>
          <w:i/>
          <w:iCs/>
          <w:noProof/>
          <w:sz w:val="14"/>
        </w:rPr>
        <w:t>et al.</w:t>
      </w:r>
      <w:r w:rsidRPr="00A64110">
        <w:rPr>
          <w:rFonts w:ascii="Times New Roman" w:hAnsi="Times New Roman"/>
          <w:noProof/>
          <w:sz w:val="14"/>
        </w:rPr>
        <w:t xml:space="preserve"> Just Add Data: Automated Predictive Modeling and BioSignature Discovery. </w:t>
      </w:r>
      <w:r w:rsidRPr="00A64110">
        <w:rPr>
          <w:rFonts w:ascii="Times New Roman" w:hAnsi="Times New Roman"/>
          <w:i/>
          <w:iCs/>
          <w:noProof/>
          <w:sz w:val="14"/>
        </w:rPr>
        <w:t>bioRxiv</w:t>
      </w:r>
      <w:r w:rsidRPr="00A64110">
        <w:rPr>
          <w:rFonts w:ascii="Times New Roman" w:hAnsi="Times New Roman"/>
          <w:noProof/>
          <w:sz w:val="14"/>
        </w:rPr>
        <w:t xml:space="preserve"> (2020) doi:10.1101/2020.05.04.075747.</w:t>
      </w:r>
    </w:p>
    <w:p w14:paraId="55701FE2" w14:textId="2AB17E2F" w:rsidR="002323E3" w:rsidRDefault="00F554D0">
      <w:pPr>
        <w:pStyle w:val="RefText"/>
        <w:rPr>
          <w:szCs w:val="14"/>
        </w:rPr>
      </w:pPr>
      <w:r>
        <w:rPr>
          <w:szCs w:val="14"/>
        </w:rPr>
        <w:fldChar w:fldCharType="end"/>
      </w:r>
    </w:p>
    <w:p w14:paraId="337FB44A" w14:textId="77777777" w:rsidR="009B7539" w:rsidRDefault="009B7539">
      <w:pPr>
        <w:spacing w:line="240" w:lineRule="auto"/>
        <w:rPr>
          <w:rFonts w:ascii="Times New Roman" w:hAnsi="Times New Roman"/>
          <w:sz w:val="14"/>
          <w:szCs w:val="14"/>
        </w:rPr>
      </w:pPr>
      <w:bookmarkStart w:id="0" w:name="_GoBack"/>
      <w:bookmarkEnd w:id="0"/>
      <w:r>
        <w:rPr>
          <w:szCs w:val="14"/>
        </w:rPr>
        <w:br w:type="page"/>
      </w:r>
    </w:p>
    <w:p w14:paraId="754E5392" w14:textId="48B6D1C3" w:rsidR="009B7539" w:rsidRDefault="009B7539" w:rsidP="009B7539">
      <w:pPr>
        <w:pStyle w:val="Heading1"/>
        <w:numPr>
          <w:ilvl w:val="0"/>
          <w:numId w:val="0"/>
        </w:numPr>
        <w:ind w:left="357"/>
      </w:pPr>
      <w:r>
        <w:lastRenderedPageBreak/>
        <w:t>Figures</w:t>
      </w:r>
    </w:p>
    <w:p w14:paraId="6092E82A" w14:textId="26373C83" w:rsidR="009B7539" w:rsidRPr="009B7539" w:rsidRDefault="00074DAD" w:rsidP="009B7539">
      <w:r>
        <w:rPr>
          <w:noProof/>
        </w:rPr>
        <mc:AlternateContent>
          <mc:Choice Requires="wps">
            <w:drawing>
              <wp:anchor distT="0" distB="0" distL="114300" distR="114300" simplePos="0" relativeHeight="251661312" behindDoc="0" locked="0" layoutInCell="1" allowOverlap="1" wp14:anchorId="7EED7186" wp14:editId="51C27C11">
                <wp:simplePos x="0" y="0"/>
                <wp:positionH relativeFrom="column">
                  <wp:posOffset>0</wp:posOffset>
                </wp:positionH>
                <wp:positionV relativeFrom="paragraph">
                  <wp:posOffset>5546090</wp:posOffset>
                </wp:positionV>
                <wp:extent cx="628459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2491EDB9" w14:textId="41128226" w:rsidR="00074DAD" w:rsidRPr="00D92BD6" w:rsidRDefault="00074DAD" w:rsidP="00074DAD">
                            <w:pPr>
                              <w:pStyle w:val="Caption"/>
                              <w:rPr>
                                <w:sz w:val="20"/>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Figure 1: Analysis of </w:t>
                            </w:r>
                            <w:r w:rsidRPr="1451B20C">
                              <w:t>B. subtilis</w:t>
                            </w:r>
                            <w:r>
                              <w:t xml:space="preserve"> library with 206 promoters over 52 nucleotides and activity measured by GFP in triplicates with reported mean and standard deviation (Liu et al., 2018). Panel (A) represents sample diversity indicators of sequence distance (pairwise nucleotide difference among all samples) and position diversity (entropy on each position with maximum at 2 bits). Panel (B) shows statistics related to the reporter protein GFP, namely the frequency count of relative activity and the mean expression associated with each nucleotide-position. Some positions, for example, -31[A, G] are associated with increased mean GFP activity. Panel (C) shows results of machine learning regression with random forest, gradient boosting and support vector machines. Whereas the training set is reasonably reproduced, the correlation coefficients indicate bad performance for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D7186" id="_x0000_t202" coordsize="21600,21600" o:spt="202" path="m,l,21600r21600,l21600,xe">
                <v:stroke joinstyle="miter"/>
                <v:path gradientshapeok="t" o:connecttype="rect"/>
              </v:shapetype>
              <v:shape id="Text Box 2" o:spid="_x0000_s1026" type="#_x0000_t202" style="position:absolute;margin-left:0;margin-top:436.7pt;width:4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" stroked="f">
                <v:textbox style="mso-fit-shape-to-text:t" inset="0,0,0,0">
                  <w:txbxContent>
                    <w:p w14:paraId="2491EDB9" w14:textId="41128226" w:rsidR="00074DAD" w:rsidRPr="00D92BD6" w:rsidRDefault="00074DAD" w:rsidP="00074DAD">
                      <w:pPr>
                        <w:pStyle w:val="Caption"/>
                        <w:rPr>
                          <w:sz w:val="20"/>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Figure 1: Analysis of </w:t>
                      </w:r>
                      <w:r w:rsidRPr="1451B20C">
                        <w:t>B. subtilis</w:t>
                      </w:r>
                      <w:r>
                        <w:t xml:space="preserve"> library with 206 promoters over 52 nucleotides and activity measured by GFP in triplicates with reported mean and standard deviation (Liu et al., 2018). Panel (A) represents sample diversity indicators of sequence distance (pairwise nucleotide difference among all samples) and position diversity (entropy on each position with maximum at 2 bits). Panel (B) shows statistics related to the reporter protein GFP, namely the frequency count of relative activity and the mean expression associated with each nucleotide-position. Some positions, for example, -31[A, G] are associated with increased mean GFP activity. Panel (C) shows results of machine learning regression with random forest, gradient boosting and support vector machines. Whereas the training set is reasonably reproduced, the correlation coefficients indicate bad performance for the test set.</w:t>
                      </w:r>
                    </w:p>
                  </w:txbxContent>
                </v:textbox>
                <w10:wrap type="topAndBottom"/>
              </v:shape>
            </w:pict>
          </mc:Fallback>
        </mc:AlternateContent>
      </w:r>
      <w:r>
        <w:rPr>
          <w:noProof/>
          <w:lang w:val="de-DE" w:eastAsia="de-DE"/>
        </w:rPr>
        <w:drawing>
          <wp:anchor distT="0" distB="0" distL="114300" distR="114300" simplePos="0" relativeHeight="251659264" behindDoc="0" locked="0" layoutInCell="1" allowOverlap="1" wp14:anchorId="3F11BC30" wp14:editId="652C4F4B">
            <wp:simplePos x="0" y="0"/>
            <wp:positionH relativeFrom="margin">
              <wp:align>left</wp:align>
            </wp:positionH>
            <wp:positionV relativeFrom="paragraph">
              <wp:posOffset>239395</wp:posOffset>
            </wp:positionV>
            <wp:extent cx="6284595" cy="5249545"/>
            <wp:effectExtent l="0" t="0" r="1905" b="8255"/>
            <wp:wrapTopAndBottom/>
            <wp:docPr id="497345713" name="Picture 49734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4595" cy="5249545"/>
                    </a:xfrm>
                    <a:prstGeom prst="rect">
                      <a:avLst/>
                    </a:prstGeom>
                  </pic:spPr>
                </pic:pic>
              </a:graphicData>
            </a:graphic>
            <wp14:sizeRelH relativeFrom="margin">
              <wp14:pctWidth>0</wp14:pctWidth>
            </wp14:sizeRelH>
            <wp14:sizeRelV relativeFrom="margin">
              <wp14:pctHeight>0</wp14:pctHeight>
            </wp14:sizeRelV>
          </wp:anchor>
        </w:drawing>
      </w:r>
    </w:p>
    <w:p w14:paraId="1A57DF76" w14:textId="77777777" w:rsidR="00074DAD" w:rsidRDefault="00074DAD" w:rsidP="004D7F41">
      <w:pPr>
        <w:pStyle w:val="RefText"/>
      </w:pPr>
    </w:p>
    <w:p w14:paraId="69395CA7" w14:textId="77777777" w:rsidR="00074DAD" w:rsidRDefault="00074DAD">
      <w:pPr>
        <w:spacing w:line="240" w:lineRule="auto"/>
        <w:rPr>
          <w:rFonts w:ascii="Times New Roman" w:hAnsi="Times New Roman"/>
          <w:sz w:val="14"/>
          <w:szCs w:val="20"/>
        </w:rPr>
      </w:pPr>
      <w:r>
        <w:br w:type="page"/>
      </w:r>
    </w:p>
    <w:p w14:paraId="5A2690A0" w14:textId="160EA734" w:rsidR="009B7539" w:rsidRDefault="00074DAD" w:rsidP="004D7F41">
      <w:pPr>
        <w:pStyle w:val="RefText"/>
      </w:pPr>
      <w:r>
        <w:rPr>
          <w:noProof/>
        </w:rPr>
        <w:lastRenderedPageBreak/>
        <mc:AlternateContent>
          <mc:Choice Requires="wps">
            <w:drawing>
              <wp:anchor distT="0" distB="0" distL="114300" distR="114300" simplePos="0" relativeHeight="251663360" behindDoc="0" locked="0" layoutInCell="1" allowOverlap="1" wp14:anchorId="4B312206" wp14:editId="6C497447">
                <wp:simplePos x="0" y="0"/>
                <wp:positionH relativeFrom="column">
                  <wp:posOffset>0</wp:posOffset>
                </wp:positionH>
                <wp:positionV relativeFrom="paragraph">
                  <wp:posOffset>5328920</wp:posOffset>
                </wp:positionV>
                <wp:extent cx="61887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0B53748F" w14:textId="4CF4A552" w:rsidR="00074DAD" w:rsidRPr="0051264E" w:rsidRDefault="00074DAD" w:rsidP="00074DAD">
                            <w:pPr>
                              <w:pStyle w:val="Caption"/>
                              <w:rPr>
                                <w:rFonts w:ascii="Times New Roman" w:hAnsi="Times New Roman"/>
                                <w:noProof/>
                                <w:sz w:val="14"/>
                                <w:szCs w:val="20"/>
                              </w:rPr>
                            </w:pPr>
                            <w:r>
                              <w:t xml:space="preserve">Figure </w:t>
                            </w:r>
                            <w:r>
                              <w:fldChar w:fldCharType="begin"/>
                            </w:r>
                            <w:r>
                              <w:instrText xml:space="preserve"> SEQ Figure \* ARABIC </w:instrText>
                            </w:r>
                            <w:r>
                              <w:fldChar w:fldCharType="separate"/>
                            </w:r>
                            <w:r>
                              <w:rPr>
                                <w:noProof/>
                              </w:rPr>
                              <w:t>2</w:t>
                            </w:r>
                            <w:r>
                              <w:fldChar w:fldCharType="end"/>
                            </w:r>
                            <w:r>
                              <w:t>:</w:t>
                            </w:r>
                            <w:r w:rsidRPr="00074DAD">
                              <w:t xml:space="preserve"> </w:t>
                            </w:r>
                            <w:r>
                              <w:t>Analysis of Geobacillus library with 81 promoters on a sequence covering 104 nucleotides measured with the two reporter proteins GFP and mOrange (Gilman et al., 2019). Panel (A) shows statistical indicators of sample diversity similar to Figure 1. The statistics for the reporter proteins differs and the reporter activity histogram is replaced by a cross-output scatter plot, here for each promoter the relative strength of GFP and mOrange. The second plot is the variance of the mean of the nucleotide positions between GFP and mOrange corrected to show only significant differences of the mean as determined by Student’s t-test. This metric indicates on which positions and nucleotides the expression is significantly different. Panel (B) shows results of the machine learning, and indicates that whereas the training set was reproduced reasonably (see also Table 2), the test set is badly reproduced.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12206" id="Text Box 3" o:spid="_x0000_s1027" type="#_x0000_t202" style="position:absolute;left:0;text-align:left;margin-left:0;margin-top:419.6pt;width:48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zTLAIAAGQEAAAOAAAAZHJzL2Uyb0RvYy54bWysVMGO2jAQvVfqP1i+l8CiUhQ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aecWdGQ&#10;RHvVBfYZOjaN7LTO55S0c5QWOnKTyoPfkzOC7ips4pfgMIoTz5cbt7GYJOdsMp9/mlBIUmw2/Rh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" stroked="f">
                <v:textbox style="mso-fit-shape-to-text:t" inset="0,0,0,0">
                  <w:txbxContent>
                    <w:p w14:paraId="0B53748F" w14:textId="4CF4A552" w:rsidR="00074DAD" w:rsidRPr="0051264E" w:rsidRDefault="00074DAD" w:rsidP="00074DAD">
                      <w:pPr>
                        <w:pStyle w:val="Caption"/>
                        <w:rPr>
                          <w:rFonts w:ascii="Times New Roman" w:hAnsi="Times New Roman"/>
                          <w:noProof/>
                          <w:sz w:val="14"/>
                          <w:szCs w:val="20"/>
                        </w:rPr>
                      </w:pPr>
                      <w:r>
                        <w:t xml:space="preserve">Figure </w:t>
                      </w:r>
                      <w:r>
                        <w:fldChar w:fldCharType="begin"/>
                      </w:r>
                      <w:r>
                        <w:instrText xml:space="preserve"> SEQ Figure \* ARABIC </w:instrText>
                      </w:r>
                      <w:r>
                        <w:fldChar w:fldCharType="separate"/>
                      </w:r>
                      <w:r>
                        <w:rPr>
                          <w:noProof/>
                        </w:rPr>
                        <w:t>2</w:t>
                      </w:r>
                      <w:r>
                        <w:fldChar w:fldCharType="end"/>
                      </w:r>
                      <w:r>
                        <w:t>:</w:t>
                      </w:r>
                      <w:r w:rsidRPr="00074DAD">
                        <w:t xml:space="preserve"> </w:t>
                      </w:r>
                      <w:r>
                        <w:t>Analysis of Geobacillus library with 81 promoters on a sequence covering 104 nucleotides measured with the two reporter proteins GFP and mOrange (Gilman et al., 2019). Panel (A) shows statistical indicators of sample diversity similar to Figure 1. The statistics for the reporter proteins differs and the reporter activity histogram is replaced by a cross-output scatter plot, here for each promoter the relative strength of GFP and mOrange. The second plot is the variance of the mean of the nucleotide positions between GFP and mOrange corrected to show only significant differences of the mean as determined by Student’s t-test. This metric indicates on which positions and nucleotides the expression is significantly different. Panel (B) shows results of the machine learning, and indicates that whereas the training set was reproduced reasonably (see also Table 2), the test set is badly reproduced.</w:t>
                      </w:r>
                    </w:p>
                  </w:txbxContent>
                </v:textbox>
                <w10:wrap type="topAndBottom"/>
              </v:shape>
            </w:pict>
          </mc:Fallback>
        </mc:AlternateContent>
      </w:r>
      <w:r>
        <w:rPr>
          <w:noProof/>
          <w:lang w:val="de-DE" w:eastAsia="de-DE"/>
        </w:rPr>
        <w:drawing>
          <wp:anchor distT="0" distB="0" distL="114300" distR="114300" simplePos="0" relativeHeight="251658240" behindDoc="0" locked="0" layoutInCell="1" allowOverlap="1" wp14:anchorId="7A2AF980" wp14:editId="4438576F">
            <wp:simplePos x="0" y="0"/>
            <wp:positionH relativeFrom="margin">
              <wp:align>left</wp:align>
            </wp:positionH>
            <wp:positionV relativeFrom="paragraph">
              <wp:posOffset>115570</wp:posOffset>
            </wp:positionV>
            <wp:extent cx="6188710" cy="5156200"/>
            <wp:effectExtent l="0" t="0" r="2540" b="6350"/>
            <wp:wrapTopAndBottom/>
            <wp:docPr id="1311972604" name="Picture 131197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5156200"/>
                    </a:xfrm>
                    <a:prstGeom prst="rect">
                      <a:avLst/>
                    </a:prstGeom>
                  </pic:spPr>
                </pic:pic>
              </a:graphicData>
            </a:graphic>
            <wp14:sizeRelH relativeFrom="margin">
              <wp14:pctWidth>0</wp14:pctWidth>
            </wp14:sizeRelH>
            <wp14:sizeRelV relativeFrom="margin">
              <wp14:pctHeight>0</wp14:pctHeight>
            </wp14:sizeRelV>
          </wp:anchor>
        </w:drawing>
      </w:r>
    </w:p>
    <w:p w14:paraId="222E67ED" w14:textId="56BF62EC" w:rsidR="00074DAD" w:rsidRDefault="00074DAD" w:rsidP="1451B20C">
      <w:pPr>
        <w:pStyle w:val="RefText"/>
      </w:pPr>
    </w:p>
    <w:p w14:paraId="51DB8B51" w14:textId="039F4EFA" w:rsidR="1451B20C" w:rsidRDefault="1451B20C" w:rsidP="1451B20C">
      <w:pPr>
        <w:pStyle w:val="RefText"/>
      </w:pPr>
    </w:p>
    <w:p w14:paraId="46BF1A3D" w14:textId="6687283E" w:rsidR="1451B20C" w:rsidRDefault="1451B20C" w:rsidP="1451B20C">
      <w:pPr>
        <w:pStyle w:val="RefText"/>
      </w:pPr>
    </w:p>
    <w:p w14:paraId="3CAAF3A2" w14:textId="2CFBEBF5" w:rsidR="00074DAD" w:rsidRDefault="00074DAD" w:rsidP="1451B20C">
      <w:pPr>
        <w:pStyle w:val="RefText"/>
      </w:pPr>
    </w:p>
    <w:p w14:paraId="4AF41AFF" w14:textId="48B16B04" w:rsidR="00074DAD" w:rsidRDefault="00074DAD" w:rsidP="1451B20C">
      <w:pPr>
        <w:pStyle w:val="RefText"/>
      </w:pPr>
    </w:p>
    <w:p w14:paraId="6D5E8B0A" w14:textId="156EF086" w:rsidR="00074DAD" w:rsidRDefault="00074DAD" w:rsidP="1451B20C">
      <w:pPr>
        <w:pStyle w:val="RefText"/>
      </w:pPr>
    </w:p>
    <w:p w14:paraId="070B655F" w14:textId="65DF9649" w:rsidR="00074DAD" w:rsidRDefault="00074DAD" w:rsidP="1451B20C">
      <w:pPr>
        <w:pStyle w:val="RefText"/>
      </w:pPr>
    </w:p>
    <w:p w14:paraId="4AB99666" w14:textId="12FE7A2E" w:rsidR="00074DAD" w:rsidRDefault="00074DAD" w:rsidP="1451B20C">
      <w:pPr>
        <w:pStyle w:val="RefText"/>
      </w:pPr>
    </w:p>
    <w:p w14:paraId="04D98C96" w14:textId="6E7C1F02" w:rsidR="00074DAD" w:rsidRDefault="00074DAD" w:rsidP="1451B20C">
      <w:pPr>
        <w:pStyle w:val="RefText"/>
      </w:pPr>
    </w:p>
    <w:p w14:paraId="4830723E" w14:textId="6956406C" w:rsidR="00074DAD" w:rsidRDefault="00074DAD" w:rsidP="1451B20C">
      <w:pPr>
        <w:pStyle w:val="RefText"/>
      </w:pPr>
    </w:p>
    <w:p w14:paraId="6F86F6BC" w14:textId="006E304D" w:rsidR="00074DAD" w:rsidRDefault="00074DAD" w:rsidP="1451B20C">
      <w:pPr>
        <w:pStyle w:val="RefText"/>
      </w:pPr>
    </w:p>
    <w:p w14:paraId="0A3FC814" w14:textId="6B2C9017" w:rsidR="00074DAD" w:rsidRDefault="00074DAD" w:rsidP="1451B20C">
      <w:pPr>
        <w:pStyle w:val="RefText"/>
      </w:pPr>
    </w:p>
    <w:p w14:paraId="18D4E521" w14:textId="4ED09DB0" w:rsidR="00074DAD" w:rsidRDefault="00074DAD" w:rsidP="1451B20C">
      <w:pPr>
        <w:pStyle w:val="RefText"/>
      </w:pPr>
    </w:p>
    <w:p w14:paraId="40BC5CAE" w14:textId="0300DF26" w:rsidR="00074DAD" w:rsidRDefault="00074DAD" w:rsidP="1451B20C">
      <w:pPr>
        <w:pStyle w:val="RefText"/>
      </w:pPr>
    </w:p>
    <w:p w14:paraId="1A5D43B7" w14:textId="6605169B" w:rsidR="00074DAD" w:rsidRDefault="00074DAD" w:rsidP="1451B20C">
      <w:pPr>
        <w:pStyle w:val="RefText"/>
      </w:pPr>
    </w:p>
    <w:p w14:paraId="17905079" w14:textId="511579C8" w:rsidR="00074DAD" w:rsidRDefault="00074DAD" w:rsidP="1451B20C">
      <w:pPr>
        <w:pStyle w:val="RefText"/>
      </w:pPr>
    </w:p>
    <w:p w14:paraId="2908527A" w14:textId="056AB652" w:rsidR="00074DAD" w:rsidRDefault="00074DAD" w:rsidP="1451B20C">
      <w:pPr>
        <w:pStyle w:val="RefText"/>
      </w:pPr>
    </w:p>
    <w:p w14:paraId="3FB47FE7" w14:textId="7C9B4D7D" w:rsidR="00074DAD" w:rsidRDefault="00074DAD" w:rsidP="1451B20C">
      <w:pPr>
        <w:pStyle w:val="RefText"/>
      </w:pPr>
    </w:p>
    <w:p w14:paraId="42A5094C" w14:textId="77777777" w:rsidR="00074DAD" w:rsidRDefault="00074DAD" w:rsidP="1451B20C">
      <w:pPr>
        <w:pStyle w:val="RefText"/>
      </w:pPr>
    </w:p>
    <w:p w14:paraId="1FD91553" w14:textId="2522860B" w:rsidR="00074DAD" w:rsidRDefault="00074DAD" w:rsidP="1451B20C">
      <w:pPr>
        <w:pStyle w:val="RefText"/>
      </w:pPr>
    </w:p>
    <w:p w14:paraId="7DF80100" w14:textId="2F6A79C3" w:rsidR="56B1B410" w:rsidRDefault="56B1B410" w:rsidP="00074DAD">
      <w:pPr>
        <w:pStyle w:val="RefText"/>
        <w:ind w:left="0" w:firstLine="0"/>
      </w:pPr>
    </w:p>
    <w:sectPr w:rsidR="56B1B410"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3D3EC" w14:textId="77777777" w:rsidR="00D147EC" w:rsidRDefault="00D147EC">
      <w:r>
        <w:separator/>
      </w:r>
    </w:p>
  </w:endnote>
  <w:endnote w:type="continuationSeparator" w:id="0">
    <w:p w14:paraId="0D0B940D" w14:textId="77777777" w:rsidR="00D147EC" w:rsidRDefault="00D14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7B00A" w14:textId="77777777" w:rsidR="00D147EC" w:rsidRDefault="00D147EC">
      <w:pPr>
        <w:pStyle w:val="Footer"/>
        <w:tabs>
          <w:tab w:val="clear" w:pos="4320"/>
          <w:tab w:val="left" w:pos="4860"/>
        </w:tabs>
        <w:spacing w:line="200" w:lineRule="exact"/>
        <w:rPr>
          <w:u w:val="single" w:color="000000"/>
        </w:rPr>
      </w:pPr>
      <w:r>
        <w:rPr>
          <w:u w:val="single" w:color="000000"/>
        </w:rPr>
        <w:tab/>
      </w:r>
    </w:p>
  </w:footnote>
  <w:footnote w:type="continuationSeparator" w:id="0">
    <w:p w14:paraId="60061E4C" w14:textId="77777777" w:rsidR="00D147EC" w:rsidRDefault="00D147EC">
      <w:pPr>
        <w:pStyle w:val="FootnoteText"/>
        <w:rPr>
          <w:szCs w:val="24"/>
        </w:rPr>
      </w:pPr>
      <w:r>
        <w:continuationSeparator/>
      </w:r>
    </w:p>
  </w:footnote>
  <w:footnote w:type="continuationNotice" w:id="1">
    <w:p w14:paraId="44EAFD9C" w14:textId="77777777" w:rsidR="00D147EC" w:rsidRDefault="00D147EC">
      <w:pPr>
        <w:pStyle w:val="Footer"/>
        <w:spacing w:line="14" w:lineRule="exact"/>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C979D" w14:textId="77777777" w:rsidR="00DD38F7" w:rsidRDefault="00D147EC">
    <w:pPr>
      <w:pStyle w:val="Header"/>
      <w:spacing w:after="0"/>
    </w:pPr>
    <w:r>
      <w:rPr>
        <w:noProof/>
        <w:lang w:val="de-DE" w:eastAsia="de-DE"/>
      </w:rPr>
      <mc:AlternateContent>
        <mc:Choice Requires="wps">
          <w:drawing>
            <wp:anchor distT="0" distB="0" distL="114300" distR="114300" simplePos="0" relativeHeight="251660288" behindDoc="0" locked="1" layoutInCell="1" allowOverlap="0" wp14:anchorId="1E5192E4" wp14:editId="07777777">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28FD29B">
            <v:line id="Line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spid="_x0000_s1026" o:allowoverlap="f" strokeweight=".5pt" from="0,51.6pt" to="7in,51.6pt" w14:anchorId="2A70E0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w10:wrap anchory="page"/>
              <w10:anchorlock/>
            </v:line>
          </w:pict>
        </mc:Fallback>
      </mc:AlternateContent>
    </w:r>
    <w:r w:rsidR="00BE0CEE">
      <w:rPr>
        <w:noProof/>
        <w:lang w:val="de-DE" w:eastAsia="de-DE"/>
      </w:rPr>
      <w:t>U. Liebal</w:t>
    </w:r>
    <w:r w:rsidR="00DD38F7">
      <w:t xml:space="preserve"> et 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83FC8"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54048E28"/>
    <w:lvl w:ilvl="0" w:tplc="214CE14E">
      <w:start w:val="1"/>
      <w:numFmt w:val="decimal"/>
      <w:pStyle w:val="Heading2"/>
      <w:lvlText w:val="3.%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91CFA"/>
    <w:multiLevelType w:val="hybridMultilevel"/>
    <w:tmpl w:val="A834803C"/>
    <w:lvl w:ilvl="0" w:tplc="04070001">
      <w:start w:val="1"/>
      <w:numFmt w:val="bullet"/>
      <w:lvlText w:val=""/>
      <w:lvlJc w:val="left"/>
      <w:pPr>
        <w:ind w:left="890" w:hanging="360"/>
      </w:pPr>
      <w:rPr>
        <w:rFonts w:ascii="Symbol" w:hAnsi="Symbol" w:hint="default"/>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 w15:restartNumberingAfterBreak="0">
    <w:nsid w:val="347952ED"/>
    <w:multiLevelType w:val="multilevel"/>
    <w:tmpl w:val="D4AC56F4"/>
    <w:lvl w:ilvl="0">
      <w:start w:val="1"/>
      <w:numFmt w:val="decimal"/>
      <w:pStyle w:val="Heading1"/>
      <w:lvlText w:val="%1"/>
      <w:lvlJc w:val="left"/>
      <w:pPr>
        <w:ind w:left="720" w:hanging="360"/>
      </w:pPr>
      <w:rPr>
        <w:rFonts w:hint="default"/>
      </w:rPr>
    </w:lvl>
    <w:lvl w:ilvl="1">
      <w:start w:val="2"/>
      <w:numFmt w:val="decimal"/>
      <w:lvlText w:val="%1.%2"/>
      <w:lvlJc w:val="left"/>
      <w:pPr>
        <w:ind w:left="945" w:hanging="58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40AB27A2"/>
    <w:multiLevelType w:val="multilevel"/>
    <w:tmpl w:val="892E409A"/>
    <w:lvl w:ilvl="0">
      <w:start w:val="1"/>
      <w:numFmt w:val="decimal"/>
      <w:lvlText w:val="%1.1"/>
      <w:lvlJc w:val="left"/>
      <w:pPr>
        <w:tabs>
          <w:tab w:val="num" w:pos="544"/>
        </w:tabs>
        <w:ind w:left="544" w:hanging="54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lvlText w:val="%1"/>
      <w:lvlJc w:val="left"/>
      <w:pPr>
        <w:tabs>
          <w:tab w:val="num" w:pos="360"/>
        </w:tabs>
        <w:ind w:left="350" w:hanging="350"/>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4"/>
        </w:tabs>
        <w:ind w:left="544" w:hanging="544"/>
      </w:p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lvlText w:val="%1"/>
      <w:lvlJc w:val="left"/>
      <w:pPr>
        <w:tabs>
          <w:tab w:val="num" w:pos="432"/>
        </w:tabs>
        <w:ind w:left="432" w:hanging="432"/>
      </w:pPr>
    </w:lvl>
    <w:lvl w:ilvl="1">
      <w:start w:val="1"/>
      <w:numFmt w:val="decimal"/>
      <w:pStyle w:val="BHead"/>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11"/>
  </w:num>
  <w:num w:numId="9">
    <w:abstractNumId w:val="5"/>
  </w:num>
  <w:num w:numId="10">
    <w:abstractNumId w:val="9"/>
  </w:num>
  <w:num w:numId="11">
    <w:abstractNumId w:val="10"/>
  </w:num>
  <w:num w:numId="12">
    <w:abstractNumId w:val="2"/>
  </w:num>
  <w:num w:numId="13">
    <w:abstractNumId w:val="0"/>
  </w:num>
  <w:num w:numId="14">
    <w:abstractNumId w:val="2"/>
    <w:lvlOverride w:ilvl="0">
      <w:startOverride w:val="2"/>
    </w:lvlOverride>
    <w:lvlOverride w:ilvl="1">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BiEDCwtLIxMDI3NTJR2l4NTi4sz8PJACo1oAo8Xz+CwAAAA="/>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147EC"/>
    <w:rsid w:val="0001213C"/>
    <w:rsid w:val="00032A71"/>
    <w:rsid w:val="00050B51"/>
    <w:rsid w:val="00063765"/>
    <w:rsid w:val="00074DAD"/>
    <w:rsid w:val="00083970"/>
    <w:rsid w:val="000E7919"/>
    <w:rsid w:val="000F53F4"/>
    <w:rsid w:val="00112539"/>
    <w:rsid w:val="00120FBC"/>
    <w:rsid w:val="00143BC7"/>
    <w:rsid w:val="00163472"/>
    <w:rsid w:val="00164CC5"/>
    <w:rsid w:val="00175E68"/>
    <w:rsid w:val="0019362B"/>
    <w:rsid w:val="001976C9"/>
    <w:rsid w:val="001A0125"/>
    <w:rsid w:val="001A4BD6"/>
    <w:rsid w:val="001A5509"/>
    <w:rsid w:val="001C6AEE"/>
    <w:rsid w:val="002000FF"/>
    <w:rsid w:val="002323E3"/>
    <w:rsid w:val="00274D6E"/>
    <w:rsid w:val="00283CA3"/>
    <w:rsid w:val="0028467B"/>
    <w:rsid w:val="00292366"/>
    <w:rsid w:val="002A2089"/>
    <w:rsid w:val="002A7209"/>
    <w:rsid w:val="002B75A3"/>
    <w:rsid w:val="002B75B0"/>
    <w:rsid w:val="002C4AA8"/>
    <w:rsid w:val="002C783E"/>
    <w:rsid w:val="002D3B6B"/>
    <w:rsid w:val="002D5837"/>
    <w:rsid w:val="002D7AA3"/>
    <w:rsid w:val="002F4CA8"/>
    <w:rsid w:val="00341B9C"/>
    <w:rsid w:val="0034204F"/>
    <w:rsid w:val="00352804"/>
    <w:rsid w:val="00366351"/>
    <w:rsid w:val="00373A1E"/>
    <w:rsid w:val="00384E31"/>
    <w:rsid w:val="00386DA0"/>
    <w:rsid w:val="003A4127"/>
    <w:rsid w:val="003A4458"/>
    <w:rsid w:val="003B3D09"/>
    <w:rsid w:val="003B4FC4"/>
    <w:rsid w:val="003F0E1C"/>
    <w:rsid w:val="00400C63"/>
    <w:rsid w:val="00403998"/>
    <w:rsid w:val="00405022"/>
    <w:rsid w:val="00417E33"/>
    <w:rsid w:val="00435193"/>
    <w:rsid w:val="00452614"/>
    <w:rsid w:val="00454567"/>
    <w:rsid w:val="00473EDA"/>
    <w:rsid w:val="004768E7"/>
    <w:rsid w:val="00486E58"/>
    <w:rsid w:val="00490F89"/>
    <w:rsid w:val="004B43B9"/>
    <w:rsid w:val="004B658F"/>
    <w:rsid w:val="004D7F41"/>
    <w:rsid w:val="004E0596"/>
    <w:rsid w:val="004E1218"/>
    <w:rsid w:val="004E13A5"/>
    <w:rsid w:val="004E44AC"/>
    <w:rsid w:val="00513FFC"/>
    <w:rsid w:val="00544ED1"/>
    <w:rsid w:val="00573591"/>
    <w:rsid w:val="005806E7"/>
    <w:rsid w:val="00584A70"/>
    <w:rsid w:val="005B167A"/>
    <w:rsid w:val="005E41BA"/>
    <w:rsid w:val="005E5A37"/>
    <w:rsid w:val="005E75C9"/>
    <w:rsid w:val="005F50A7"/>
    <w:rsid w:val="006103A9"/>
    <w:rsid w:val="006118F8"/>
    <w:rsid w:val="006323EC"/>
    <w:rsid w:val="00643190"/>
    <w:rsid w:val="00662374"/>
    <w:rsid w:val="0066588F"/>
    <w:rsid w:val="006921D5"/>
    <w:rsid w:val="006A235A"/>
    <w:rsid w:val="006B25B4"/>
    <w:rsid w:val="006C2C0F"/>
    <w:rsid w:val="006F5A2E"/>
    <w:rsid w:val="0072388D"/>
    <w:rsid w:val="0076308B"/>
    <w:rsid w:val="00776B59"/>
    <w:rsid w:val="00793C1E"/>
    <w:rsid w:val="007A2B25"/>
    <w:rsid w:val="00801742"/>
    <w:rsid w:val="00806CED"/>
    <w:rsid w:val="00820FD1"/>
    <w:rsid w:val="00831B0A"/>
    <w:rsid w:val="00853D6D"/>
    <w:rsid w:val="00857959"/>
    <w:rsid w:val="00887143"/>
    <w:rsid w:val="008A06DC"/>
    <w:rsid w:val="008A13D5"/>
    <w:rsid w:val="008A7380"/>
    <w:rsid w:val="008E5030"/>
    <w:rsid w:val="008F62C4"/>
    <w:rsid w:val="00922DC5"/>
    <w:rsid w:val="00935C57"/>
    <w:rsid w:val="00943558"/>
    <w:rsid w:val="00952599"/>
    <w:rsid w:val="0095359B"/>
    <w:rsid w:val="009A3330"/>
    <w:rsid w:val="009B05BD"/>
    <w:rsid w:val="009B7539"/>
    <w:rsid w:val="009D0B6E"/>
    <w:rsid w:val="009E0E1E"/>
    <w:rsid w:val="00A226FD"/>
    <w:rsid w:val="00A22A80"/>
    <w:rsid w:val="00A2522A"/>
    <w:rsid w:val="00A5432A"/>
    <w:rsid w:val="00A55800"/>
    <w:rsid w:val="00A64110"/>
    <w:rsid w:val="00A663DF"/>
    <w:rsid w:val="00A7074F"/>
    <w:rsid w:val="00A76CB0"/>
    <w:rsid w:val="00A818B3"/>
    <w:rsid w:val="00A90474"/>
    <w:rsid w:val="00AB08E4"/>
    <w:rsid w:val="00AC71ED"/>
    <w:rsid w:val="00AF2379"/>
    <w:rsid w:val="00B36C86"/>
    <w:rsid w:val="00B5044D"/>
    <w:rsid w:val="00B637BC"/>
    <w:rsid w:val="00B652DF"/>
    <w:rsid w:val="00B7282B"/>
    <w:rsid w:val="00B972B2"/>
    <w:rsid w:val="00BE0CEE"/>
    <w:rsid w:val="00BE5EE2"/>
    <w:rsid w:val="00C0458A"/>
    <w:rsid w:val="00C3502E"/>
    <w:rsid w:val="00C40B4B"/>
    <w:rsid w:val="00C4341F"/>
    <w:rsid w:val="00C6732B"/>
    <w:rsid w:val="00C725B2"/>
    <w:rsid w:val="00CC64E3"/>
    <w:rsid w:val="00CD1016"/>
    <w:rsid w:val="00CD1067"/>
    <w:rsid w:val="00CD24F1"/>
    <w:rsid w:val="00CD55D8"/>
    <w:rsid w:val="00CF605A"/>
    <w:rsid w:val="00D147EC"/>
    <w:rsid w:val="00D65C51"/>
    <w:rsid w:val="00D83B8A"/>
    <w:rsid w:val="00D93B05"/>
    <w:rsid w:val="00DA7E18"/>
    <w:rsid w:val="00DC2DCC"/>
    <w:rsid w:val="00DC5078"/>
    <w:rsid w:val="00DC5EDA"/>
    <w:rsid w:val="00DD38F7"/>
    <w:rsid w:val="00E678E8"/>
    <w:rsid w:val="00EB52FB"/>
    <w:rsid w:val="00EC5ED4"/>
    <w:rsid w:val="00EE1FE6"/>
    <w:rsid w:val="00EF5D71"/>
    <w:rsid w:val="00F137B5"/>
    <w:rsid w:val="00F243DB"/>
    <w:rsid w:val="00F32E53"/>
    <w:rsid w:val="00F362A7"/>
    <w:rsid w:val="00F4766C"/>
    <w:rsid w:val="00F554D0"/>
    <w:rsid w:val="00FC40EC"/>
    <w:rsid w:val="00FD050A"/>
    <w:rsid w:val="00FD09A4"/>
    <w:rsid w:val="00FD5375"/>
    <w:rsid w:val="00FF1489"/>
    <w:rsid w:val="03A79A63"/>
    <w:rsid w:val="04ABE3BB"/>
    <w:rsid w:val="1451B20C"/>
    <w:rsid w:val="281BD29D"/>
    <w:rsid w:val="2944FDC6"/>
    <w:rsid w:val="37A5ACC4"/>
    <w:rsid w:val="39FE1385"/>
    <w:rsid w:val="48DD9DE4"/>
    <w:rsid w:val="53D9E7AA"/>
    <w:rsid w:val="56B1B410"/>
    <w:rsid w:val="5EC59C67"/>
    <w:rsid w:val="74B5144C"/>
    <w:rsid w:val="7B8508EF"/>
    <w:rsid w:val="7CED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1BE1282"/>
  <w15:docId w15:val="{9B93988C-48F1-4DCC-B5E7-42BCDDA9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BE0CEE"/>
    <w:pPr>
      <w:numPr>
        <w:numId w:val="13"/>
      </w:numPr>
      <w:spacing w:before="360" w:after="52" w:line="240" w:lineRule="exact"/>
      <w:ind w:left="0" w:firstLine="0"/>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5B167A"/>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Caption">
    <w:name w:val="caption"/>
    <w:basedOn w:val="Normal"/>
    <w:next w:val="Normal"/>
    <w:unhideWhenUsed/>
    <w:qFormat/>
    <w:rsid w:val="00074DA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rwth-aachen.de/ulf.liebal/exp2.ipyn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Biocarb\models\data\1911_ExpressionExpert.ipynb\Protocol\cabios-word-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CF983-1889-48A0-9C48-5FE59024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0</TotalTime>
  <Pages>5</Pages>
  <Words>7548</Words>
  <Characters>47558</Characters>
  <Application>Microsoft Office Word</Application>
  <DocSecurity>0</DocSecurity>
  <Lines>396</Lines>
  <Paragraphs>109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Liebal,Ulf</dc:creator>
  <cp:lastModifiedBy>Ulf Liebal</cp:lastModifiedBy>
  <cp:revision>30</cp:revision>
  <cp:lastPrinted>2007-07-04T12:14:00Z</cp:lastPrinted>
  <dcterms:created xsi:type="dcterms:W3CDTF">2019-12-19T12:47:00Z</dcterms:created>
  <dcterms:modified xsi:type="dcterms:W3CDTF">2020-06-29T15:04:00Z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Citation Style_1">
    <vt:lpwstr>http://www.zotero.org/styles/nature</vt:lpwstr>
  </property>
  <property fmtid="{D5CDD505-2E9C-101B-9397-08002B2CF9AE}" pid="31" name="Mendeley Unique User Id_1">
    <vt:lpwstr>55362eee-936d-3984-a5a0-4d181e095c40</vt:lpwstr>
  </property>
</Properties>
</file>