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6E529C" w:rsidRPr="006E529C" w:rsidTr="00CD1B4A">
        <w:trPr>
          <w:trHeight w:val="1474"/>
        </w:trPr>
        <w:tc>
          <w:tcPr>
            <w:tcW w:w="8320" w:type="dxa"/>
          </w:tcPr>
          <w:p w:rsidR="006E529C" w:rsidRDefault="006E529C" w:rsidP="00CD1B4A">
            <w:pPr>
              <w:pStyle w:val="Subtitle"/>
            </w:pPr>
            <w:r>
              <w:t>Gene Expression</w:t>
            </w:r>
          </w:p>
          <w:p w:rsidR="006E529C" w:rsidRDefault="006E529C" w:rsidP="00CD1B4A">
            <w:pPr>
              <w:pStyle w:val="Abstract-Head"/>
              <w:spacing w:line="240" w:lineRule="auto"/>
              <w:rPr>
                <w:sz w:val="36"/>
                <w:szCs w:val="36"/>
              </w:rPr>
            </w:pPr>
            <w:r w:rsidRPr="57781452">
              <w:rPr>
                <w:sz w:val="36"/>
                <w:szCs w:val="36"/>
              </w:rPr>
              <w:t>Exp2Ipynb: A general machine-learning workflow for the analysis of promoter libraries</w:t>
            </w:r>
          </w:p>
          <w:p w:rsidR="006E529C" w:rsidRPr="00F362A7" w:rsidRDefault="006E529C" w:rsidP="00CD1B4A">
            <w:pPr>
              <w:pStyle w:val="Author-Group"/>
            </w:pPr>
            <w:r>
              <w:t>Ulf W. Liebal</w:t>
            </w:r>
            <w:proofErr w:type="gramStart"/>
            <w:r w:rsidRPr="1D7BC829">
              <w:rPr>
                <w:vertAlign w:val="superscript"/>
              </w:rPr>
              <w:t>1,</w:t>
            </w:r>
            <w:r w:rsidRPr="1D7BC829">
              <w:rPr>
                <w:rFonts w:ascii="Times New Roman" w:hAnsi="Times New Roman"/>
                <w:vertAlign w:val="superscript"/>
              </w:rPr>
              <w:t>*</w:t>
            </w:r>
            <w:proofErr w:type="gramEnd"/>
            <w:r>
              <w:t>, Sebastian Köbbing</w:t>
            </w:r>
            <w:r w:rsidRPr="1D7BC829">
              <w:rPr>
                <w:vertAlign w:val="superscript"/>
              </w:rPr>
              <w:t>1</w:t>
            </w:r>
            <w:r>
              <w:t>, and Lars M. Blank</w:t>
            </w:r>
            <w:r w:rsidRPr="1D7BC829">
              <w:rPr>
                <w:vertAlign w:val="superscript"/>
              </w:rPr>
              <w:t>1</w:t>
            </w:r>
          </w:p>
          <w:p w:rsidR="006E529C" w:rsidRDefault="006E529C" w:rsidP="00CD1B4A">
            <w:pPr>
              <w:pStyle w:val="Author-Affiliation"/>
            </w:pPr>
            <w:r w:rsidRPr="28637116">
              <w:rPr>
                <w:vertAlign w:val="superscript"/>
              </w:rPr>
              <w:t>1</w:t>
            </w:r>
            <w:r>
              <w:t xml:space="preserve"> Institute of Applied Microbiology-iAMB, Aachen Biology and Biotechnology-</w:t>
            </w:r>
            <w:proofErr w:type="spellStart"/>
            <w:r>
              <w:t>ABBt</w:t>
            </w:r>
            <w:proofErr w:type="spellEnd"/>
            <w:r>
              <w:t xml:space="preserve">, RWTH Aachen University, Aachen, Germany </w:t>
            </w:r>
          </w:p>
          <w:p w:rsidR="006E529C" w:rsidRPr="00D65C51" w:rsidRDefault="006E529C" w:rsidP="00CD1B4A">
            <w:pPr>
              <w:pStyle w:val="corrs-au"/>
            </w:pPr>
            <w:r w:rsidRPr="00D65C51">
              <w:t>*To whom correspondence should be addressed.</w:t>
            </w:r>
          </w:p>
          <w:p w:rsidR="006E529C" w:rsidRPr="00C4341F" w:rsidRDefault="006E529C" w:rsidP="00CD1B4A">
            <w:pPr>
              <w:pStyle w:val="Abstract-Head"/>
            </w:pPr>
            <w:r>
              <w:t>Abstract</w:t>
            </w:r>
          </w:p>
          <w:p w:rsidR="006E529C" w:rsidRPr="001C6717" w:rsidRDefault="006E529C" w:rsidP="00CD1B4A">
            <w:pPr>
              <w:spacing w:after="160" w:line="220" w:lineRule="exact"/>
              <w:jc w:val="both"/>
              <w:rPr>
                <w:rFonts w:ascii="Helvetica" w:eastAsia="Helvetica" w:hAnsi="Helvetica" w:cs="Helvetica"/>
              </w:rPr>
            </w:pPr>
            <w:r w:rsidRPr="001C6717">
              <w:rPr>
                <w:rFonts w:ascii="Helvetica" w:eastAsia="Helvetica" w:hAnsi="Helvetica" w:cs="Helvetica"/>
              </w:rPr>
              <w:t xml:space="preserve">Strain engineering in biotechnology modifies metabolic pathways in microorganisms to overproduce target metabolites. To modify metabolic pathway activity in bacteria, gene expression is an effective and easy manipulated process, specifically the promoter sequence recognized by sigma factors. Promoter libraries are generated to scan the expression activity of different promoter sequences and to identify sequence positions that predict activity. To maximize information retrieval, a well-designed experimental setup is required. We present a computational workflow to </w:t>
            </w:r>
            <w:r w:rsidR="00592B8A" w:rsidRPr="001C6717">
              <w:rPr>
                <w:rFonts w:ascii="Helvetica" w:eastAsia="Helvetica" w:hAnsi="Helvetica" w:cs="Helvetica"/>
              </w:rPr>
              <w:t>analyse</w:t>
            </w:r>
            <w:r w:rsidRPr="001C6717">
              <w:rPr>
                <w:rFonts w:ascii="Helvetica" w:eastAsia="Helvetica" w:hAnsi="Helvetica" w:cs="Helvetica"/>
              </w:rPr>
              <w:t xml:space="preserve"> promoter libraries; by applying this workflow to </w:t>
            </w:r>
            <w:r w:rsidR="00070238">
              <w:rPr>
                <w:rFonts w:ascii="Helvetica" w:eastAsia="Helvetica" w:hAnsi="Helvetica" w:cs="Helvetica"/>
              </w:rPr>
              <w:t>seven</w:t>
            </w:r>
            <w:r w:rsidRPr="001C6717">
              <w:rPr>
                <w:rFonts w:ascii="Helvetica" w:eastAsia="Helvetica" w:hAnsi="Helvetica" w:cs="Helvetica"/>
              </w:rPr>
              <w:t xml:space="preserve"> libraries, we aim to identify critical design principles. The workflow is based on a Python Jupyter Notebook and covers the following steps: (</w:t>
            </w:r>
            <w:proofErr w:type="spellStart"/>
            <w:r w:rsidRPr="001C6717">
              <w:rPr>
                <w:rFonts w:ascii="Helvetica" w:eastAsia="Helvetica" w:hAnsi="Helvetica" w:cs="Helvetica"/>
              </w:rPr>
              <w:t>i</w:t>
            </w:r>
            <w:proofErr w:type="spellEnd"/>
            <w:r w:rsidRPr="001C6717">
              <w:rPr>
                <w:rFonts w:ascii="Helvetica" w:eastAsia="Helvetica" w:hAnsi="Helvetica" w:cs="Helvetica"/>
              </w:rPr>
              <w:t xml:space="preserve">) statistical sequence analysis, (ii) sequence-input to expression-output predictions, (iii) estimator performance evaluation, and (iv) new sequence prediction with defined activity. The workflow can process multiple promoter libraries, across species or reporter proteins, and classify or regress expression activity. The strongest predictions in the sample libraries were achieved when the promoters in the library were recognized by a single sigma factor and a unique reporter system. A trade-off between sample size and </w:t>
            </w:r>
            <w:r w:rsidRPr="001C6717">
              <w:rPr>
                <w:rFonts w:ascii="Helvetica" w:eastAsia="Helvetica" w:hAnsi="Helvetica" w:cs="Helvetica"/>
                <w:lang w:val="en-GB"/>
              </w:rPr>
              <w:t>sequence diversity reduces prediction quality, and we present a relationship to estimate the minimum sample size.</w:t>
            </w:r>
            <w:r w:rsidRPr="001C6717">
              <w:rPr>
                <w:rFonts w:ascii="Helvetica" w:eastAsia="Helvetica" w:hAnsi="Helvetica" w:cs="Helvetica"/>
              </w:rPr>
              <w:t xml:space="preserve"> The workflow guides the user through analysis and machine-learning training, is open source and easily adaptable to include alternative machine-learning strategies and to process sequence libraries from other expression-related problems. The workflow is a contribution to increase insight to the growing application of high-throughput experiments and provides support for efficient strain engineering.</w:t>
            </w:r>
          </w:p>
          <w:p w:rsidR="006E529C" w:rsidRDefault="006E529C" w:rsidP="00CD1B4A">
            <w:pPr>
              <w:pStyle w:val="Abstract-Text"/>
              <w:rPr>
                <w:rFonts w:ascii="AdvPS2AA1" w:hAnsi="AdvPS2AA1" w:cs="AdvPS2AA1"/>
                <w:lang w:val="en-GB" w:eastAsia="en-IN"/>
              </w:rPr>
            </w:pPr>
            <w:r w:rsidRPr="7B8508EF">
              <w:rPr>
                <w:rFonts w:ascii="AdvPS2AA1" w:hAnsi="AdvPS2AA1" w:cs="AdvPS2AA1"/>
                <w:b/>
                <w:bCs/>
                <w:lang w:val="en-GB" w:eastAsia="en-IN"/>
              </w:rPr>
              <w:t>Availability:</w:t>
            </w:r>
            <w:r w:rsidRPr="7B8508EF">
              <w:rPr>
                <w:rFonts w:ascii="AdvPS2AA1" w:hAnsi="AdvPS2AA1" w:cs="AdvPS2AA1"/>
                <w:lang w:val="en-GB" w:eastAsia="en-IN"/>
              </w:rPr>
              <w:t xml:space="preserve"> Freely available </w:t>
            </w:r>
            <w:r>
              <w:rPr>
                <w:rFonts w:ascii="AdvPS2AA1" w:hAnsi="AdvPS2AA1" w:cs="AdvPS2AA1"/>
                <w:lang w:val="en-GB" w:eastAsia="en-IN"/>
              </w:rPr>
              <w:t>on GitHub:</w:t>
            </w:r>
            <w:r w:rsidRPr="7B8508EF">
              <w:rPr>
                <w:rFonts w:ascii="AdvPS2AA1" w:hAnsi="AdvPS2AA1" w:cs="AdvPS2AA1"/>
                <w:lang w:val="en-GB" w:eastAsia="en-IN"/>
              </w:rPr>
              <w:t xml:space="preserve"> </w:t>
            </w:r>
            <w:hyperlink r:id="rId8" w:history="1">
              <w:r w:rsidRPr="0030256D">
                <w:rPr>
                  <w:rStyle w:val="Hyperlink"/>
                </w:rPr>
                <w:t>https://github.com/iAMB-RWTH-Aachen/Exp2Ipynb</w:t>
              </w:r>
            </w:hyperlink>
            <w:r>
              <w:t xml:space="preserve"> and licensed under the terms of GPLv3.</w:t>
            </w:r>
          </w:p>
          <w:p w:rsidR="006E529C" w:rsidRDefault="006E529C" w:rsidP="00CD1B4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ulf.liebal@rwth-aachen.de </w:t>
            </w:r>
          </w:p>
          <w:p w:rsidR="006E529C" w:rsidRDefault="006E529C" w:rsidP="00CD1B4A">
            <w:pPr>
              <w:pStyle w:val="Abstract-Text"/>
              <w:rPr>
                <w:sz w:val="28"/>
                <w:szCs w:val="28"/>
              </w:rPr>
            </w:pPr>
            <w:r w:rsidRPr="7B8508EF">
              <w:rPr>
                <w:b/>
                <w:bCs/>
                <w:lang w:val="en-GB" w:eastAsia="en-IN"/>
              </w:rPr>
              <w:t>Supplementary information:</w:t>
            </w:r>
            <w:r w:rsidRPr="7B8508EF">
              <w:rPr>
                <w:rFonts w:ascii="AdvPS2A83" w:hAnsi="AdvPS2A83" w:cs="AdvPS2A83"/>
                <w:color w:val="0000FF"/>
                <w:lang w:val="en-GB" w:eastAsia="en-IN"/>
              </w:rPr>
              <w:t xml:space="preserve"> </w:t>
            </w:r>
            <w:r w:rsidRPr="7B8508EF">
              <w:rPr>
                <w:lang w:val="en-GB" w:eastAsia="en-IN"/>
              </w:rPr>
              <w:t>Supplementary data available in the Git folder</w:t>
            </w:r>
            <w:r w:rsidRPr="7B8508EF">
              <w:rPr>
                <w:rFonts w:ascii="AdvPS2A83" w:hAnsi="AdvPS2A83" w:cs="AdvPS2A83"/>
                <w:color w:val="000000" w:themeColor="text1"/>
                <w:lang w:val="en-GB" w:eastAsia="en-IN"/>
              </w:rPr>
              <w:t>.</w:t>
            </w:r>
          </w:p>
        </w:tc>
      </w:tr>
    </w:tbl>
    <w:p w:rsidR="006E529C" w:rsidRDefault="006E529C" w:rsidP="006E529C">
      <w:pPr>
        <w:pStyle w:val="AbstractHead"/>
        <w:spacing w:line="14" w:lineRule="exact"/>
      </w:pPr>
    </w:p>
    <w:p w:rsidR="006E529C" w:rsidRDefault="006E529C" w:rsidP="006E529C">
      <w:pPr>
        <w:pStyle w:val="AbstractHead"/>
        <w:spacing w:line="14" w:lineRule="exact"/>
      </w:pPr>
    </w:p>
    <w:p w:rsidR="006E529C" w:rsidRDefault="006E529C" w:rsidP="006E529C">
      <w:pPr>
        <w:pStyle w:val="Heading1"/>
        <w:numPr>
          <w:ilvl w:val="0"/>
          <w:numId w:val="0"/>
        </w:numPr>
        <w:sectPr w:rsidR="006E529C" w:rsidSect="00CD1B4A">
          <w:headerReference w:type="even" r:id="rId9"/>
          <w:headerReference w:type="default" r:id="rId10"/>
          <w:footerReference w:type="default" r:id="rId11"/>
          <w:pgSz w:w="12240" w:h="15826" w:code="1"/>
          <w:pgMar w:top="1267" w:right="1382" w:bottom="1267" w:left="1094" w:header="706" w:footer="835" w:gutter="0"/>
          <w:cols w:space="360"/>
          <w:titlePg/>
          <w:docGrid w:linePitch="360"/>
        </w:sectPr>
      </w:pPr>
    </w:p>
    <w:p w:rsidR="006E529C" w:rsidRPr="00F4766C" w:rsidRDefault="006E529C" w:rsidP="006E529C">
      <w:pPr>
        <w:pStyle w:val="Heading1"/>
      </w:pPr>
      <w:r>
        <w:lastRenderedPageBreak/>
        <w:t xml:space="preserve">Introduction </w:t>
      </w:r>
    </w:p>
    <w:p w:rsidR="006E529C" w:rsidRPr="001C6717" w:rsidRDefault="006E529C" w:rsidP="00EC6F32">
      <w:pPr>
        <w:pStyle w:val="para-first"/>
        <w:spacing w:after="240" w:line="276" w:lineRule="auto"/>
        <w:rPr>
          <w:sz w:val="20"/>
          <w:szCs w:val="20"/>
        </w:rPr>
      </w:pPr>
      <w:r w:rsidRPr="001C6717">
        <w:rPr>
          <w:sz w:val="20"/>
          <w:szCs w:val="20"/>
        </w:rPr>
        <w:t>Metabolic engineering aims at optimizing metabolite production by adjusting the activity of native and heterologous enzymes. A frequently manipulated factor of activity is the</w:t>
      </w:r>
      <w:r w:rsidRPr="001C6717">
        <w:rPr>
          <w:sz w:val="20"/>
          <w:szCs w:val="20"/>
        </w:rPr>
        <w:fldChar w:fldCharType="begin"/>
      </w:r>
      <w:r w:rsidRPr="001C6717">
        <w:rPr>
          <w:sz w:val="20"/>
          <w:szCs w:val="20"/>
        </w:rPr>
        <w:instrText xml:space="preserve"> QUOTE "{Rhodius, 2010 #6359}" </w:instrText>
      </w:r>
      <w:r w:rsidRPr="001C6717">
        <w:rPr>
          <w:sz w:val="20"/>
          <w:szCs w:val="20"/>
        </w:rPr>
        <w:fldChar w:fldCharType="end"/>
      </w:r>
      <w:r w:rsidRPr="001C6717">
        <w:rPr>
          <w:sz w:val="20"/>
          <w:szCs w:val="20"/>
        </w:rPr>
        <w:t xml:space="preserve"> enzyme concentration which can be regulated on the transcriptional, translational and post-translational level. For each level, computational models were developed allowing realistic simulations and supporting rational adjustment. Models of </w:t>
      </w:r>
      <w:r w:rsidRPr="001C6717">
        <w:rPr>
          <w:rFonts w:ascii="Symbol" w:hAnsi="Symbol"/>
          <w:sz w:val="20"/>
          <w:szCs w:val="20"/>
        </w:rPr>
        <w:t></w:t>
      </w:r>
      <w:r w:rsidRPr="001C6717">
        <w:rPr>
          <w:sz w:val="20"/>
          <w:szCs w:val="20"/>
          <w:vertAlign w:val="superscript"/>
        </w:rPr>
        <w:t>E</w:t>
      </w:r>
      <w:r w:rsidRPr="001C6717">
        <w:rPr>
          <w:sz w:val="20"/>
          <w:szCs w:val="20"/>
        </w:rPr>
        <w:t xml:space="preserve"> transcription in </w:t>
      </w:r>
      <w:r w:rsidRPr="001C6717">
        <w:rPr>
          <w:i/>
          <w:iCs/>
          <w:sz w:val="20"/>
          <w:szCs w:val="20"/>
        </w:rPr>
        <w:t>E. coli</w:t>
      </w:r>
      <w:r w:rsidRPr="001C6717">
        <w:rPr>
          <w:sz w:val="20"/>
          <w:szCs w:val="20"/>
        </w:rPr>
        <w:t xml:space="preserve"> were developed by </w:t>
      </w:r>
      <w:r w:rsidRPr="001C6717">
        <w:rPr>
          <w:sz w:val="20"/>
          <w:szCs w:val="20"/>
        </w:rPr>
        <w:fldChar w:fldCharType="begin" w:fldLock="1"/>
      </w:r>
      <w:r w:rsidRPr="001C6717">
        <w:rPr>
          <w:sz w:val="20"/>
          <w:szCs w:val="20"/>
        </w:rPr>
        <w:instrText>ADDIN CSL_CITATION {"citationItems":[{"id":"ITEM-1","itemData":{"DOI":"10.1073/pnas.0915066107","ISSN":"0027-8424","abstract":"Sequenced bacterial genomes provide a wealth of information but little understanding of transcriptional regulatory circuits largely because accurate prediction of promoters is difficult. We examined two important issues for accurate promoter prediction: (1) the ability to predict promoter strength and (2) the sequence properties that distinguish between active and weak/inactive promoters. We addressed promoter prediction using natural core promoters recognized by the well-studied alternative sigma factor, Escherichia coli σE, as a representative of group 4 σs, the largest σ group. To evaluate the contribution of sequence to promoter strength and function, we used modular position weight matrix models comprised of each promoter motif and a penalty score for suboptimal motif location. We find that a combination of select modules is moderately predictive of promoter strength and that imposing minimal motif scores distinguished active from weak/inactive promoters. The combined -35/-10 score is the most important predictor of activity. Our models also identified key sequence features associated with active promoters. A conserved “AAC” motif in the -35 region is likely to be a general predictor of function for promoters recognized by group 4 σs. These results provide valuable insights into sequences that govern promoter strength, distinguish active and inactive promoters for the first time, and are applicable to both in vivo and in vitro measures of promoter strength.","author":[{"dropping-particle":"","family":"Rhodius","given":"Virgil A","non-dropping-particle":"","parse-names":false,"suffix":""},{"dropping-particle":"","family":"Mutalik","given":"Vivek K","non-dropping-particle":"","parse-names":false,"suffix":""}],"container-title":"Proceedings of the National Academy of Sciences","id":"ITEM-1","issue":"7","issued":{"date-parts":[["2010","2","16"]]},"page":"2854-2859","publisher":"National Acad Sciences","title":"Predicting strength and function for promoters of the Escherichia coli alternative sigma factor, E","type":"article-journal","volume":"107"},"suppress-author":1,"uris":["http://www.mendeley.com/documents/?uuid=f58b9c69-f03a-3d6f-b821-8ed7d12679f9"]},{"id":"ITEM-2","itemData":{"DOI":"10.1093/nar/gkr1190","ISSN":"1362-4962","abstract":"Predicting the location and strength of promoters from genomic sequence requires accurate sequenced-based promoter models. We present the first model of a full-length bacterial promoter, encompassing both upstream sequences (UP-elements) and core promoter modules, based on a set of 60 promoters dependent on σE, an alternative ECF-type σ factor. UP-element contribution, best described by the length and frequency of A- and T-tracts, in combination with a PWM-based core promoter model, accurately predicted promoter strength both in vivo and in vitro. This model also distinguished active from weak/inactive promoters. Systematic examination of promoter strength as a function of RNA polymerase (RNAP) concentration revealed that UP-element contribution varied with RNAP availability and that the σE regulon is comprised of two promoter types, one of which is active only at high concentrations of RNAP. Distinct promoter types may be a general mechanism for increasing the regulatory capacity of the ECF group of alternative σ's. Our findings provide important insights into the sequence requirements for the strength and function of full-length promoters and establish guidelines for promoter prediction and for forward engineering promoters of specific strengths.","author":[{"dropping-particle":"","family":"Rhodius","given":"Virgil A","non-dropping-particle":"","parse-names":false,"suffix":""},{"dropping-particle":"","family":"Mutalik","given":"Vivek K","non-dropping-particle":"","parse-names":false,"suffix":""},{"dropping-particle":"","family":"Gross","given":"Carol A","non-dropping-particle":"","parse-names":false,"suffix":""}],"container-title":"Nucleic Acids Research","id":"ITEM-2","issue":"7","issued":{"date-parts":[["2012","4"]]},"page":"2907-2924","publisher":"Oxford University Press","title":"Predicting the strength of UP-elements and full-length E. coli σE promoters","type":"article-journal","volume":"40"},"suppress-author":1,"uris":["http://www.mendeley.com/documents/?uuid=c8bb6957-77e0-3168-812e-ca790b17d957"]}],"mendeley":{"formattedCitation":"(2010; 2012)","manualFormatting":"Rhodius et al. (2010; 2012)","plainTextFormattedCitation":"(2010; 2012)","previouslyFormattedCitation":"(2010; 2012)"},"properties":{"noteIndex":0},"schema":"https://github.com/citation-style-language/schema/raw/master/csl-citation.json"}</w:instrText>
      </w:r>
      <w:r w:rsidRPr="001C6717">
        <w:rPr>
          <w:sz w:val="20"/>
          <w:szCs w:val="20"/>
        </w:rPr>
        <w:fldChar w:fldCharType="separate"/>
      </w:r>
      <w:r w:rsidRPr="001C6717">
        <w:rPr>
          <w:noProof/>
          <w:sz w:val="20"/>
          <w:szCs w:val="20"/>
        </w:rPr>
        <w:t xml:space="preserve">Rhodius </w:t>
      </w:r>
      <w:r w:rsidRPr="001C6717">
        <w:rPr>
          <w:i/>
          <w:iCs/>
          <w:noProof/>
          <w:sz w:val="20"/>
          <w:szCs w:val="20"/>
        </w:rPr>
        <w:t>et al.</w:t>
      </w:r>
      <w:r w:rsidRPr="001C6717">
        <w:rPr>
          <w:noProof/>
          <w:sz w:val="20"/>
          <w:szCs w:val="20"/>
        </w:rPr>
        <w:t xml:space="preserve"> (2010; 2012)</w:t>
      </w:r>
      <w:r w:rsidRPr="001C6717">
        <w:rPr>
          <w:sz w:val="20"/>
          <w:szCs w:val="20"/>
        </w:rPr>
        <w:fldChar w:fldCharType="end"/>
      </w:r>
      <w:r w:rsidRPr="001C6717">
        <w:rPr>
          <w:sz w:val="20"/>
          <w:szCs w:val="20"/>
        </w:rPr>
        <w:t xml:space="preserve"> and allow analysis of the effects of upstream regulating elements and core promoter. Translational components affect enzyme concentration via ribosome binding site, codon usage and mRNA stability. The effect of the ribosome binding site depends on the homology of the Shine-</w:t>
      </w:r>
      <w:proofErr w:type="spellStart"/>
      <w:r w:rsidRPr="001C6717">
        <w:rPr>
          <w:sz w:val="20"/>
          <w:szCs w:val="20"/>
        </w:rPr>
        <w:t>Dalgarno</w:t>
      </w:r>
      <w:proofErr w:type="spellEnd"/>
      <w:r w:rsidRPr="001C6717">
        <w:rPr>
          <w:sz w:val="20"/>
          <w:szCs w:val="20"/>
        </w:rPr>
        <w:t xml:space="preserve"> sequence and mRNA secondary structures and for </w:t>
      </w:r>
      <w:r w:rsidRPr="001C6717">
        <w:rPr>
          <w:i/>
          <w:iCs/>
          <w:sz w:val="20"/>
          <w:szCs w:val="20"/>
        </w:rPr>
        <w:t>E. coli</w:t>
      </w:r>
      <w:r w:rsidRPr="001C6717">
        <w:rPr>
          <w:sz w:val="20"/>
          <w:szCs w:val="20"/>
        </w:rPr>
        <w:t xml:space="preserve"> a predictive model was published </w:t>
      </w:r>
      <w:r w:rsidRPr="001C6717">
        <w:rPr>
          <w:sz w:val="20"/>
          <w:szCs w:val="20"/>
        </w:rPr>
        <w:fldChar w:fldCharType="begin" w:fldLock="1"/>
      </w:r>
      <w:r w:rsidRPr="001C6717">
        <w:rPr>
          <w:sz w:val="20"/>
          <w:szCs w:val="20"/>
        </w:rPr>
        <w:instrText>ADDIN CSL_CITATION {"citationItems":[{"id":"ITEM-1","itemData":{"DOI":"10.1038/nbt.1568","ISSN":"1546-1696","abstract":"Salis et al. design precisely tuned ribosome binding sites that allow rational control over the rate of protein translation. This technology should facilitate the design of synthetic genetic circuits and metabolic pathways.","author":[{"dropping-particle":"","family":"Salis","given":"Howard M","non-dropping-particle":"","parse-names":false,"suffix":""},{"dropping-particle":"","family":"Mirsky","given":"Ethan A","non-dropping-particle":"","parse-names":false,"suffix":""},{"dropping-particle":"","family":"Voigt","given":"Christopher A","non-dropping-particle":"","parse-names":false,"suffix":""}],"container-title":"Nature Biotechnology","id":"ITEM-1","issue":"10","issued":{"date-parts":[["2009"]]},"page":"946-950","title":"Automated design of synthetic ribosome binding sites to control protein expression","type":"article-journal","volume":"27"},"uris":["http://www.mendeley.com/documents/?uuid=1248db22-f356-4c8c-92a1-1537acf2f634"]}],"mendeley":{"formattedCitation":"(Salis &lt;i&gt;et al.&lt;/i&gt;, 2009)","plainTextFormattedCitation":"(Salis et al., 2009)","previouslyFormattedCitation":"(Salis &lt;i&gt;et al.&lt;/i&gt;, 2009)"},"properties":{"noteIndex":0},"schema":"https://github.com/citation-style-language/schema/raw/master/csl-citation.json"}</w:instrText>
      </w:r>
      <w:r w:rsidRPr="001C6717">
        <w:rPr>
          <w:sz w:val="20"/>
          <w:szCs w:val="20"/>
        </w:rPr>
        <w:fldChar w:fldCharType="separate"/>
      </w:r>
      <w:r w:rsidRPr="001C6717">
        <w:rPr>
          <w:noProof/>
          <w:sz w:val="20"/>
          <w:szCs w:val="20"/>
        </w:rPr>
        <w:t xml:space="preserve">(Salis </w:t>
      </w:r>
      <w:r w:rsidRPr="001C6717">
        <w:rPr>
          <w:i/>
          <w:iCs/>
          <w:noProof/>
          <w:sz w:val="20"/>
          <w:szCs w:val="20"/>
        </w:rPr>
        <w:t>et al.</w:t>
      </w:r>
      <w:r w:rsidRPr="001C6717">
        <w:rPr>
          <w:noProof/>
          <w:sz w:val="20"/>
          <w:szCs w:val="20"/>
        </w:rPr>
        <w:t>, 2009)</w:t>
      </w:r>
      <w:r w:rsidRPr="001C6717">
        <w:rPr>
          <w:sz w:val="20"/>
          <w:szCs w:val="20"/>
        </w:rPr>
        <w:fldChar w:fldCharType="end"/>
      </w:r>
      <w:r w:rsidRPr="001C6717">
        <w:rPr>
          <w:sz w:val="20"/>
          <w:szCs w:val="20"/>
        </w:rPr>
        <w:t xml:space="preserve"> and recently integrated with a resource allocation model </w:t>
      </w:r>
      <w:r w:rsidRPr="001C6717">
        <w:rPr>
          <w:sz w:val="20"/>
          <w:szCs w:val="20"/>
        </w:rPr>
        <w:fldChar w:fldCharType="begin" w:fldLock="1"/>
      </w:r>
      <w:r w:rsidRPr="001C6717">
        <w:rPr>
          <w:sz w:val="20"/>
          <w:szCs w:val="20"/>
        </w:rPr>
        <w:instrText>ADDIN CSL_CITATION {"citationItems":[{"id":"ITEM-1","itemData":{"DOI":"10.1101/2020.11.19.390583","abstract":"Design of synthetic genetic circuits without considering the impact of host-circuit interactions results in an inefficient design process and lengthy trial-and-error iterations to appropriately tune the expression levels. Microorganisms have evolved to reach an optimal use of cellular resources. This balance is perturbed by circuit-host interactions resulting from the interaction among the cell environment from which the cell takes substrates, its metabolism, and the needs of exogenous synthetic genetic circuit introduced in the cell host. The resulting competition for common shared cell resources introduces spurious dynamics leading to problems of malfunctioning of the synthetic circuit due to lack of enough cellular resources. Therefore, there is an increasing interest in development of methods for model-based design of synthetic gene circuits considering host-circuit interactions. Here we present a small-size model of gene expression dynamics in bacterial cells accounting for host-circuit interactions. For each gene, the model defines the cellular resources recruitment strength as the key functional coefficient that allows to explain the distribution of resources among the host and the genes of interest and the relationship between the usage of resources and cell growth. This functional coefficient explicitly takes into account the availability of resources and lab-accessible gene characteristics, such as promoter and ribosome binding site (RBS) strengths and capture their interplay with the availability of free cell resources. In spite of its simplicity, the model is able to explain the differential role of promoter and RBS strengths in the distribution of protein mass and the optimal protein expression productivity with remarkable fit to the experimental data from the literature for E. coli. This makes the model amenable for model-based circuit design purposes. Moreover, the model also allows to understand why endogenous ribosomal and non-ribosomal genes have evolved different strategies in the expression space.","author":[{"dropping-particle":"","family":"Nóbel","given":"Fernando","non-dropping-particle":"","parse-names":false,"suffix":""},{"dropping-particle":"","family":"Picó","given":"Jesús","non-dropping-particle":"","parse-names":false,"suffix":""}],"container-title":"bioRxiv","id":"ITEM-1","issued":{"date-parts":[["2020","11","22"]]},"page":"2020.11.19.390583","publisher":"Cold Spring Harbor Laboratory","title":"Resources allocation explains the differential roles of RBS and promoter strengths in cell mass distribution and optimal protein expression productivity","type":"article-journal"},"uris":["http://www.mendeley.com/documents/?uuid=74426198-e3b4-33ab-a108-c1897145d9bd"]}],"mendeley":{"formattedCitation":"(Nóbel and Picó, 2020)","plainTextFormattedCitation":"(Nóbel and Picó, 2020)","previouslyFormattedCitation":"(Nóbel and Picó, 2020)"},"properties":{"noteIndex":0},"schema":"https://github.com/citation-style-language/schema/raw/master/csl-citation.json"}</w:instrText>
      </w:r>
      <w:r w:rsidRPr="001C6717">
        <w:rPr>
          <w:sz w:val="20"/>
          <w:szCs w:val="20"/>
        </w:rPr>
        <w:fldChar w:fldCharType="separate"/>
      </w:r>
      <w:r w:rsidRPr="001C6717">
        <w:rPr>
          <w:noProof/>
          <w:sz w:val="20"/>
          <w:szCs w:val="20"/>
        </w:rPr>
        <w:t>(Nóbel and Picó, 2020)</w:t>
      </w:r>
      <w:r w:rsidRPr="001C6717">
        <w:rPr>
          <w:sz w:val="20"/>
          <w:szCs w:val="20"/>
        </w:rPr>
        <w:fldChar w:fldCharType="end"/>
      </w:r>
      <w:r w:rsidRPr="001C6717">
        <w:rPr>
          <w:sz w:val="20"/>
          <w:szCs w:val="20"/>
        </w:rPr>
        <w:t xml:space="preserve">. The codon usage, mRNA stability and enzyme concentration are correlated and jointly determine enzyme concentration in </w:t>
      </w:r>
      <w:r w:rsidRPr="001C6717">
        <w:rPr>
          <w:i/>
          <w:iCs/>
          <w:sz w:val="20"/>
          <w:szCs w:val="20"/>
        </w:rPr>
        <w:t>E. coli</w:t>
      </w:r>
      <w:r w:rsidRPr="001C6717">
        <w:rPr>
          <w:sz w:val="20"/>
          <w:szCs w:val="20"/>
        </w:rPr>
        <w:t xml:space="preserve"> </w:t>
      </w:r>
      <w:r w:rsidRPr="001C6717">
        <w:rPr>
          <w:sz w:val="20"/>
          <w:szCs w:val="20"/>
        </w:rPr>
        <w:fldChar w:fldCharType="begin" w:fldLock="1"/>
      </w:r>
      <w:r w:rsidRPr="001C6717">
        <w:rPr>
          <w:sz w:val="20"/>
          <w:szCs w:val="20"/>
        </w:rPr>
        <w:instrText>ADDIN CSL_CITATION {"citationItems":[{"id":"ITEM-1","itemData":{"DOI":"10.1126/science.1170160","ISSN":"0036-8075","abstract":"Synonymous mutations do not alter the encoded protein, but they can influence gene expression. To investigate how, we engineered a synthetic library of 154 genes that varied randomly at synonymous sites, but all encoded the same green fluorescent protein (GFP). When expressed in Escherichia coli, GFP protein levels varied 250-fold across the library. GFP messenger RNA (mRNA) levels, mRNA degradation patterns, and bacterial growth rates also varied, but codon bias did not correlate with gene expression. Rather, the stability of mRNA folding near the ribosomal binding site explained more than half the variation in protein levels. In our analysis, mRNA folding and associated rates of translation initiation play a predominant role in shaping expression levels of individual genes, whereas codon bias influences global translation efficiency and cellular fitness.","author":[{"dropping-particle":"","family":"Kudla","given":"G","non-dropping-particle":"","parse-names":false,"suffix":""},{"dropping-particle":"","family":"Murray","given":"A W","non-dropping-particle":"","parse-names":false,"suffix":""},{"dropping-particle":"","family":"Tollervey","given":"D","non-dropping-particle":"","parse-names":false,"suffix":""},{"dropping-particle":"","family":"Plotkin","given":"J B","non-dropping-particle":"","parse-names":false,"suffix":""}],"container-title":"Science","id":"ITEM-1","issue":"5924","issued":{"date-parts":[["2009","4","10"]]},"page":"255-258","publisher":"AAAS","title":"Coding-Sequence Determinants of Gene Expression in Escherichia coli","type":"article-journal","volume":"324"},"uris":["http://www.mendeley.com/documents/?uuid=f28fd173-78dc-4cc5-80e5-fe6df1406345"]},{"id":"ITEM-2","itemData":{"DOI":"10.1038/nature16509","ISSN":"1476-4687","abstract":"Degeneracy in the genetic code, which enables a single protein to be encoded by a multitude of synonymous gene sequences, has an important role in regulating protein expression, but substantial uncertainty exists concerning the details of this phenomenon. Here we analyse the sequence features influencing protein expression levels in 6,348 experiments using bacteriophage T7 polymerase to synthesize messenger RNA in Escherichia coli. Logistic regression yields a new codon-influence metric that correlates only weakly with genomic codon-usage frequency, but strongly with global physiological protein concentrations and also mRNA concentrations and lifetimes in vivo. Overall, the codon content influences protein expression more strongly than mRNA-folding parameters, although the latter dominate in the initial ~16 codons. Genes redesigned based on our analyses are transcribed with unaltered efficiency but translated with higher efficiency in vitro. The less efficiently translated native sequences show greatly reduced mRNA levels in vivo. Our results suggest that codon content modulates a kinetic competition between protein elongation and mRNA degradation that is a central feature of the physiology and also possibly the regulation of translation in E. coli.","author":[{"dropping-particle":"","family":"Boel","given":"G","non-dropping-particle":"","parse-names":false,"suffix":""},{"dropping-particle":"","family":"Letso","given":"R","non-dropping-particle":"","parse-names":false,"suffix":""},{"dropping-particle":"","family":"Neely","given":"H","non-dropping-particle":"","parse-names":false,"suffix":""},{"dropping-particle":"","family":"Price","given":"W N","non-dropping-particle":"","parse-names":false,"suffix":""},{"dropping-particle":"","family":"Wong","given":"K.-H.","non-dropping-particle":"","parse-names":false,"suffix":""},{"dropping-particle":"","family":"Su","given":"M","non-dropping-particle":"","parse-names":false,"suffix":""},{"dropping-particle":"","family":"Luff","given":"J D","non-dropping-particle":"","parse-names":false,"suffix":""},{"dropping-particle":"","family":"Valecha","given":"M","non-dropping-particle":"","parse-names":false,"suffix":""},{"dropping-particle":"","family":"Everett","given":"J K","non-dropping-particle":"","parse-names":false,"suffix":""},{"dropping-particle":"","family":"Acton","given":"T B","non-dropping-particle":"","parse-names":false,"suffix":""},{"dropping-particle":"","family":"et al.","given":"","non-dropping-particle":"","parse-names":false,"suffix":""}],"container-title":"Nature","id":"ITEM-2","issue":"7586","issued":{"date-parts":[["2016","1"]]},"page":"358â€“363","publisher":"Nature Publishing Group","title":"Codon influence on protein expression in E. coli correlates with mRNA levels","type":"article-journal","volume":"529"},"uris":["http://www.mendeley.com/documents/?uuid=776168f3-8ee4-4023-a895-b2a2a498fdb0"]}],"mendeley":{"formattedCitation":"(Kudla &lt;i&gt;et al.&lt;/i&gt;, 2009; Boel &lt;i&gt;et al.&lt;/i&gt;, 2016)","plainTextFormattedCitation":"(Kudla et al., 2009; Boel et al., 2016)","previouslyFormattedCitation":"(Kudla &lt;i&gt;et al.&lt;/i&gt;, 2009; Boel &lt;i&gt;et al.&lt;/i&gt;, 2016)"},"properties":{"noteIndex":0},"schema":"https://github.com/citation-style-language/schema/raw/master/csl-citation.json"}</w:instrText>
      </w:r>
      <w:r w:rsidRPr="001C6717">
        <w:rPr>
          <w:sz w:val="20"/>
          <w:szCs w:val="20"/>
        </w:rPr>
        <w:fldChar w:fldCharType="separate"/>
      </w:r>
      <w:r w:rsidRPr="001C6717">
        <w:rPr>
          <w:noProof/>
          <w:sz w:val="20"/>
          <w:szCs w:val="20"/>
        </w:rPr>
        <w:t xml:space="preserve">(Kudla </w:t>
      </w:r>
      <w:r w:rsidRPr="001C6717">
        <w:rPr>
          <w:i/>
          <w:iCs/>
          <w:noProof/>
          <w:sz w:val="20"/>
          <w:szCs w:val="20"/>
        </w:rPr>
        <w:t>et al.</w:t>
      </w:r>
      <w:r w:rsidRPr="001C6717">
        <w:rPr>
          <w:noProof/>
          <w:sz w:val="20"/>
          <w:szCs w:val="20"/>
        </w:rPr>
        <w:t xml:space="preserve">, 2009; Boel </w:t>
      </w:r>
      <w:r w:rsidRPr="001C6717">
        <w:rPr>
          <w:i/>
          <w:iCs/>
          <w:noProof/>
          <w:sz w:val="20"/>
          <w:szCs w:val="20"/>
        </w:rPr>
        <w:t>et al.</w:t>
      </w:r>
      <w:r w:rsidRPr="001C6717">
        <w:rPr>
          <w:noProof/>
          <w:sz w:val="20"/>
          <w:szCs w:val="20"/>
        </w:rPr>
        <w:t>, 2016)</w:t>
      </w:r>
      <w:r w:rsidRPr="001C6717">
        <w:rPr>
          <w:sz w:val="20"/>
          <w:szCs w:val="20"/>
        </w:rPr>
        <w:fldChar w:fldCharType="end"/>
      </w:r>
      <w:r w:rsidRPr="001C6717">
        <w:rPr>
          <w:sz w:val="20"/>
          <w:szCs w:val="20"/>
        </w:rPr>
        <w:t xml:space="preserve">, and a predictive model of mRNA stability was published by </w:t>
      </w:r>
      <w:proofErr w:type="spellStart"/>
      <w:r w:rsidRPr="001C6717">
        <w:rPr>
          <w:sz w:val="20"/>
          <w:szCs w:val="20"/>
        </w:rPr>
        <w:t>Cetnar</w:t>
      </w:r>
      <w:proofErr w:type="spellEnd"/>
      <w:r w:rsidRPr="001C6717">
        <w:rPr>
          <w:sz w:val="20"/>
          <w:szCs w:val="20"/>
        </w:rPr>
        <w:t xml:space="preserve"> &amp; </w:t>
      </w:r>
      <w:proofErr w:type="spellStart"/>
      <w:r w:rsidRPr="001C6717">
        <w:rPr>
          <w:sz w:val="20"/>
          <w:szCs w:val="20"/>
        </w:rPr>
        <w:t>Salis</w:t>
      </w:r>
      <w:proofErr w:type="spellEnd"/>
      <w:r w:rsidRPr="001C6717">
        <w:rPr>
          <w:sz w:val="20"/>
          <w:szCs w:val="20"/>
        </w:rPr>
        <w:t xml:space="preserve"> </w:t>
      </w:r>
      <w:r w:rsidRPr="001C6717">
        <w:rPr>
          <w:sz w:val="20"/>
          <w:szCs w:val="20"/>
        </w:rPr>
        <w:fldChar w:fldCharType="begin" w:fldLock="1"/>
      </w:r>
      <w:r w:rsidRPr="001C6717">
        <w:rPr>
          <w:sz w:val="20"/>
          <w:szCs w:val="20"/>
        </w:rPr>
        <w:instrText>ADDIN CSL_CITATION {"citationItems":[{"id":"ITEM-1","itemData":{"DOI":"10.1101/2020.07.22.216051","abstract":"mRNA degradation is a central process that affects all gene expression levels, and yet the determinants that control mRNA decay rates remain poorly characterized. Here, we applied a synthetic biology, learn-by-design approach to elucidate the sequence and structural determinants that control mRNA stability in bacterial operons. We designed, constructed, and characterized 82 operons, systematically varying RNAse binding site characteristics, translation initiation rates, and transcriptional terminator efficiencies in the 5' UTR, intergenic, and 3' UTR regions, and measuring their mRNA levels using RT-qPCR assays. We show that introducing long single-stranded RNA into 5' UTRs reduced mRNA levels by up to 9.4-fold and that lowering translation rates reduced mRNA levels by up to 11.8-fold. We also found that RNAse binding sites in intergenic regions had much lower effects on mRNA levels. Surprisingly, changing transcriptional termination efficiency or introducing long single-stranded RNA into 3' UTRs had no effect on upstream mRNA levels. From these measurements, we developed and validated biophysical models of ribosome protection and RNAse activity with excellent quantitative correspondence. We also formulated design rules to rationally control a mRNA's stability, facilitating the automated design of engineered genetic systems with desired functionalities.","author":[{"dropping-particle":"","family":"Cetnar","given":"Daniel P","non-dropping-particle":"","parse-names":false,"suffix":""},{"dropping-particle":"","family":"Salis","given":"Howard M","non-dropping-particle":"","parse-names":false,"suffix":""}],"container-title":"bioRxiv","id":"ITEM-1","issued":{"date-parts":[["2020","7","22"]]},"number-of-pages":"2020.07.22.216051","publisher":"Cold Spring Harbor Laboratory","title":"Systematic Quantification of Sequence and Structural Determinants Controlling mRNA stability in Bacterial Operons","type":"report"},"suppress-author":1,"uris":["http://www.mendeley.com/documents/?uuid=7cfe628f-5c89-3bb1-9657-687bc04cbdd5"]}],"mendeley":{"formattedCitation":"(2020)","plainTextFormattedCitation":"(2020)","previouslyFormattedCitation":"(2020)"},"properties":{"noteIndex":0},"schema":"https://github.com/citation-style-language/schema/raw/master/csl-citation.json"}</w:instrText>
      </w:r>
      <w:r w:rsidRPr="001C6717">
        <w:rPr>
          <w:sz w:val="20"/>
          <w:szCs w:val="20"/>
        </w:rPr>
        <w:fldChar w:fldCharType="separate"/>
      </w:r>
      <w:r w:rsidRPr="001C6717">
        <w:rPr>
          <w:noProof/>
          <w:sz w:val="20"/>
          <w:szCs w:val="20"/>
        </w:rPr>
        <w:t>(2020)</w:t>
      </w:r>
      <w:r w:rsidRPr="001C6717">
        <w:rPr>
          <w:sz w:val="20"/>
          <w:szCs w:val="20"/>
        </w:rPr>
        <w:fldChar w:fldCharType="end"/>
      </w:r>
      <w:r w:rsidRPr="001C6717">
        <w:rPr>
          <w:sz w:val="20"/>
          <w:szCs w:val="20"/>
        </w:rPr>
        <w:t xml:space="preserve">. Finally, protein stability determines concentration and a review of predictive models is given by Fang (2020). Although the models have reported high correlation between prediction and experiment, the massive evaluation of 244.000 sequences for translational effects during </w:t>
      </w:r>
      <w:r w:rsidRPr="001C6717">
        <w:rPr>
          <w:rFonts w:ascii="Symbol" w:hAnsi="Symbol"/>
          <w:sz w:val="20"/>
          <w:szCs w:val="20"/>
        </w:rPr>
        <w:t></w:t>
      </w:r>
      <w:r w:rsidRPr="001C6717">
        <w:rPr>
          <w:rFonts w:ascii="Symbol" w:hAnsi="Symbol"/>
          <w:sz w:val="20"/>
          <w:szCs w:val="20"/>
          <w:vertAlign w:val="superscript"/>
        </w:rPr>
        <w:t></w:t>
      </w:r>
      <w:r w:rsidRPr="001C6717">
        <w:rPr>
          <w:rFonts w:ascii="Symbol" w:hAnsi="Symbol"/>
          <w:sz w:val="20"/>
          <w:szCs w:val="20"/>
          <w:vertAlign w:val="superscript"/>
        </w:rPr>
        <w:t></w:t>
      </w:r>
      <w:r w:rsidRPr="001C6717">
        <w:rPr>
          <w:sz w:val="20"/>
          <w:szCs w:val="20"/>
        </w:rPr>
        <w:t xml:space="preserve"> expression in </w:t>
      </w:r>
      <w:r w:rsidRPr="001C6717">
        <w:rPr>
          <w:i/>
          <w:iCs/>
          <w:sz w:val="20"/>
          <w:szCs w:val="20"/>
        </w:rPr>
        <w:t>E. coli</w:t>
      </w:r>
      <w:r w:rsidRPr="001C6717">
        <w:rPr>
          <w:sz w:val="20"/>
          <w:szCs w:val="20"/>
        </w:rPr>
        <w:t xml:space="preserve"> achieved lower correlation </w:t>
      </w:r>
      <w:r w:rsidRPr="001C6717">
        <w:rPr>
          <w:sz w:val="20"/>
          <w:szCs w:val="20"/>
        </w:rPr>
        <w:fldChar w:fldCharType="begin" w:fldLock="1"/>
      </w:r>
      <w:r w:rsidRPr="001C6717">
        <w:rPr>
          <w:sz w:val="20"/>
          <w:szCs w:val="20"/>
        </w:rPr>
        <w:instrText>ADDIN CSL_CITATION {"citationItems":[{"id":"ITEM-1","itemData":{"DOI":"10.1038/nbt.4238","ISSN":"1087-0156","abstract":"Comparative analyses of natural and mutated sequences have been used to probe mechanisms of gene expression, but small sample sizes may produce biased outcomes. We applied an unbiased design-of-experiments approach to disentangle factors suspected to affect translation efficiency in E. coli. We precisely designed 244,000 DNA sequences implementing 56 replicates of a full factorial design to evaluate nucleotide, secondary structure, codon and amino acid properties in combination. For each sequence, we measured reporter transcript abundance and decay, polysome profiles, protein production and growth rates. Associations between designed sequences properties and these consequent phenotypes were dominated by secondary structures and their interactions within transcripts. We confirmed that transcript structure generally limits translation initiation and demonstrated its physiological cost using an epigenetic assay. Codon composition has a sizable impact on translatability, but only in comparatively rare elongation-limited transcripts. We propose a set of design principles to improve translation efficiency that would benefit from more accurate prediction of secondary structures in vivo.","author":[{"dropping-particle":"","family":"Cambray","given":"Guillaume","non-dropping-particle":"","parse-names":false,"suffix":""},{"dropping-particle":"","family":"Guimaraes","given":"Joao C","non-dropping-particle":"","parse-names":false,"suffix":""},{"dropping-particle":"","family":"Arkin","given":"Adam Paul","non-dropping-particle":"","parse-names":false,"suffix":""}],"container-title":"Nature Biotechnology","id":"ITEM-1","issue":"10","issued":{"date-parts":[["2018","11","24"]]},"page":"1005-1015","publisher":"Nature Publishing Group","title":"Evaluation of 244,000 synthetic sequences reveals design principles to optimize translation in Escherichia coli","type":"article-journal","volume":"36"},"uris":["http://www.mendeley.com/documents/?uuid=f3796822-8c34-3245-b3af-2bc9d3ff2a5d"]}],"mendeley":{"formattedCitation":"(Cambray &lt;i&gt;et al.&lt;/i&gt;, 2018)","plainTextFormattedCitation":"(Cambray et al., 2018)","previouslyFormattedCitation":"(Cambray &lt;i&gt;et al.&lt;/i&gt;, 2018)"},"properties":{"noteIndex":0},"schema":"https://github.com/citation-style-language/schema/raw/master/csl-citation.json"}</w:instrText>
      </w:r>
      <w:r w:rsidRPr="001C6717">
        <w:rPr>
          <w:sz w:val="20"/>
          <w:szCs w:val="20"/>
        </w:rPr>
        <w:fldChar w:fldCharType="separate"/>
      </w:r>
      <w:r w:rsidRPr="001C6717">
        <w:rPr>
          <w:noProof/>
          <w:sz w:val="20"/>
          <w:szCs w:val="20"/>
        </w:rPr>
        <w:t xml:space="preserve">(Cambray </w:t>
      </w:r>
      <w:r w:rsidRPr="001C6717">
        <w:rPr>
          <w:i/>
          <w:iCs/>
          <w:noProof/>
          <w:sz w:val="20"/>
          <w:szCs w:val="20"/>
        </w:rPr>
        <w:t>et al.</w:t>
      </w:r>
      <w:r w:rsidRPr="001C6717">
        <w:rPr>
          <w:noProof/>
          <w:sz w:val="20"/>
          <w:szCs w:val="20"/>
        </w:rPr>
        <w:t>, 2018)</w:t>
      </w:r>
      <w:r w:rsidRPr="001C6717">
        <w:rPr>
          <w:sz w:val="20"/>
          <w:szCs w:val="20"/>
        </w:rPr>
        <w:fldChar w:fldCharType="end"/>
      </w:r>
      <w:r w:rsidRPr="001C6717">
        <w:rPr>
          <w:sz w:val="20"/>
          <w:szCs w:val="20"/>
        </w:rPr>
        <w:t xml:space="preserve">. In conclusion, the relative impact of expression factors is hard to estimate on the genome level. </w:t>
      </w:r>
    </w:p>
    <w:p w:rsidR="006E529C" w:rsidRPr="00EC6F32" w:rsidRDefault="006E529C" w:rsidP="00EC6F32">
      <w:pPr>
        <w:pStyle w:val="para-first"/>
        <w:spacing w:after="240" w:line="276" w:lineRule="auto"/>
        <w:ind w:firstLine="170"/>
        <w:rPr>
          <w:sz w:val="20"/>
          <w:szCs w:val="20"/>
        </w:rPr>
      </w:pPr>
      <w:r w:rsidRPr="001C6717">
        <w:rPr>
          <w:sz w:val="20"/>
          <w:szCs w:val="20"/>
        </w:rPr>
        <w:t xml:space="preserve">The promoter sequence is important for strain engineering because it allows fine-tuning and modular exchange of elements. The composition and regulation of promoters have been intensively studied </w:t>
      </w:r>
      <w:r w:rsidRPr="001C6717">
        <w:rPr>
          <w:sz w:val="20"/>
          <w:szCs w:val="20"/>
        </w:rPr>
        <w:fldChar w:fldCharType="begin" w:fldLock="1"/>
      </w:r>
      <w:r>
        <w:rPr>
          <w:sz w:val="20"/>
          <w:szCs w:val="20"/>
        </w:rPr>
        <w:instrText>ADDIN CSL_CITATION {"citationItems":[{"id":"ITEM-1","itemData":{"DOI":"10.1088/1478-3975/4/4/001","abstract":"Cells respond to the environment by regulating the expression of genes according to environmental signals. The relation between the input signal level and the expression of the gene is called the gene regulation function. It is of interest to understand the shape of a gene regulation function in terms of the environment in which it has evolved and the basic constraints of biological systems. Here we address this by presenting a cost–benefit theory for gene regulation functions that takes into account temporally varying inputs in the environment and stochastic noise in the biological components. We apply this theory to the well-studied lac operon of E. coli. The present theory explains the shape of this regulation function in terms of temporal variation of the input signals, and of minimizing the deleterious effect of cell–cell variability in regulatory protein levels. We also apply the theory to understand the evolutionary tradeoffs in setting the number of regulatory proteins and for selection of feed-forward loops in genetic circuits. The present cost–benefit theory can be used to understand the shape of other gene regulatory functions in terms of environment and noise constraints.","author":[{"dropping-particle":"","family":"Kalisky","given":"T","non-dropping-particle":"","parse-names":false,"suffix":""},{"dropping-particle":"","family":"Dekel","given":"E","non-dropping-particle":"","parse-names":false,"suffix":""},{"dropping-particle":"","family":"Alon","given":"U","non-dropping-particle":"","parse-names":false,"suffix":""}],"container-title":"Phys. Biol","id":"ITEM-1","issued":{"date-parts":[["2007"]]},"page":"229-245","title":"Cost–benefit theory and optimal design of gene regulation functions","type":"article-journal","volume":"4"},"uris":["http://www.mendeley.com/documents/?uuid=0a26069d-510a-36fe-8e91-f0d7a2d9cd41"]},{"id":"ITEM-2","itemData":{"DOI":"10.1371/journal.pcbi.1000545","abstract":"Cells respond to a changing environment by regulating the activity of genes. Here, we sought to understand how &lt;italic&gt;E. coli&lt;/italic&gt; cells distribute their limited transcriptional resources among their target genes, and how this allocation varies with growth rate and growth conditions. To achieve this, we assayed the expression of a comprehensive library of transcriptional reporter strains under different conditions. High-temporal resolution measurements of promoter activities were obtained for different growth rates spanning recovery from stationary phase into exponential phase and eventually deep stationary phase again. We find that the genome-wide promoter activity follows a power-law distribution, which depends solely on growth rate and is independent of the specific growth conditions. Moreover, we find that the power-law distribution can be decomposed into two log-normal distributions: metabolic promoters that make up the low end of the distribution, and ribosomal promoters that make up the high end of the distribution. While distributions remained constant for a given growth rate, the ranked expression of metabolic promoters differed according to the specific condition. Thus, the invariant distribution may suggest optimal resource allocation under constrained resources. A mathematical theory is presented to explain these results.","author":[{"dropping-particle":"","family":"Zaslaver","given":"A","non-dropping-particle":"","parse-names":false,"suffix":""},{"dropping-particle":"","family":"Kaplan","given":"S","non-dropping-particle":"","parse-names":false,"suffix":""},{"dropping-particle":"","family":"Bren","given":"A","non-dropping-particle":"","parse-names":false,"suffix":""},{"dropping-particle":"","family":"Jinich","given":"A","non-dropping-particle":"","parse-names":false,"suffix":""},{"dropping-particle":"","family":"Mayo","given":"A","non-dropping-particle":"","parse-names":false,"suffix":""},{"dropping-particle":"","family":"Dekel","given":"E","non-dropping-particle":"","parse-names":false,"suffix":""},{"dropping-particle":"","family":"Alon","given":"U","non-dropping-particle":"","parse-names":false,"suffix":""},{"dropping-particle":"","family":"Itzkovitz","given":"S","non-dropping-particle":"","parse-names":false,"suffix":""}],"container-title":"PLoS Comput Biol","id":"ITEM-2","issue":"10","issued":{"date-parts":[["2009"]]},"page":"e1000545","publisher":"Public Library of Science","title":"Invariant Distribution of Promoter Activities in &lt;italic&gt;Escherichia coli&lt;/italic&gt;","type":"article-journal","volume":"5"},"uris":["http://www.mendeley.com/documents/?uuid=fd067886-8e7c-4a1b-b838-dbc6f7e369ba"]},{"id":"ITEM-3","itemData":{"DOI":"10.15252/msb.20167402","ISSN":"1744-4292","PMID":"28049137","abstract":"Transcription networks consist of hundreds of transcription factors with thousands of often overlapping target genes. While we can reliably measure gene expression changes, we still understand relatively little why expression changes the way it does. How does a coordinated response emerge in such complex networks and how many input signals are necessary to achieve it? Here, we unravel the regulatory program of gene expression in Escherichia coli central carbon metabolism with more than 30 known transcription factors. Using a library of fluorescent transcriptional reporters, we comprehensively quantify the activity of central metabolic promoters in 26 environmental conditions. The expression patterns were dominated by growth rate-dependent global regulation for most central metabolic promoters in concert with highly condition-specific activation for only few promoters. Using an approximate mathematical description of promoter activity, we dissect the contribution of global and specific transcriptional regulation. About 70% of the total variance in promoter activity across conditions was explained by global transcriptional regulation. Correlating the remaining specific transcriptional regulation of each promoter with the cell's metabolome response across the same conditions identified potential regulatory metabolites. Remarkably, cyclic AMP, fructose-1,6-bisphosphate, and fructose-1-phosphate alone explained most of the specific transcriptional regulation through their interaction with the two major transcription factors Crp and Cra. Thus, a surprisingly simple regulatory program that relies on global transcriptional regulation and input from few intracellular metabolites appears to be sufficient to coordinate E. coli central metabolism and explain about 90% of the experimentally observed transcription changes in 100 genes.","author":[{"dropping-particle":"","family":"Kochanowski","given":"Karl","non-dropping-particle":"","parse-names":false,"suffix":""},{"dropping-particle":"","family":"Gerosa","given":"Luca","non-dropping-particle":"","parse-names":false,"suffix":""},{"dropping-particle":"","family":"Brunner","given":"Simon F","non-dropping-particle":"","parse-names":false,"suffix":""},{"dropping-particle":"","family":"Christodoulou","given":"Dimitris","non-dropping-particle":"","parse-names":false,"suffix":""},{"dropping-particle":"V","family":"Nikolaev","given":"Yaroslav","non-dropping-particle":"","parse-names":false,"suffix":""},{"dropping-particle":"","family":"Sauer","given":"Uwe","non-dropping-particle":"","parse-names":false,"suffix":""}],"container-title":"Molecular Systems Biology","id":"ITEM-3","issue":"1","issued":{"date-parts":[["2017","1","3"]]},"page":"903","publisher":"EMBO","title":"Few regulatory metabolites coordinate expression of central metabolic genes in Escherichia coli","type":"article-journal","volume":"13"},"uris":["http://www.mendeley.com/documents/?uuid=6a45b3d5-6a86-3519-9f15-7140a843a13a"]}],"mendeley":{"formattedCitation":"(Kalisky &lt;i&gt;et al.&lt;/i&gt;, 2007; Zaslaver &lt;i&gt;et al.&lt;/i&gt;, 2009; Kochanowski &lt;i&gt;et al.&lt;/i&gt;, 2017)","plainTextFormattedCitation":"(Kalisky et al., 2007; Zaslaver et al., 2009; Kochanowski et al., 2017)","previouslyFormattedCitation":"(Kalisky &lt;i&gt;et al.&lt;/i&gt;, 2007; Zaslaver &lt;i&gt;et al.&lt;/i&gt;, 2009; Kochanowski &lt;i&gt;et al.&lt;/i&gt;, 2017)"},"properties":{"noteIndex":0},"schema":"https://github.com/citation-style-language/schema/raw/master/csl-citation.json"}</w:instrText>
      </w:r>
      <w:r w:rsidRPr="001C6717">
        <w:rPr>
          <w:sz w:val="20"/>
          <w:szCs w:val="20"/>
        </w:rPr>
        <w:fldChar w:fldCharType="separate"/>
      </w:r>
      <w:r w:rsidRPr="0030256D">
        <w:rPr>
          <w:noProof/>
          <w:sz w:val="20"/>
          <w:szCs w:val="20"/>
        </w:rPr>
        <w:t xml:space="preserve">(Kalisky </w:t>
      </w:r>
      <w:r w:rsidRPr="0030256D">
        <w:rPr>
          <w:i/>
          <w:noProof/>
          <w:sz w:val="20"/>
          <w:szCs w:val="20"/>
        </w:rPr>
        <w:t>et al.</w:t>
      </w:r>
      <w:r w:rsidRPr="0030256D">
        <w:rPr>
          <w:noProof/>
          <w:sz w:val="20"/>
          <w:szCs w:val="20"/>
        </w:rPr>
        <w:t xml:space="preserve">, 2007; Zaslaver </w:t>
      </w:r>
      <w:r w:rsidRPr="0030256D">
        <w:rPr>
          <w:i/>
          <w:noProof/>
          <w:sz w:val="20"/>
          <w:szCs w:val="20"/>
        </w:rPr>
        <w:t>et al.</w:t>
      </w:r>
      <w:r w:rsidRPr="0030256D">
        <w:rPr>
          <w:noProof/>
          <w:sz w:val="20"/>
          <w:szCs w:val="20"/>
        </w:rPr>
        <w:t xml:space="preserve">, 2009; Kochanowski </w:t>
      </w:r>
      <w:r w:rsidRPr="0030256D">
        <w:rPr>
          <w:i/>
          <w:noProof/>
          <w:sz w:val="20"/>
          <w:szCs w:val="20"/>
        </w:rPr>
        <w:t>et al.</w:t>
      </w:r>
      <w:r w:rsidRPr="0030256D">
        <w:rPr>
          <w:noProof/>
          <w:sz w:val="20"/>
          <w:szCs w:val="20"/>
        </w:rPr>
        <w:t>, 2017)</w:t>
      </w:r>
      <w:r w:rsidRPr="001C6717">
        <w:rPr>
          <w:sz w:val="20"/>
          <w:szCs w:val="20"/>
        </w:rPr>
        <w:fldChar w:fldCharType="end"/>
      </w:r>
      <w:r w:rsidRPr="001C6717">
        <w:rPr>
          <w:sz w:val="20"/>
          <w:szCs w:val="20"/>
        </w:rPr>
        <w:t xml:space="preserve">. For example, </w:t>
      </w:r>
      <w:proofErr w:type="spellStart"/>
      <w:r w:rsidRPr="001C6717">
        <w:rPr>
          <w:sz w:val="20"/>
          <w:szCs w:val="20"/>
        </w:rPr>
        <w:t>Rhodius</w:t>
      </w:r>
      <w:proofErr w:type="spellEnd"/>
      <w:r w:rsidRPr="001C6717">
        <w:rPr>
          <w:sz w:val="20"/>
          <w:szCs w:val="20"/>
        </w:rPr>
        <w:t xml:space="preserve"> et al. (2010, 2012) investigated the expression strength of 60 </w:t>
      </w:r>
      <w:r w:rsidRPr="001C6717">
        <w:rPr>
          <w:rFonts w:ascii="Symbol" w:hAnsi="Symbol"/>
          <w:sz w:val="20"/>
          <w:szCs w:val="20"/>
        </w:rPr>
        <w:t></w:t>
      </w:r>
      <w:r w:rsidRPr="001C6717">
        <w:rPr>
          <w:sz w:val="20"/>
          <w:szCs w:val="20"/>
          <w:vertAlign w:val="superscript"/>
        </w:rPr>
        <w:t>E</w:t>
      </w:r>
      <w:r w:rsidRPr="001C6717">
        <w:rPr>
          <w:sz w:val="20"/>
          <w:szCs w:val="20"/>
        </w:rPr>
        <w:t xml:space="preserve"> promoters and analyzed the impact of promoter boxes and upstream regulating elements on expression. A modular promoter system was developed by </w:t>
      </w:r>
      <w:proofErr w:type="spellStart"/>
      <w:r w:rsidRPr="001C6717">
        <w:rPr>
          <w:sz w:val="20"/>
          <w:szCs w:val="20"/>
        </w:rPr>
        <w:t>Mutalik</w:t>
      </w:r>
      <w:proofErr w:type="spellEnd"/>
      <w:r w:rsidRPr="001C6717">
        <w:rPr>
          <w:sz w:val="20"/>
          <w:szCs w:val="20"/>
        </w:rPr>
        <w:t xml:space="preserve"> </w:t>
      </w:r>
      <w:r w:rsidRPr="001C6717">
        <w:rPr>
          <w:i/>
          <w:iCs/>
          <w:sz w:val="20"/>
          <w:szCs w:val="20"/>
        </w:rPr>
        <w:t>et al.</w:t>
      </w:r>
      <w:r w:rsidRPr="001C6717">
        <w:rPr>
          <w:sz w:val="20"/>
          <w:szCs w:val="20"/>
        </w:rPr>
        <w:t xml:space="preserve"> </w:t>
      </w:r>
      <w:r w:rsidRPr="001C6717">
        <w:rPr>
          <w:sz w:val="20"/>
          <w:szCs w:val="20"/>
        </w:rPr>
        <w:fldChar w:fldCharType="begin" w:fldLock="1"/>
      </w:r>
      <w:r w:rsidRPr="001C6717">
        <w:rPr>
          <w:sz w:val="20"/>
          <w:szCs w:val="20"/>
        </w:rPr>
        <w:instrText xml:space="preserve">ADDIN CSL_CITATION {"citationItems":[{"id":"ITEM-1","itemData":{"DOI":"10.1038/nmeth.2404","ISSN":"1548-7091","abstract":"An inability to reliably predict quantitative behaviors for novel combinations of genetic elements limits the rational engineering of biological systems. We developed an expression cassette architecture for genetic elements controlling transcription and translation initiation in Escherichia coli: transcription elements encode a common mRNA start, and translation elements use an overlapping genetic motif found in many natural systems. We engineered libraries of constitutive and repressor-regulated promoters along with translation initiation elements following these definitions. We measured activity distributions for each library and selected elements that collectively resulted in expression across a 1,000-fold observed dynamic range. We studied all combinations of curated elements, demonstrating that arbitrary genes are reliably expressed to within twofold relative target expression windows with </w:instrText>
      </w:r>
      <w:r w:rsidRPr="001C6717">
        <w:rPr>
          <w:rFonts w:ascii="Cambria Math" w:hAnsi="Cambria Math" w:cs="Cambria Math"/>
          <w:sz w:val="20"/>
          <w:szCs w:val="20"/>
        </w:rPr>
        <w:instrText>∼</w:instrText>
      </w:r>
      <w:r w:rsidRPr="001C6717">
        <w:rPr>
          <w:sz w:val="20"/>
          <w:szCs w:val="20"/>
        </w:rPr>
        <w:instrText>93% reliability. We expect the genetic element definitions validated here can be collectively expanded to create collections of public-domain standard biological parts that support reliable forward engineering of gene expression at genome scales.","author":[{"dropping-particle":"","family":"Mutalik","given":"Vivek K","non-dropping-particle":"","parse-names":false,"suffix":""},{"dropping-particle":"","family":"Guimaraes","given":"Joao C","non-dropping-particle":"","parse-names":false,"suffix":""},{"dropping-particle":"","family":"Cambray","given":"Guillaume","non-dropping-particle":"","parse-names":false,"suffix":""},{"dropping-particle":"","family":"Lam","given":"Colin","non-dropping-particle":"","parse-names":false,"suffix":""},{"dropping-particle":"","family":"Christoffersen","given":"Marc Juul","non-dropping-particle":"","parse-names":false,"suffix":""},{"dropping-particle":"","family":"Mai","given":"Quynh-Anh","non-dropping-particle":"","parse-names":false,"suffix":""},{"dropping-particle":"","family":"Tran","given":"Andrew B","non-dropping-particle":"","parse-names":false,"suffix":""},{"dropping-particle":"","family":"Paull","given":"Morgan","non-dropping-particle":"","parse-names":false,"suffix":""},{"dropping-particle":"","family":"Keasling","given":"Jay D","non-dropping-particle":"","parse-names":false,"suffix":""},{"dropping-particle":"","family":"Arkin","given":"Adam P","non-dropping-particle":"","parse-names":false,"suffix":""},{"dropping-particle":"","family":"Endy","given":"Drew","non-dropping-particle":"","parse-names":false,"suffix":""}],"container-title":"Nature Methods","id":"ITEM-1","issue":"4","issued":{"date-parts":[["2013","4","10"]]},"page":"354-360","publisher":"Nature Publishing Group","title":"Precise and reliable gene expression via standard transcription and translation initiation elements","type":"article-journal","volume":"10"},"suppress-author":1,"uris":["http://www.mendeley.com/documents/?uuid=42781be3-844f-3408-8a0b-f88b10d619ea"]}],"mendeley":{"formattedCitation":"(2013)","plainTextFormattedCitation":"(2013)","previouslyFormattedCitation":"(2013)"},"properties":{"noteIndex":0},"schema":"https://github.com/citation-style-language/schema/raw/master/csl-citation.json"}</w:instrText>
      </w:r>
      <w:r w:rsidRPr="001C6717">
        <w:rPr>
          <w:sz w:val="20"/>
          <w:szCs w:val="20"/>
        </w:rPr>
        <w:fldChar w:fldCharType="separate"/>
      </w:r>
      <w:r w:rsidRPr="001C6717">
        <w:rPr>
          <w:noProof/>
          <w:sz w:val="20"/>
          <w:szCs w:val="20"/>
        </w:rPr>
        <w:t>(2013)</w:t>
      </w:r>
      <w:r w:rsidRPr="001C6717">
        <w:rPr>
          <w:sz w:val="20"/>
          <w:szCs w:val="20"/>
        </w:rPr>
        <w:fldChar w:fldCharType="end"/>
      </w:r>
      <w:r w:rsidRPr="001C6717">
        <w:rPr>
          <w:sz w:val="20"/>
          <w:szCs w:val="20"/>
        </w:rPr>
        <w:t xml:space="preserve">, that reduces interference from the sequences of the gene of interest, resulting in reproducible promoter activities. Promoter libraries are routinely constructed to generate a set of promoters with defined activities generated to provide reference expression activities </w:t>
      </w:r>
      <w:r w:rsidRPr="001C6717">
        <w:rPr>
          <w:sz w:val="20"/>
          <w:szCs w:val="20"/>
        </w:rPr>
        <w:fldChar w:fldCharType="begin" w:fldLock="1"/>
      </w:r>
      <w:r>
        <w:rPr>
          <w:sz w:val="20"/>
          <w:szCs w:val="20"/>
        </w:rPr>
        <w:instrText>ADDIN CSL_CITATION {"citationItems":[{"id":"ITEM-1","itemData":{"DOI":"10.1111/j.1432-1033.1993.tb19885.x","ISSN":"14321033","PMID":"8425528","abstract":"For control analysis, it is necessary to modulate the activity of an enzyme around its normal level and measure the changes in steady‐state fluxes or concentrations. We describe an improved method for effecting the modulation, as elaborated for Escherichia coli. The chromosomal gene, encoding the enzyme of interest, is put under the control of a lacUV5 or a tacI promoter. The alternative use of the two promoters leads to an expression range which should make it suitable for the use in control analysis of many enzymes. The lacUV5 promoter should be used when the wild‐type expression level is low, the tacI promoter when the latter is high. The endogenous lac operon is placed under the control of a second copy of the lacUV5 promoter and a lac Yam mutation (eliminating lactose permease, the transport system for the inducer isopropyl‐thio‐β‐D‐galactoside) is introduced. The method was demonstrated experimentally by constructing E. coli strains, in which the chromosomal atp operon is transcribed from the lacUV5 and the tacI promoter. We measured the concentration of the c subunit of H+‐ATPase, and found that the expression of this enzyme could be modulated between non‐detectable levels and up to five times the wild‐type level. Thus, in the absence of inducer, no expression of atp genes could be detected when the atp operon was controlled by the lacUV5 promoter, and we estimate that the expression was less than 0.0025 times the wild‐type level. We show that the introduction of a lac Y mutation facilitated the attainment of steady induction levels of partially induced cells. The mutation also reduced positive cooperativity in the dependence of expression on the concentration of isopropyl‐thio‐β‐D‐galactoside (the inducer) and shifted the concentration of inducer needed for half maximum induction to higher values. These properties should facilitate the experimental modulation of the enzyme activity by varying the concentration of the inducer. Copyright © 1993, Wiley Blackwell. All rights reserved","author":[{"dropping-particle":"","family":"Jensen","given":"Peter Ruhdal","non-dropping-particle":"","parse-names":false,"suffix":""},{"dropping-particle":"V.","family":"Wersterhoff","given":"Hans","non-dropping-particle":"","parse-names":false,"suffix":""},{"dropping-particle":"","family":"Michelsen","given":"Ole","non-dropping-particle":"","parse-names":false,"suffix":""}],"container-title":"European Journal of Biochemistry","id":"ITEM-1","issue":"1-2","issued":{"date-parts":[["1993"]]},"page":"181-191","publisher":"Eur J Biochem","title":"The use of lac‐type promoters in control analysis","type":"article-journal","volume":"211"},"uris":["http://www.mendeley.com/documents/?uuid=c6e1fa02-d13a-31b7-afd9-d4e5d2d3c2b0"]},{"id":"ITEM-2","itemData":{"DOI":"10.1073/pnas.0504604102","ISSN":"0027-8424","PMID":"16123130","abstract":"Gene function is typically evaluated by sampling the continuum of gene expression at only a few discrete points corresponding to gene knockout or overexpression. We argue that this characterization is incomplete and present a library of engineered promoters of varying strengths obtained through mutagenesis of a constitutive promoter. A multifaceted characterization of the library, especially at the single-cell level to ensure homogeneity, permitted quantitative assessment correlating the effect of gene expression levels to improved growth and product formation phenotypes in Escherichia coli. Integration of these promoters into the chromosome can allow for a quantitative accurate assessment of genetic control. To this end, we used the characterized library of promoters to assess the impact of phosphoenolpyruvate carboxylase levels on growth yield and deoxy-xylulose-P synthase levels on lycopene production. The multifaceted characterization of promoter strength enabled identification of optimal expression levels for ppc and dxs, which maximized the desired phenotype. Additionally, in a strain preengineered to produce lycopene, the response to deoxy-xylulose-P synthase levels was linear at all levels tested, indicative of a rate-limiting step, unlike the parental strain, which exhibited an optimum expression level, illustrating that optimal gene expression levels are variable and dependent on the genetic background of the strain. This promoter library concept is illustrated as being generalizable to eukaryotic organisms (Saccharomyces cerevisiae) and thus constitutes an integral platform for functional genomics, synthetic biology, and metabolic engineering endeavors. © 2005 by The National Academy of Sciences of the USA.","author":[{"dropping-particle":"","family":"Alper","given":"Hal","non-dropping-particle":"","parse-names":false,"suffix":""},{"dropping-particle":"","family":"Fischer","given":"Curt","non-dropping-particle":"","parse-names":false,"suffix":""},{"dropping-particle":"","family":"Nevoigt","given":"Elke","non-dropping-particle":"","parse-names":false,"suffix":""},{"dropping-particle":"","family":"Stephanopoulos","given":"Gregory","non-dropping-particle":"","parse-names":false,"suffix":""}],"container-title":"Proceedings of the National Academy of Sciences","id":"ITEM-2","issue":"36","issued":{"date-parts":[["2005","9","6"]]},"page":"12678-12683","publisher":"National Academy of Sciences","title":"Tuning genetic control through promoter engineering","type":"article-journal","volume":"102"},"uris":["http://www.mendeley.com/documents/?uuid=7034564d-2d04-3eff-9d6e-a0e95367fa10"]},{"id":"ITEM-3","itemData":{"DOI":"10.1016/j.tibtech.2005.12.003","ISSN":"01677799","PMID":"16406119","abstract":"The study of gene function often requires changing the expression of a gene and evaluating the consequences. In principle, the expression of any given gene can be modulated in a quasi-continuum of discrete expression levels but the traditional approaches are usually limited to two extremes: gene knockout and strong overexpression. However, applications such as metabolic optimization and control analysis necessitate a continuous set of expression levels with only slight increments in strength to cover a specific window around the wild-type expression level of the studied gene; this requirement can be met by using promoter libraries. This approach generally consists of inserting a library of promoters in front of the gene to be studied, whereby the individual promoters might deviate either in their spacer sequences or bear slight deviations from the consensus sequence of a vegetative promoter. Here, we describe the two different methods for obtaining promoter libraries and compare their applicability. © 2005 Elsevier Ltd. All rights reserved.","author":[{"dropping-particle":"","family":"Hammer","given":"Karin","non-dropping-particle":"","parse-names":false,"suffix":""},{"dropping-particle":"","family":"Mijakovic","given":"Ivan","non-dropping-particle":"","parse-names":false,"suffix":""},{"dropping-particle":"","family":"Jensen","given":"Peter Ruhdal","non-dropping-particle":"","parse-names":false,"suffix":""}],"container-title":"Trends in Biotechnology","id":"ITEM-3","issue":"2","issued":{"date-parts":[["2006"]]},"page":"53-55","publisher":"Elsevier Ltd","title":"Synthetic promoter libraries - Tuning of gene expression","type":"article","volume":"24"},"uris":["http://www.mendeley.com/documents/?uuid=bb02f235-5935-3d2d-b536-8a6c6543e423"]},{"id":"ITEM-4","itemData":{"DOI":"10.1186/1475-2859-12-26","ISSN":"14752859","PMID":"23506076","abstract":"Background: Production of recombinant proteins in bacteria for academic and commercial purposes is a well established field; however the outcomes of process developments for specific proteins are still often unpredictable. One reason is the limited understanding of the performance of expression cassettes relative to each other due to different genetic contexts. Here we report the results of a systematic study aiming at exclusively comparing commonly used regulator/promoter systems by standardizing the designs of the replicon backbones.Results: The vectors used in this study are based on either the RK2- or the pMB1- origin of replication and contain the regulator/promoter regions of XylS/Pm (wild-type), XylS/Pm ML1-17 (a Pm variant), LacI/PT7lac, LacI/Ptrc and AraC/PBAD to control expression of different proteins with various origins. Generally and not unexpected high expression levels correlate with high replicon copy number and the LacI/PT7lac system generates more transcript than all the four other cassettes. However, this transcriptional feature does not always lead to a correspondingly more efficient protein production, particularly if protein functionality is considered. In most cases the XylS/Pm ML1-17 and LacI/PT7lac systems gave rise to the highest amounts of functional protein production, and the XylS/Pm ML1-17 is the most flexible in the sense that it does not require any specific features of the host. The AraC/PBAD system is very good with respect to tightness, and a commonly used bioinformatics prediction tool (RBS calculator) suggested that it has the most translation-efficient UTR. Expression was also studied by flow cytometry in individual cells, and the results indicate that cell to cell heterogeneity is very relevant for understanding protein production at the population level.Conclusions: The choice of expression system needs to be evaluated for each specific case, but we believe that the standardized vectors developed for this study can be used to more easily identify the nature of case-specific bottlenecks. By then taking into account the relevant characteristics of each expression cassette it will be easier to make the best choice with respect to the goal of achieving high levels of protein expression in functional or non-functional form. © 2013 Balzer et al.; licensee BioMed Central Ltd.","author":[{"dropping-particle":"","family":"Balzer","given":"Simone","non-dropping-particle":"","parse-names":false,"suffix":""},{"dropping-particle":"","family":"Kucharova","given":"Veronika","non-dropping-particle":"","parse-names":false,"suffix":""},{"dropping-particle":"","family":"Megerle","given":"Judith","non-dropping-particle":"","parse-names":false,"suffix":""},{"dropping-particle":"","family":"Lale","given":"Rahmi","non-dropping-particle":"","parse-names":false,"suffix":""},{"dropping-particle":"","family":"Brautaset","given":"Trygve","non-dropping-particle":"","parse-names":false,"suffix":""},{"dropping-particle":"","family":"Valla","given":"Svein","non-dropping-particle":"","parse-names":false,"suffix":""}],"container-title":"Microbial Cell Factories","id":"ITEM-4","issue":"1","issued":{"date-parts":[["2013","3","18"]]},"page":"26","publisher":"BioMed Central","title":"A comparative analysis of the properties of regulated promoter systems commonly used for recombinant gene expression in Escherichia coli","type":"article-journal","volume":"12"},"uris":["http://www.mendeley.com/documents/?uuid=7ca8155a-9007-3a02-b502-3de249549e5d"]},{"id":"ITEM-5","itemData":{"DOI":"10.3389/fbioe.2020.00551","ISSN":"2296-4185","abstract":"Understanding the composability of genetic elements is central to synthetic biology. Even for seemingly well-known elements such as a sigma 70 promoter the genetic context-dependent variability of promoter activity remains poorly understood. The lack of understanding of sequence to function results in highly limited de novo design of novel genetic element combinations. To address this issue, we characterized in detail concatenated “stacked” synthetic promoters including varying spacer sequence lengths and compared the transcription strength to the output of the individual promoters. The proxy for promoter activity, the msfGFP synthesis from stacked promoters was consistently lower than expected from the sum of the activities of the single promoters. While the spacer sequence itself had no activity, it drastically affected promoter activities when placed up- or downstream of a promoter. Single promoter-spacer combinations revealed a bivalent effect on msfGFP synthesis. By systematic anal</w:instrText>
      </w:r>
      <w:r w:rsidRPr="006E529C">
        <w:rPr>
          <w:sz w:val="20"/>
          <w:szCs w:val="20"/>
          <w:lang w:val="de-DE"/>
        </w:rPr>
        <w:instrText>ysis of promoter and spacer combinations, a semi-empirical correlation was developed to determine the combined activity of stacked promoters.","author":[{"dropping-particle":"","family":"Köbbing","given":"Sebastian","non-dropping-particle":"","parse-names":false,"suffix":""},{"dropping-particle":"","family":"Blank","given":"Lars M.","non-dropping-particle":"","parse-names":false,"suffix":""},{"dropping-particle":"","family":"Wierckx","given":"Nick","non-dropping-particle":"","parse-names":false,"suffix":""}],"container-title":"Frontiers in Bioengineering and Biotechnology","id":"ITEM-5","issued":{"date-parts":[["2020","6","12"]]},"page":"551","publisher":"Frontiers Media S.A.","title":"Characterization of Context-Dependent Effects on Synthetic Promoters","type":"article-journal","volume":"8"},"uris":["http://www.mendeley.com/documents/?uuid=b16d3437-ee04-35b7-865d-bd86859b699e"]}],"mendeley":{"formattedCitation":"(Jensen &lt;i&gt;et al.&lt;/i&gt;, 1993; Alper &lt;i&gt;et al.&lt;/i&gt;, 2005; Hammer &lt;i&gt;et al.&lt;/i&gt;, 2006; Balzer &lt;i&gt;et al.&lt;/i&gt;, 2013; Köbbing &lt;i&gt;et al.&lt;/i&gt;, 2020)","plainTextFormattedCitation":"(Jensen et al., 1993; Alper et al., 2005; Hammer et al., 2006; Balzer et al., 2013; Köbbing et al., 2020)","previouslyFormattedCitation":"(Jensen &lt;i&gt;et al.&lt;/i&gt;, 1993; Alper &lt;i&gt;et al.&lt;/i&gt;, 2005; Hammer &lt;i&gt;et al.&lt;/i&gt;, 2006; Balzer &lt;i&gt;et al.&lt;/i&gt;, 2013; Köbbing &lt;i&gt;et al.&lt;/i&gt;, 2020)"},"properties":{"noteIndex":0},"schema":"https://github.com/citation-style-language/schema/raw/master/csl-citation.json"}</w:instrText>
      </w:r>
      <w:r w:rsidRPr="001C6717">
        <w:rPr>
          <w:sz w:val="20"/>
          <w:szCs w:val="20"/>
        </w:rPr>
        <w:fldChar w:fldCharType="separate"/>
      </w:r>
      <w:r w:rsidRPr="006E529C">
        <w:rPr>
          <w:noProof/>
          <w:sz w:val="20"/>
          <w:szCs w:val="20"/>
          <w:lang w:val="de-DE"/>
        </w:rPr>
        <w:t xml:space="preserve">(Jensen </w:t>
      </w:r>
      <w:r w:rsidRPr="006E529C">
        <w:rPr>
          <w:i/>
          <w:noProof/>
          <w:sz w:val="20"/>
          <w:szCs w:val="20"/>
          <w:lang w:val="de-DE"/>
        </w:rPr>
        <w:t>et al.</w:t>
      </w:r>
      <w:r w:rsidRPr="006E529C">
        <w:rPr>
          <w:noProof/>
          <w:sz w:val="20"/>
          <w:szCs w:val="20"/>
          <w:lang w:val="de-DE"/>
        </w:rPr>
        <w:t xml:space="preserve">, 1993; Alper </w:t>
      </w:r>
      <w:r w:rsidRPr="006E529C">
        <w:rPr>
          <w:i/>
          <w:noProof/>
          <w:sz w:val="20"/>
          <w:szCs w:val="20"/>
          <w:lang w:val="de-DE"/>
        </w:rPr>
        <w:t>et al.</w:t>
      </w:r>
      <w:r w:rsidRPr="006E529C">
        <w:rPr>
          <w:noProof/>
          <w:sz w:val="20"/>
          <w:szCs w:val="20"/>
          <w:lang w:val="de-DE"/>
        </w:rPr>
        <w:t xml:space="preserve">, 2005; Hammer </w:t>
      </w:r>
      <w:r w:rsidRPr="006E529C">
        <w:rPr>
          <w:i/>
          <w:noProof/>
          <w:sz w:val="20"/>
          <w:szCs w:val="20"/>
          <w:lang w:val="de-DE"/>
        </w:rPr>
        <w:t>et al.</w:t>
      </w:r>
      <w:r w:rsidRPr="006E529C">
        <w:rPr>
          <w:noProof/>
          <w:sz w:val="20"/>
          <w:szCs w:val="20"/>
          <w:lang w:val="de-DE"/>
        </w:rPr>
        <w:t xml:space="preserve">, 2006; Balzer </w:t>
      </w:r>
      <w:r w:rsidRPr="006E529C">
        <w:rPr>
          <w:i/>
          <w:noProof/>
          <w:sz w:val="20"/>
          <w:szCs w:val="20"/>
          <w:lang w:val="de-DE"/>
        </w:rPr>
        <w:t>et al.</w:t>
      </w:r>
      <w:r w:rsidRPr="006E529C">
        <w:rPr>
          <w:noProof/>
          <w:sz w:val="20"/>
          <w:szCs w:val="20"/>
          <w:lang w:val="de-DE"/>
        </w:rPr>
        <w:t xml:space="preserve">, 2013; Köbbing </w:t>
      </w:r>
      <w:r w:rsidRPr="006E529C">
        <w:rPr>
          <w:i/>
          <w:noProof/>
          <w:sz w:val="20"/>
          <w:szCs w:val="20"/>
          <w:lang w:val="de-DE"/>
        </w:rPr>
        <w:t>et al.</w:t>
      </w:r>
      <w:r w:rsidRPr="006E529C">
        <w:rPr>
          <w:noProof/>
          <w:sz w:val="20"/>
          <w:szCs w:val="20"/>
          <w:lang w:val="de-DE"/>
        </w:rPr>
        <w:t>, 2020)</w:t>
      </w:r>
      <w:r w:rsidRPr="001C6717">
        <w:rPr>
          <w:sz w:val="20"/>
          <w:szCs w:val="20"/>
        </w:rPr>
        <w:fldChar w:fldCharType="end"/>
      </w:r>
      <w:r w:rsidRPr="006E529C">
        <w:rPr>
          <w:sz w:val="20"/>
          <w:szCs w:val="20"/>
          <w:lang w:val="de-DE"/>
        </w:rPr>
        <w:t xml:space="preserve">. </w:t>
      </w:r>
      <w:r w:rsidRPr="001C6717">
        <w:rPr>
          <w:sz w:val="20"/>
          <w:szCs w:val="20"/>
        </w:rPr>
        <w:t xml:space="preserve">For example, </w:t>
      </w:r>
      <w:proofErr w:type="spellStart"/>
      <w:r w:rsidRPr="001C6717">
        <w:rPr>
          <w:sz w:val="20"/>
          <w:szCs w:val="20"/>
        </w:rPr>
        <w:t>Meng</w:t>
      </w:r>
      <w:proofErr w:type="spellEnd"/>
      <w:r w:rsidRPr="001C6717">
        <w:rPr>
          <w:sz w:val="20"/>
          <w:szCs w:val="20"/>
        </w:rPr>
        <w:t xml:space="preserve"> </w:t>
      </w:r>
      <w:r w:rsidRPr="001C6717">
        <w:rPr>
          <w:i/>
          <w:iCs/>
          <w:sz w:val="20"/>
          <w:szCs w:val="20"/>
        </w:rPr>
        <w:t>et al</w:t>
      </w:r>
      <w:r w:rsidRPr="001C6717">
        <w:rPr>
          <w:sz w:val="20"/>
          <w:szCs w:val="20"/>
        </w:rPr>
        <w:t xml:space="preserve">. </w:t>
      </w:r>
      <w:r w:rsidRPr="001C6717">
        <w:rPr>
          <w:sz w:val="20"/>
          <w:szCs w:val="20"/>
        </w:rPr>
        <w:fldChar w:fldCharType="begin" w:fldLock="1"/>
      </w:r>
      <w:r w:rsidRPr="001C6717">
        <w:rPr>
          <w:sz w:val="20"/>
          <w:szCs w:val="20"/>
        </w:rPr>
        <w:instrText>ADDIN CSL_CITATION {"citationItems":[{"id":"ITEM-1","itemData":{"DOI":"10.1371/journal.pone.0060288","ISSN":"1932-6203","abstract":"Accurate and controllable regulatory elements such as promoters and ribosome binding sites (RBSs) are indispensable tools to quantitatively regulate gene expression for rational pathway engineering. Therefore, de novo designing regulatory elements is brought back to the forefront of synthetic biology research. Here we developed a quantitative design method for regulatory elements based on strength prediction using artificial neural network (ANN). One hundred mutated Trc promoter &amp; RBS sequences, which were finely characterized with a strength distribution from 0 to 3.559 (relative to the strength of the original sequence which was defined as 1), were used for model training and test. A precise strength prediction model, NET90_19_576, was finally constructed with high regression correlation coefficients of 0.98 for both model training and test. Sixteen artificial elements were in silico designed using this model. All of them were proved to have good consistency between the measured strength and our desired strength. The functional reliability of the designed elements was validated in two different genetic contexts. The designed parts were successfully utilized to improve the expression of BmK1 peptide toxin and fine-tune deoxy-xylulose phosphate pathway in Escherichia coli. Our results demonstrate that the methodology based on ANN model can de novo and quantitatively design regulatory elements with desired strengths, which are of great importance for synthetic biology applications.","author":[{"dropping-particle":"","family":"Meng","given":"Hailin","non-dropping-particle":"","parse-names":false,"suffix":""},{"dropping-particle":"","family":"Wang","given":"Jianfeng","non-dropping-particle":"","parse-names":false,"suffix":""},{"dropping-particle":"","family":"Xiong","given":"Zhiqiang","non-dropping-particle":"","parse-names":false,"suffix":""},{"dropping-particle":"","family":"Xu","given":"Feng","non-dropping-particle":"","parse-names":false,"suffix":""},{"dropping-particle":"","family":"Zhao","given":"Guoping","non-dropping-particle":"","parse-names":false,"suffix":""},{"dropping-particle":"","family":"Wang","given":"Yong","non-dropping-particle":"","parse-names":false,"suffix":""}],"container-title":"PLoS ONE","editor":[{"dropping-particle":"","family":"Semsey","given":"Szabolcs","non-dropping-particle":"","parse-names":false,"suffix":""}],"id":"ITEM-1","issue":"4","issued":{"date-parts":[["2013","4","1"]]},"page":"e60288","publisher":"Public Library of Science","title":"Quantitative Design of Regulatory Elements Based on High-Precision Strength Prediction Using Artificial Neural Network","type":"article-journal","volume":"8"},"suppress-author":1,"uris":["http://www.mendeley.com/documents/?uuid=703bd0d6-4a22-3ad8-80b4-348741edc9ac"]},{"id":"ITEM-2","itemData":{"DOI":"10.1007/s40484-017-0096-3","abstract":"Background\r\nThe prediction of the prokaryotic promoter strength based on its sequence is of great importance not only in the fundamental research of life sciences but also in the applied aspect of synthetic biology. Much advance has been made to build quantitative models for strength prediction, especially the introduction of machine learning methods such as artificial neural network (ANN) has significantly improve the prediction accuracy. As one of the most important machine learning methods, support vector machine (SVM) is more powerful to learn knowledge from small sample dataset and thus supposed to work in this problem.\r\nMethods\r\nTo confirm this, we constructed SVM based models to quantitatively predict the promoter strength. A library of 100 promoter sequences and strength values was randomly divided into two datasets, including a training set (</w:instrText>
      </w:r>
      <w:r w:rsidRPr="001C6717">
        <w:rPr>
          <w:rFonts w:ascii="Cambria Math" w:hAnsi="Cambria Math" w:cs="Cambria Math"/>
          <w:sz w:val="20"/>
          <w:szCs w:val="20"/>
        </w:rPr>
        <w:instrText>⩾</w:instrText>
      </w:r>
      <w:r w:rsidRPr="001C6717">
        <w:rPr>
          <w:sz w:val="20"/>
          <w:szCs w:val="20"/>
        </w:rPr>
        <w:instrText>10 sequences) for model training and a test set (</w:instrText>
      </w:r>
      <w:r w:rsidRPr="001C6717">
        <w:rPr>
          <w:rFonts w:ascii="Cambria Math" w:hAnsi="Cambria Math" w:cs="Cambria Math"/>
          <w:sz w:val="20"/>
          <w:szCs w:val="20"/>
        </w:rPr>
        <w:instrText>⩾</w:instrText>
      </w:r>
      <w:r w:rsidRPr="001C6717">
        <w:rPr>
          <w:sz w:val="20"/>
          <w:szCs w:val="20"/>
        </w:rPr>
        <w:instrText>10 sequences) for model test.\r\nResults\r\nThe results indicate that the prediction performance increases with an increase of the size of training set, and the best performance was achieved at the size of 90 sequences. After optimization of the model parameters, a high-performance model was finally trained, with a high squared correlation coefficient for fitting the training set (R2 &gt; 0.99) and the test set (R2 &gt; 0.98), both of which are better than that of ANN obtained by our previous work.","author":[{"dropping-particle":"","family":"Meng","given":"Hailin","non-dropping-particle":"","parse-names":false,"suffix":""},{"dropping-particle":"","family":"Ma","given":"Yingfei","non-dropping-particle":"","parse-names":false,"suffix":""},{"dropping-particle":"","family":"Mai","given":"Guoqin","non-dropping-particle":"","parse-names":false,"suffix":""},{"dropping-particle":"","family":"Wang","given":"Yong","non-dropping-particle":"","parse-names":false,"suffix":""},{"dropping-particle":"","family":"Liu","given":"Chenli","non-dropping-particle":"","parse-names":false,"suffix":""}],"container-title":"Quantitative Biology","id":"ITEM-2","issue":"1","issued":{"date-parts":[["2017"]]},"page":"90-98","publisher":"Springer","title":"Construction of precise support vector machine based models for predicting promoter strength","type":"article-journal","volume":"5"},"suppress-author":1,"uris":["http://www.mendeley.com/documents/?uuid=011a031c-7dcc-3940-a1c1-d33f91237d2c"]}],"mendeley":{"formattedCitation":"(2013, 2017)","plainTextFormattedCitation":"(2013, 2017)","previouslyFormattedCitation":"(2013, 2017)"},"properties":{"noteIndex":0},"schema":"https://github.com/citation-style-language/schema/raw/master/csl-citation.json"}</w:instrText>
      </w:r>
      <w:r w:rsidRPr="001C6717">
        <w:rPr>
          <w:sz w:val="20"/>
          <w:szCs w:val="20"/>
        </w:rPr>
        <w:fldChar w:fldCharType="separate"/>
      </w:r>
      <w:r w:rsidRPr="001C6717">
        <w:rPr>
          <w:noProof/>
          <w:sz w:val="20"/>
          <w:szCs w:val="20"/>
        </w:rPr>
        <w:t>(2013, 2017)</w:t>
      </w:r>
      <w:r w:rsidRPr="001C6717">
        <w:rPr>
          <w:sz w:val="20"/>
          <w:szCs w:val="20"/>
        </w:rPr>
        <w:fldChar w:fldCharType="end"/>
      </w:r>
      <w:r w:rsidRPr="001C6717">
        <w:rPr>
          <w:sz w:val="20"/>
          <w:szCs w:val="20"/>
        </w:rPr>
        <w:t xml:space="preserve"> analyzed 98 </w:t>
      </w:r>
      <w:r w:rsidRPr="001C6717">
        <w:rPr>
          <w:rFonts w:ascii="Symbol" w:hAnsi="Symbol"/>
          <w:sz w:val="20"/>
          <w:szCs w:val="20"/>
        </w:rPr>
        <w:t></w:t>
      </w:r>
      <w:r w:rsidRPr="001C6717">
        <w:rPr>
          <w:sz w:val="20"/>
          <w:szCs w:val="20"/>
          <w:vertAlign w:val="superscript"/>
        </w:rPr>
        <w:t>70</w:t>
      </w:r>
      <w:r w:rsidRPr="001C6717">
        <w:rPr>
          <w:sz w:val="20"/>
          <w:szCs w:val="20"/>
        </w:rPr>
        <w:t xml:space="preserve"> promoter sequences and fine-tuned heterologous expression with predicted synthetic promoters. The same system was analyzed by Zhao et al. </w:t>
      </w:r>
      <w:r w:rsidRPr="001C6717">
        <w:rPr>
          <w:sz w:val="20"/>
          <w:szCs w:val="20"/>
        </w:rPr>
        <w:fldChar w:fldCharType="begin" w:fldLock="1"/>
      </w:r>
      <w:r w:rsidRPr="001C6717">
        <w:rPr>
          <w:sz w:val="20"/>
          <w:szCs w:val="20"/>
        </w:rPr>
        <w:instrText>ADDIN CSL_CITATION {"citationItems":[{"id":"ITEM-1","itemData":{"DOI":"10.1101/2020.06.25.170365","abstract":"Promoters are one of the most critical regulatory elements controlling metabolic pathways. However, in recent years, researchers have simply perfected promoter strength, but ignored the relationship between the internal sequences and promoter strength. In this context, we constructed and characterized a mutant promoter library of Ptrc through dozens of mutation-construction-screening-characterization engineering cycles. After excluding invalid mutation sites, we established a synthetic promoter library, which consisted of 3665 different variants, displaying an intensity range of more than two orders of magnitude. The strongest variant was 1.52-fold stronger than a 1 mM isopropyl-β-D-thiogalactoside driven PT7 promoter. Our synthetic promoter library exhibited superior applicability when expressing different reporters, in both plasmids and the genome. Different machine learning models were built and optimized to explore relationships between the promoter sequences and transcriptional strength. Finally, our XgBoost model exhibited optimal performance, and we utilized this approach to precisely predict the strength of artificially designed promoter sequences. Our work provides a powerful platform that enables the predictable tuning of promoters to achieve the optimal transcriptional strength.Competing Interest StatementThe authors have declared no competing interest.","author":[{"dropping-particle":"","family":"Zhao","given":"Mei","non-dropping-particle":"","parse-names":false,"suffix":""},{"dropping-particle":"","family":"Zhou","given":"Shenghu","non-dropping-particle":"","parse-names":false,"suffix":""},{"dropping-particle":"","family":"Wu","given":"Longtao","non-dropping-particle":"","parse-names":false,"suffix":""},{"dropping-particle":"","family":"Deng","given":"Yu","non-dropping-particle":"","parse-names":false,"suffix":""}],"container-title":"bioRxiv","id":"ITEM-1","issued":{"date-parts":[["2020","1","1"]]},"page":"2020.06.25.170365","title":"Machine learning-based promoter strength prediction derived from a fine-tuned synthetic promoter library in &amp;lt;em&amp;gt;Escherichia coli&amp;lt;/em&amp;gt;","type":"article-journal"},"suppress-author":1,"uris":["http://www.mendeley.com/documents/?uuid=dbec943e-edfb-4e88-8a3a-3ab3a175784c"]}],"mendeley":{"formattedCitation":"(2020)","plainTextFormattedCitation":"(2020)","previouslyFormattedCitation":"(2020)"},"properties":{"noteIndex":0},"schema":"https://github.com/citation-style-language/schema/raw/master/csl-citation.json"}</w:instrText>
      </w:r>
      <w:r w:rsidRPr="001C6717">
        <w:rPr>
          <w:sz w:val="20"/>
          <w:szCs w:val="20"/>
        </w:rPr>
        <w:fldChar w:fldCharType="separate"/>
      </w:r>
      <w:r w:rsidRPr="001C6717">
        <w:rPr>
          <w:noProof/>
          <w:sz w:val="20"/>
          <w:szCs w:val="20"/>
        </w:rPr>
        <w:t>(2020)</w:t>
      </w:r>
      <w:r w:rsidRPr="001C6717">
        <w:rPr>
          <w:sz w:val="20"/>
          <w:szCs w:val="20"/>
        </w:rPr>
        <w:fldChar w:fldCharType="end"/>
      </w:r>
      <w:r w:rsidRPr="001C6717">
        <w:rPr>
          <w:sz w:val="20"/>
          <w:szCs w:val="20"/>
        </w:rPr>
        <w:t xml:space="preserve"> with over 3500 promoter sequences. In </w:t>
      </w:r>
      <w:r w:rsidRPr="001C6717">
        <w:rPr>
          <w:i/>
          <w:iCs/>
          <w:sz w:val="20"/>
          <w:szCs w:val="20"/>
        </w:rPr>
        <w:t>Bacillus subtilis</w:t>
      </w:r>
      <w:r w:rsidRPr="001C6717">
        <w:rPr>
          <w:sz w:val="20"/>
          <w:szCs w:val="20"/>
        </w:rPr>
        <w:t xml:space="preserve"> Liu </w:t>
      </w:r>
      <w:r w:rsidRPr="001C6717">
        <w:rPr>
          <w:i/>
          <w:iCs/>
          <w:sz w:val="20"/>
          <w:szCs w:val="20"/>
        </w:rPr>
        <w:t>et al</w:t>
      </w:r>
      <w:r w:rsidRPr="001C6717">
        <w:rPr>
          <w:sz w:val="20"/>
          <w:szCs w:val="20"/>
        </w:rPr>
        <w:t xml:space="preserve">. (2018) employed a synthetic promoter library with 214 sequences to fine-tune pathway activity for metabolite overproduction. To facilitate metabolic engineering in </w:t>
      </w:r>
      <w:proofErr w:type="spellStart"/>
      <w:r w:rsidRPr="001C6717">
        <w:rPr>
          <w:i/>
          <w:iCs/>
          <w:sz w:val="20"/>
          <w:szCs w:val="20"/>
        </w:rPr>
        <w:t>Geobacillus</w:t>
      </w:r>
      <w:proofErr w:type="spellEnd"/>
      <w:r w:rsidRPr="001C6717">
        <w:rPr>
          <w:i/>
          <w:iCs/>
          <w:sz w:val="20"/>
          <w:szCs w:val="20"/>
        </w:rPr>
        <w:t xml:space="preserve"> </w:t>
      </w:r>
      <w:proofErr w:type="spellStart"/>
      <w:r w:rsidRPr="001C6717">
        <w:rPr>
          <w:i/>
          <w:iCs/>
          <w:sz w:val="20"/>
          <w:szCs w:val="20"/>
        </w:rPr>
        <w:t>thermoglucosidasius</w:t>
      </w:r>
      <w:proofErr w:type="spellEnd"/>
      <w:r w:rsidRPr="001C6717">
        <w:rPr>
          <w:sz w:val="20"/>
          <w:szCs w:val="20"/>
        </w:rPr>
        <w:t xml:space="preserve">, a library with 80 sequences was tested for both the expression of GFP and </w:t>
      </w:r>
      <w:proofErr w:type="spellStart"/>
      <w:r w:rsidRPr="001C6717">
        <w:rPr>
          <w:sz w:val="20"/>
          <w:szCs w:val="20"/>
        </w:rPr>
        <w:t>mOrange</w:t>
      </w:r>
      <w:proofErr w:type="spellEnd"/>
      <w:r w:rsidRPr="001C6717">
        <w:rPr>
          <w:sz w:val="20"/>
          <w:szCs w:val="20"/>
        </w:rPr>
        <w:t xml:space="preserve"> </w:t>
      </w:r>
      <w:r w:rsidRPr="001C6717">
        <w:rPr>
          <w:sz w:val="20"/>
          <w:szCs w:val="20"/>
        </w:rPr>
        <w:fldChar w:fldCharType="begin" w:fldLock="1"/>
      </w:r>
      <w:r w:rsidRPr="001C6717">
        <w:rPr>
          <w:sz w:val="20"/>
          <w:szCs w:val="20"/>
        </w:rPr>
        <w:instrText>ADDIN CSL_CITATION {"citationItems":[{"id":"ITEM-1","itemData":{"DOI":"10.1021/acssynbio.9b00061","ISSN":"2161-5063","abstract":"Well-characterized promoter collections for synthetic biology applications are not always available in industrially relevant hosts. We developed a broadly applicable method for promoter identification in atypical microbial hosts that requires no a priori understanding of cis-regulatory element structure. This novel approach combines bioinformatic filtering with rapid empirical characterization to expand the promoter toolkit and uses machine learning to improve the understanding of the relationship between DNA sequence and function. Here, we apply the method in Geobacillus thermoglucosidasius, a thermophilic organism with high potential as a synthetic biology chassis for industrial applications. Bioinformatic screening of G. kaustophilus, G. stearothermophilus, G. thermodenitrificans, and G. thermoglucosidasius resulted in the identification of 636 100 bp putative promoters, encompassing the genome-wide design space and lacking known transcription factor binding sites. Eighty of these sequences were characterized in vivo, and activities covered a 2-log range of predictable expression levels. Seven sequences were shown to function consistently regardless of the downstream coding sequence. Partition modeling identified sequence positions upstream of the canonical −35 and −10 consensus motifs that were predicted to strongly influence regulatory activity in Geobacillus, and artificial neural network and partial least squares regression models were derived to assess if there were a simple, forward, quantitative method for in silico prediction of promoter function. However, the models were insufficiently general to predict pre hoc promoter activity in vivo, most probably as a result of the relatively small size of the training data set compared to the size of the modeled design space.","author":[{"dropping-particle":"","family":"Gilman","given":"James","non-dropping-particle":"","parse-names":false,"suffix":""},{"dropping-particle":"","family":"Singleton","given":"Chloe","non-dropping-particle":"","parse-names":false,"suffix":""},{"dropping-particle":"","family":"Tennant","given":"Richard K","non-dropping-particle":"","parse-names":false,"suffix":""},{"dropping-particle":"","family":"James","given":"Paul","non-dropping-particle":"","parse-names":false,"suffix":""},{"dropping-particle":"","family":"Howard","given":"Thomas P","non-dropping-particle":"","parse-names":false,"suffix":""},{"dropping-particle":"","family":"Lux","given":"Thomas","non-dropping-particle":"","parse-names":false,"suffix":""},{"dropping-particle":"","family":"Parker","given":"David A","non-dropping-particle":"","parse-names":false,"suffix":""},{"dropping-particle":"","family":"Love","given":"John","non-dropping-particle":"","parse-names":false,"suffix":""}],"container-title":"ACS Synthetic Biology","id":"ITEM-1","issue":"5","issued":{"date-parts":[["2019","5","17"]]},"page":"1175-1186","publisher":"ACS Publications","title":"Rapid, Heuristic Discovery and Design of Promoter Collections in Non-Model Microbes for Industrial Applications","type":"article-journal","volume":"8"},"uris":["http://www.mendeley.com/documents/?uuid=6e744edb-f34c-39f7-a76c-aaef43b66672"]}],"mendeley":{"formattedCitation":"(Gilman &lt;i&gt;et al.&lt;/i&gt;, 2019)","plainTextFormattedCitation":"(Gilman et al., 2019)","previouslyFormattedCitation":"(Gilman &lt;i&gt;et al.&lt;/i&gt;, 2019)"},"properties":{"noteIndex":0},"schema":"https://github.com/citation-style-language/schema/raw/master/csl-citation.json"}</w:instrText>
      </w:r>
      <w:r w:rsidRPr="001C6717">
        <w:rPr>
          <w:sz w:val="20"/>
          <w:szCs w:val="20"/>
        </w:rPr>
        <w:fldChar w:fldCharType="separate"/>
      </w:r>
      <w:r w:rsidRPr="001C6717">
        <w:rPr>
          <w:noProof/>
          <w:sz w:val="20"/>
          <w:szCs w:val="20"/>
        </w:rPr>
        <w:t xml:space="preserve">(Gilman </w:t>
      </w:r>
      <w:r w:rsidRPr="001C6717">
        <w:rPr>
          <w:i/>
          <w:iCs/>
          <w:noProof/>
          <w:sz w:val="20"/>
          <w:szCs w:val="20"/>
        </w:rPr>
        <w:t>et al.</w:t>
      </w:r>
      <w:r w:rsidRPr="001C6717">
        <w:rPr>
          <w:noProof/>
          <w:sz w:val="20"/>
          <w:szCs w:val="20"/>
        </w:rPr>
        <w:t>, 2019)</w:t>
      </w:r>
      <w:r w:rsidRPr="001C6717">
        <w:rPr>
          <w:sz w:val="20"/>
          <w:szCs w:val="20"/>
        </w:rPr>
        <w:fldChar w:fldCharType="end"/>
      </w:r>
      <w:r w:rsidRPr="001C6717">
        <w:rPr>
          <w:sz w:val="20"/>
          <w:szCs w:val="20"/>
        </w:rPr>
        <w:t>. These libraries have been generated with a sample size to implement model-based sequence analysis and rational promoter development.</w:t>
      </w:r>
    </w:p>
    <w:p w:rsidR="006E529C" w:rsidRPr="001C6717" w:rsidRDefault="006E529C" w:rsidP="0021304E">
      <w:pPr>
        <w:pStyle w:val="para-first"/>
        <w:suppressAutoHyphens/>
        <w:spacing w:line="276" w:lineRule="auto"/>
        <w:ind w:firstLine="170"/>
        <w:rPr>
          <w:sz w:val="20"/>
          <w:szCs w:val="20"/>
        </w:rPr>
      </w:pPr>
      <w:r w:rsidRPr="001C6717">
        <w:rPr>
          <w:sz w:val="20"/>
          <w:szCs w:val="20"/>
        </w:rPr>
        <w:t>Cross-evaluation of promoter library analysis is impeded because of different tools and reporting standards. To unify the analysis and to provide a platform suitable for easy reconfiguration</w:t>
      </w:r>
      <w:r w:rsidR="00070238">
        <w:rPr>
          <w:sz w:val="20"/>
          <w:szCs w:val="20"/>
        </w:rPr>
        <w:t>,</w:t>
      </w:r>
      <w:r w:rsidRPr="001C6717">
        <w:rPr>
          <w:sz w:val="20"/>
          <w:szCs w:val="20"/>
        </w:rPr>
        <w:t xml:space="preserve"> we have developed a general workflow for promoter library analysis called the </w:t>
      </w:r>
      <w:r w:rsidRPr="001C6717">
        <w:rPr>
          <w:i/>
          <w:iCs/>
          <w:sz w:val="20"/>
          <w:szCs w:val="20"/>
        </w:rPr>
        <w:t>Exp2Ipynb</w:t>
      </w:r>
      <w:r w:rsidRPr="001C6717">
        <w:rPr>
          <w:sz w:val="20"/>
          <w:szCs w:val="20"/>
        </w:rPr>
        <w:t xml:space="preserve">. The </w:t>
      </w:r>
      <w:r w:rsidRPr="001C6717">
        <w:rPr>
          <w:i/>
          <w:iCs/>
          <w:sz w:val="20"/>
          <w:szCs w:val="20"/>
        </w:rPr>
        <w:t>Exp2Ipynb</w:t>
      </w:r>
      <w:r w:rsidRPr="001C6717">
        <w:rPr>
          <w:sz w:val="20"/>
          <w:szCs w:val="20"/>
        </w:rPr>
        <w:t xml:space="preserve"> is a Python Jupyter Notebooks and consists of workflows to (</w:t>
      </w:r>
      <w:proofErr w:type="spellStart"/>
      <w:r w:rsidRPr="001C6717">
        <w:rPr>
          <w:sz w:val="20"/>
          <w:szCs w:val="20"/>
        </w:rPr>
        <w:t>i</w:t>
      </w:r>
      <w:proofErr w:type="spellEnd"/>
      <w:r w:rsidRPr="001C6717">
        <w:rPr>
          <w:sz w:val="20"/>
          <w:szCs w:val="20"/>
        </w:rPr>
        <w:t xml:space="preserve">) generate a statistical overview to sequence and activity, (ii) train machine-learning algorithms for prediction and extraction of feature importance, (iii) evaluate the performance of the estimator, and (iv) to predict new sequences with defined activity. We tested the workflow on an existing promoter library for </w:t>
      </w:r>
      <w:r w:rsidRPr="001C6717">
        <w:rPr>
          <w:rFonts w:ascii="Symbol" w:hAnsi="Symbol"/>
          <w:sz w:val="20"/>
          <w:szCs w:val="20"/>
        </w:rPr>
        <w:t></w:t>
      </w:r>
      <w:r w:rsidRPr="001C6717">
        <w:rPr>
          <w:sz w:val="20"/>
          <w:szCs w:val="20"/>
          <w:vertAlign w:val="superscript"/>
        </w:rPr>
        <w:t>70</w:t>
      </w:r>
      <w:r w:rsidRPr="001C6717">
        <w:rPr>
          <w:sz w:val="20"/>
          <w:szCs w:val="20"/>
        </w:rPr>
        <w:t xml:space="preserve"> in </w:t>
      </w:r>
      <w:r w:rsidRPr="001C6717">
        <w:rPr>
          <w:i/>
          <w:iCs/>
          <w:sz w:val="20"/>
          <w:szCs w:val="20"/>
        </w:rPr>
        <w:t>Pseudomonas putida</w:t>
      </w:r>
      <w:r w:rsidRPr="0030256D">
        <w:rPr>
          <w:sz w:val="20"/>
          <w:szCs w:val="20"/>
        </w:rPr>
        <w:t xml:space="preserve"> KT2440</w:t>
      </w:r>
      <w:r w:rsidRPr="001C6717">
        <w:rPr>
          <w:sz w:val="20"/>
          <w:szCs w:val="20"/>
        </w:rPr>
        <w:t xml:space="preserve">, expanded by new measurements. The results revealed limitations of one-factor-at-a-time experimental designs for machine learning. Subsequently, we used six published libraries to compare their composition and the resulting machine learning performance. </w:t>
      </w:r>
    </w:p>
    <w:p w:rsidR="006E529C" w:rsidRDefault="006E529C" w:rsidP="006E529C">
      <w:pPr>
        <w:pStyle w:val="Heading1"/>
      </w:pPr>
      <w:r>
        <w:t>Workflow and implementation / Methods</w:t>
      </w:r>
    </w:p>
    <w:p w:rsidR="006E529C" w:rsidRPr="001C6717" w:rsidRDefault="006E529C" w:rsidP="00EC6F32">
      <w:pPr>
        <w:pStyle w:val="para-first"/>
        <w:spacing w:after="240" w:line="276" w:lineRule="auto"/>
        <w:rPr>
          <w:sz w:val="20"/>
          <w:szCs w:val="20"/>
        </w:rPr>
      </w:pPr>
      <w:r w:rsidRPr="3044033A">
        <w:rPr>
          <w:sz w:val="20"/>
          <w:szCs w:val="20"/>
        </w:rPr>
        <w:t xml:space="preserve">We constructed a workflow for the statistical analysis and training of machine learning models of genomic sequence data called </w:t>
      </w:r>
      <w:r w:rsidRPr="3044033A">
        <w:rPr>
          <w:i/>
          <w:iCs/>
          <w:sz w:val="20"/>
          <w:szCs w:val="20"/>
        </w:rPr>
        <w:t>Exp2Ipynb</w:t>
      </w:r>
      <w:r w:rsidRPr="3044033A">
        <w:rPr>
          <w:sz w:val="20"/>
          <w:szCs w:val="20"/>
        </w:rPr>
        <w:t xml:space="preserve">. The workflow is available as a collection of Jupyter Python Notebooks and follows the guidelines for code development </w:t>
      </w:r>
      <w:r w:rsidRPr="3044033A">
        <w:rPr>
          <w:sz w:val="20"/>
          <w:szCs w:val="20"/>
        </w:rPr>
        <w:fldChar w:fldCharType="begin" w:fldLock="1"/>
      </w:r>
      <w:r w:rsidRPr="3044033A">
        <w:rPr>
          <w:sz w:val="20"/>
          <w:szCs w:val="20"/>
        </w:rPr>
        <w:instrText>ADDIN CSL_CITATION {"citationItems":[{"id":"ITEM-1","itemData":{"DOI":"10.1371/journal.pcbi.1007007","author":[{"dropping-particle":"","family":"Rule","given":"Adam","non-dropping-particle":"","parse-names":false,"suffix":""},{"dropping-particle":"","family":"Birmingham","given":"Amanda","non-dropping-particle":"","parse-names":false,"suffix":""},{"dropping-particle":"","family":"Zuniga","given":"Cristal","non-dropping-particle":"","parse-names":false,"suffix":""},{"dropping-particle":"","family":"Altintas","given":"Ilkay","non-dropping-particle":"","parse-names":false,"suffix":""},{"dropping-particle":"","family":"Huang","given":"Shih-Cheng","non-dropping-particle":"","parse-names":false,"suffix":""},{"dropping-particle":"","family":"Knight","given":"Rob","non-dropping-particle":"","parse-names":false,"suffix":""},{"dropping-particle":"","family":"Moshiri","given":"Niema","non-dropping-particle":"","parse-names":false,"suffix":""},{"dropping-particle":"","family":"Nguyen","given":"Mai H","non-dropping-particle":"","parse-names":false,"suffix":""},{"dropping-particle":"","family":"Rosenthal","given":"Sara Brin","non-dropping-particle":"","parse-names":false,"suffix":""},{"dropping-particle":"","family":"Pérez","given":"Fernando","non-dropping-particle":"","parse-names":false,"suffix":""},{"dropping-particle":"","family":"others","given":"","non-dropping-particle":"","parse-names":false,"suffix":""}],"container-title":"PLoS Comp Biol","id":"ITEM-1","issued":{"date-parts":[["2019"]]},"publisher":"Public Library of Science","title":"Ten simple rules for writing and sharing computational analyses in Jupyter Notebooks","type":"article-journal"},"uris":["http://www.mendeley.com/documents/?uuid=0c38d1c1-2065-392a-8007-9711f59ca5b7"]}],"mendeley":{"formattedCitation":"(Rule &lt;i&gt;et al.&lt;/i&gt;, 2019)","plainTextFormattedCitation":"(Rule et al., 2019)","previouslyFormattedCitation":"(Rule &lt;i&gt;et al.&lt;/i&gt;, 2019)"},"properties":{"noteIndex":0},"schema":"https://github.com/citation-style-language/schema/raw/master/csl-citation.json"}</w:instrText>
      </w:r>
      <w:r w:rsidRPr="3044033A">
        <w:rPr>
          <w:sz w:val="20"/>
          <w:szCs w:val="20"/>
        </w:rPr>
        <w:fldChar w:fldCharType="separate"/>
      </w:r>
      <w:r w:rsidRPr="3044033A">
        <w:rPr>
          <w:noProof/>
          <w:sz w:val="20"/>
          <w:szCs w:val="20"/>
        </w:rPr>
        <w:t xml:space="preserve">(Rule </w:t>
      </w:r>
      <w:r w:rsidRPr="3044033A">
        <w:rPr>
          <w:i/>
          <w:iCs/>
          <w:noProof/>
          <w:sz w:val="20"/>
          <w:szCs w:val="20"/>
        </w:rPr>
        <w:t>et al.</w:t>
      </w:r>
      <w:r w:rsidRPr="3044033A">
        <w:rPr>
          <w:noProof/>
          <w:sz w:val="20"/>
          <w:szCs w:val="20"/>
        </w:rPr>
        <w:t>, 2019)</w:t>
      </w:r>
      <w:r w:rsidRPr="3044033A">
        <w:rPr>
          <w:sz w:val="20"/>
          <w:szCs w:val="20"/>
        </w:rPr>
        <w:fldChar w:fldCharType="end"/>
      </w:r>
      <w:r w:rsidRPr="3044033A">
        <w:rPr>
          <w:sz w:val="20"/>
          <w:szCs w:val="20"/>
        </w:rPr>
        <w:t xml:space="preserve">. The workflow is freely available via </w:t>
      </w:r>
      <w:proofErr w:type="spellStart"/>
      <w:r w:rsidRPr="3044033A">
        <w:rPr>
          <w:sz w:val="20"/>
          <w:szCs w:val="20"/>
        </w:rPr>
        <w:t>Git</w:t>
      </w:r>
      <w:proofErr w:type="spellEnd"/>
      <w:r w:rsidRPr="3044033A">
        <w:rPr>
          <w:sz w:val="20"/>
          <w:szCs w:val="20"/>
        </w:rPr>
        <w:t xml:space="preserve"> and can be easily modified. The Notebooks represent the following steps: (</w:t>
      </w:r>
      <w:proofErr w:type="spellStart"/>
      <w:r w:rsidRPr="3044033A">
        <w:rPr>
          <w:sz w:val="20"/>
          <w:szCs w:val="20"/>
        </w:rPr>
        <w:t>i</w:t>
      </w:r>
      <w:proofErr w:type="spellEnd"/>
      <w:r w:rsidRPr="3044033A">
        <w:rPr>
          <w:sz w:val="20"/>
          <w:szCs w:val="20"/>
        </w:rPr>
        <w:t xml:space="preserve">) analysis of statistical properties of sequence and reporter, (ii) training of the machine learning algorithm, (iii) evaluation of prediction performance, (iv) prediction of new sequence with defined activity. The input to the machine-learning estimator are sequences and the output is a list of associated activities. </w:t>
      </w:r>
    </w:p>
    <w:p w:rsidR="006E529C" w:rsidRPr="00DA1BAC" w:rsidRDefault="006E529C" w:rsidP="006E529C">
      <w:pPr>
        <w:pStyle w:val="Heading2"/>
        <w:numPr>
          <w:ilvl w:val="1"/>
          <w:numId w:val="2"/>
        </w:numPr>
      </w:pPr>
      <w:r w:rsidRPr="00DA1BAC">
        <w:lastRenderedPageBreak/>
        <w:t>Data preparation and statistical analysis</w:t>
      </w:r>
    </w:p>
    <w:p w:rsidR="006E529C" w:rsidRPr="001C6717" w:rsidRDefault="006E529C" w:rsidP="00EC6F32">
      <w:pPr>
        <w:pStyle w:val="para"/>
        <w:spacing w:after="240" w:line="276" w:lineRule="auto"/>
        <w:ind w:firstLine="0"/>
        <w:rPr>
          <w:sz w:val="20"/>
          <w:szCs w:val="20"/>
        </w:rPr>
      </w:pPr>
      <w:r w:rsidRPr="001C6717">
        <w:rPr>
          <w:sz w:val="20"/>
          <w:szCs w:val="20"/>
        </w:rPr>
        <w:t>A configuration file stores globally used variables that are adjusted to each analysis. The data input is a comma-separated-value file (csv) with at least an identifier column, a sequence column and a response column, with header names defined in the configuration file. The sequence column only accepts DNA abbreviations (A, C, G, T) with an identical length. The output file names and figure file types can be defined. The notebook ‘0-Workflow’ guides through the construction of the configuration file.</w:t>
      </w:r>
    </w:p>
    <w:p w:rsidR="006E529C" w:rsidRPr="001C6717" w:rsidRDefault="006E529C" w:rsidP="00EC6F32">
      <w:pPr>
        <w:pStyle w:val="para"/>
        <w:spacing w:after="240" w:line="276" w:lineRule="auto"/>
        <w:rPr>
          <w:sz w:val="20"/>
          <w:szCs w:val="20"/>
        </w:rPr>
      </w:pPr>
      <w:r w:rsidRPr="001C6717">
        <w:rPr>
          <w:sz w:val="20"/>
          <w:szCs w:val="20"/>
        </w:rPr>
        <w:t>The statistical analysis is conducted in the notebook ‘1-Statistical-Analysis’. The libraries may contain activity measurements of replicates or mean and standard deviation. Outliers in the original data set can be removed from further analysis. Machine learning performance is improved if replicates are explicitly available and the workflow enables the re-generation of replicates based on mean and standard deviation. The approach is valid for normal-distributed data and adds a reasonable prediction bias. The feature list is generated from a one-hot encoding of the sequence</w:t>
      </w:r>
      <w:r w:rsidR="00255E71">
        <w:rPr>
          <w:sz w:val="20"/>
          <w:szCs w:val="20"/>
        </w:rPr>
        <w:t>,</w:t>
      </w:r>
      <w:r w:rsidRPr="001C6717">
        <w:rPr>
          <w:sz w:val="20"/>
          <w:szCs w:val="20"/>
        </w:rPr>
        <w:t xml:space="preserve"> plus the overall GC content. </w:t>
      </w:r>
    </w:p>
    <w:p w:rsidR="006E529C" w:rsidRPr="001C6717" w:rsidRDefault="006E529C" w:rsidP="0021304E">
      <w:pPr>
        <w:pStyle w:val="para"/>
        <w:spacing w:line="276" w:lineRule="auto"/>
        <w:rPr>
          <w:sz w:val="20"/>
          <w:szCs w:val="20"/>
        </w:rPr>
      </w:pPr>
      <w:r w:rsidRPr="001C6717">
        <w:rPr>
          <w:sz w:val="20"/>
          <w:szCs w:val="20"/>
        </w:rPr>
        <w:t>The statistical analysis provides an overview to the following metrics:</w:t>
      </w:r>
    </w:p>
    <w:p w:rsidR="006E529C" w:rsidRPr="001C6717" w:rsidRDefault="006E529C" w:rsidP="0021304E">
      <w:pPr>
        <w:pStyle w:val="para"/>
        <w:numPr>
          <w:ilvl w:val="0"/>
          <w:numId w:val="3"/>
        </w:numPr>
        <w:spacing w:line="276" w:lineRule="auto"/>
        <w:rPr>
          <w:sz w:val="20"/>
          <w:szCs w:val="20"/>
        </w:rPr>
      </w:pPr>
      <w:r w:rsidRPr="001C6717">
        <w:rPr>
          <w:sz w:val="20"/>
          <w:szCs w:val="20"/>
        </w:rPr>
        <w:t>sequence diversity</w:t>
      </w:r>
    </w:p>
    <w:p w:rsidR="006E529C" w:rsidRPr="001C6717" w:rsidRDefault="006E529C" w:rsidP="0021304E">
      <w:pPr>
        <w:pStyle w:val="para"/>
        <w:numPr>
          <w:ilvl w:val="0"/>
          <w:numId w:val="3"/>
        </w:numPr>
        <w:spacing w:line="276" w:lineRule="auto"/>
        <w:rPr>
          <w:sz w:val="20"/>
          <w:szCs w:val="20"/>
        </w:rPr>
      </w:pPr>
      <w:r w:rsidRPr="001C6717">
        <w:rPr>
          <w:sz w:val="20"/>
          <w:szCs w:val="20"/>
        </w:rPr>
        <w:t>position diversity</w:t>
      </w:r>
    </w:p>
    <w:p w:rsidR="006E529C" w:rsidRPr="001C6717" w:rsidRDefault="006E529C" w:rsidP="0021304E">
      <w:pPr>
        <w:pStyle w:val="para"/>
        <w:numPr>
          <w:ilvl w:val="0"/>
          <w:numId w:val="3"/>
        </w:numPr>
        <w:spacing w:line="276" w:lineRule="auto"/>
        <w:rPr>
          <w:sz w:val="20"/>
          <w:szCs w:val="20"/>
        </w:rPr>
      </w:pPr>
      <w:r w:rsidRPr="001C6717">
        <w:rPr>
          <w:sz w:val="20"/>
          <w:szCs w:val="20"/>
        </w:rPr>
        <w:t>nucleotide-position expression statistics</w:t>
      </w:r>
    </w:p>
    <w:p w:rsidR="006E529C" w:rsidRPr="001C6717" w:rsidRDefault="006E529C" w:rsidP="0021304E">
      <w:pPr>
        <w:pStyle w:val="para"/>
        <w:numPr>
          <w:ilvl w:val="0"/>
          <w:numId w:val="3"/>
        </w:numPr>
        <w:spacing w:line="276" w:lineRule="auto"/>
        <w:rPr>
          <w:sz w:val="20"/>
          <w:szCs w:val="20"/>
        </w:rPr>
      </w:pPr>
      <w:r w:rsidRPr="001C6717">
        <w:rPr>
          <w:sz w:val="20"/>
          <w:szCs w:val="20"/>
        </w:rPr>
        <w:t>expression strength distribution</w:t>
      </w:r>
    </w:p>
    <w:p w:rsidR="006E529C" w:rsidRPr="001C6717" w:rsidRDefault="006E529C" w:rsidP="0021304E">
      <w:pPr>
        <w:pStyle w:val="para"/>
        <w:numPr>
          <w:ilvl w:val="0"/>
          <w:numId w:val="3"/>
        </w:numPr>
        <w:spacing w:line="276" w:lineRule="auto"/>
        <w:rPr>
          <w:sz w:val="20"/>
          <w:szCs w:val="20"/>
        </w:rPr>
      </w:pPr>
      <w:r w:rsidRPr="001C6717">
        <w:rPr>
          <w:sz w:val="20"/>
          <w:szCs w:val="20"/>
        </w:rPr>
        <w:t>cross library expression strength</w:t>
      </w:r>
    </w:p>
    <w:p w:rsidR="006E529C" w:rsidRDefault="006E529C" w:rsidP="0021304E">
      <w:pPr>
        <w:pStyle w:val="para"/>
        <w:spacing w:line="276" w:lineRule="auto"/>
        <w:rPr>
          <w:sz w:val="20"/>
          <w:szCs w:val="20"/>
        </w:rPr>
      </w:pPr>
      <w:r w:rsidRPr="001C6717">
        <w:rPr>
          <w:sz w:val="20"/>
          <w:szCs w:val="20"/>
        </w:rPr>
        <w:t xml:space="preserve">The promoter diversity is evaluated by the sequence and position diversity. The sequence diversity represents the coverage of the sequence sample space and is calculated as the amount of nucleotide differences over the sequence relative to a reference sequence or between all sequences, and ranges between ‘0’, identical to ‘1’ all nucleotides are different. The reference sequence can be provided with </w:t>
      </w:r>
      <w:r>
        <w:rPr>
          <w:sz w:val="20"/>
          <w:szCs w:val="20"/>
        </w:rPr>
        <w:t xml:space="preserve">the </w:t>
      </w:r>
      <w:r w:rsidRPr="001C6717">
        <w:rPr>
          <w:sz w:val="20"/>
          <w:szCs w:val="20"/>
        </w:rPr>
        <w:t>configuration file, or it is generated automatically by finding the most common nucleotide on each position. For large libraries &gt;10</w:t>
      </w:r>
      <w:r w:rsidRPr="001C6717">
        <w:rPr>
          <w:sz w:val="20"/>
          <w:szCs w:val="20"/>
          <w:vertAlign w:val="superscript"/>
        </w:rPr>
        <w:t>3</w:t>
      </w:r>
      <w:r w:rsidRPr="001C6717">
        <w:rPr>
          <w:sz w:val="20"/>
          <w:szCs w:val="20"/>
        </w:rPr>
        <w:t xml:space="preserve"> samples, the full pairwise distance</w:t>
      </w:r>
      <w:r w:rsidR="00255E71">
        <w:rPr>
          <w:sz w:val="20"/>
          <w:szCs w:val="20"/>
        </w:rPr>
        <w:t xml:space="preserve"> is costly to compute</w:t>
      </w:r>
      <w:r w:rsidRPr="001C6717">
        <w:rPr>
          <w:sz w:val="20"/>
          <w:szCs w:val="20"/>
        </w:rPr>
        <w:t>. The position diversity informs about how many nucleotides have been sampled for each position. It is visualized with two bar plots: (</w:t>
      </w:r>
      <w:proofErr w:type="spellStart"/>
      <w:r w:rsidRPr="001C6717">
        <w:rPr>
          <w:sz w:val="20"/>
          <w:szCs w:val="20"/>
        </w:rPr>
        <w:t>i</w:t>
      </w:r>
      <w:proofErr w:type="spellEnd"/>
      <w:r w:rsidRPr="001C6717">
        <w:rPr>
          <w:sz w:val="20"/>
          <w:szCs w:val="20"/>
        </w:rPr>
        <w:t>) cumulative number of each nucleotide tested on each position, and (ii) the position specific entropy</w:t>
      </w:r>
      <w:r>
        <w:rPr>
          <w:sz w:val="20"/>
          <w:szCs w:val="20"/>
        </w:rPr>
        <w:t xml:space="preserve"> (</w:t>
      </w:r>
      <w:r w:rsidRPr="00465181">
        <w:rPr>
          <w:i/>
          <w:sz w:val="20"/>
          <w:szCs w:val="20"/>
        </w:rPr>
        <w:t>H’</w:t>
      </w:r>
      <w:r>
        <w:rPr>
          <w:sz w:val="20"/>
          <w:szCs w:val="20"/>
        </w:rPr>
        <w:t>), reflecting the information content at each position (</w:t>
      </w:r>
      <w:proofErr w:type="spellStart"/>
      <w:r w:rsidRPr="00465181">
        <w:rPr>
          <w:i/>
          <w:sz w:val="20"/>
          <w:szCs w:val="20"/>
        </w:rPr>
        <w:t>i</w:t>
      </w:r>
      <w:proofErr w:type="spellEnd"/>
      <w:r>
        <w:rPr>
          <w:sz w:val="20"/>
          <w:szCs w:val="20"/>
        </w:rPr>
        <w:t>), along the sequence (</w:t>
      </w:r>
      <w:r w:rsidRPr="00465181">
        <w:rPr>
          <w:i/>
          <w:sz w:val="20"/>
          <w:szCs w:val="20"/>
        </w:rPr>
        <w:t>R</w:t>
      </w:r>
      <w:r>
        <w:rPr>
          <w:sz w:val="20"/>
          <w:szCs w:val="20"/>
        </w:rPr>
        <w:t>) with the position-related proportional abundance of nucleotides (</w:t>
      </w:r>
      <w:r w:rsidRPr="00465181">
        <w:rPr>
          <w:i/>
          <w:sz w:val="20"/>
          <w:szCs w:val="20"/>
        </w:rPr>
        <w:t>p</w:t>
      </w:r>
      <w:r w:rsidRPr="00465181">
        <w:rPr>
          <w:i/>
          <w:sz w:val="20"/>
          <w:szCs w:val="20"/>
          <w:vertAlign w:val="subscript"/>
        </w:rPr>
        <w:t>i</w:t>
      </w:r>
      <w:r>
        <w:rPr>
          <w:sz w:val="20"/>
          <w:szCs w:val="20"/>
        </w:rPr>
        <w:t>)</w:t>
      </w:r>
      <w:r w:rsidRPr="001C6717">
        <w:rPr>
          <w:sz w:val="20"/>
          <w:szCs w:val="20"/>
        </w:rPr>
        <w:t>:</w:t>
      </w:r>
    </w:p>
    <w:p w:rsidR="006E529C" w:rsidRDefault="006E529C" w:rsidP="006E529C">
      <w:pPr>
        <w:pStyle w:val="para"/>
        <w:rPr>
          <w:sz w:val="20"/>
          <w:szCs w:val="20"/>
        </w:rPr>
      </w:pPr>
    </w:p>
    <w:p w:rsidR="006E529C" w:rsidRPr="00DA1BAC" w:rsidRDefault="006E529C" w:rsidP="006E529C">
      <w:pPr>
        <w:pStyle w:val="para"/>
        <w:rPr>
          <w:sz w:val="20"/>
          <w:szCs w:val="20"/>
        </w:rPr>
      </w:pPr>
      <m:oMath>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m:t>
            </m:r>
          </m:sup>
        </m:s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e>
        </m:nary>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124C43">
        <w:rPr>
          <w:sz w:val="20"/>
          <w:szCs w:val="20"/>
        </w:rPr>
        <w:t xml:space="preserve"> </w:t>
      </w:r>
    </w:p>
    <w:p w:rsidR="006E529C" w:rsidRDefault="006E529C" w:rsidP="006E529C">
      <w:pPr>
        <w:pStyle w:val="para"/>
      </w:pPr>
    </w:p>
    <w:p w:rsidR="006E529C" w:rsidRPr="001C6717" w:rsidRDefault="006E529C" w:rsidP="0021304E">
      <w:pPr>
        <w:pStyle w:val="para"/>
        <w:spacing w:line="276" w:lineRule="auto"/>
        <w:rPr>
          <w:sz w:val="20"/>
          <w:szCs w:val="20"/>
        </w:rPr>
      </w:pPr>
      <w:r w:rsidRPr="001C6717">
        <w:rPr>
          <w:sz w:val="20"/>
          <w:szCs w:val="20"/>
        </w:rPr>
        <w:t>The expression statistics for all nucleotides and positions informs how each nucleotide contributes to the expression. Each sequence is transformed into a matrix with rows as position and four columns</w:t>
      </w:r>
      <w:r w:rsidR="00255E71">
        <w:rPr>
          <w:sz w:val="20"/>
          <w:szCs w:val="20"/>
        </w:rPr>
        <w:t>,</w:t>
      </w:r>
      <w:r w:rsidRPr="001C6717">
        <w:rPr>
          <w:sz w:val="20"/>
          <w:szCs w:val="20"/>
        </w:rPr>
        <w:t xml:space="preserve"> representing the one-hot encoding of the nucleotides (A, C, G, T). This sequence-one-hot matrix is multiplied by the expression strength, resulting in a matrix with the expression strength at correct nucleotide-positions in the matrix. The matrices yield the expression average and variance on each nucleotide position and indicates which positions are associated with higher or lower expression. The expression strength is visualized with a histogram and a scatter plot for cross library expression. </w:t>
      </w:r>
    </w:p>
    <w:p w:rsidR="006E529C" w:rsidRDefault="006E529C" w:rsidP="006E529C">
      <w:pPr>
        <w:pStyle w:val="Heading2"/>
      </w:pPr>
      <w:r>
        <w:t>Predictor training and performance</w:t>
      </w:r>
    </w:p>
    <w:p w:rsidR="006E529C" w:rsidRPr="0021304E" w:rsidRDefault="006E529C" w:rsidP="00EC6F32">
      <w:pPr>
        <w:spacing w:line="276" w:lineRule="auto"/>
        <w:jc w:val="both"/>
        <w:rPr>
          <w:rFonts w:ascii="Times New Roman" w:hAnsi="Times New Roman"/>
          <w:sz w:val="20"/>
          <w:szCs w:val="20"/>
          <w:lang w:val="en-GB"/>
        </w:rPr>
      </w:pPr>
      <w:r w:rsidRPr="0021304E">
        <w:rPr>
          <w:rFonts w:ascii="Times New Roman" w:hAnsi="Times New Roman"/>
          <w:sz w:val="20"/>
          <w:szCs w:val="20"/>
          <w:lang w:val="en-GB"/>
        </w:rPr>
        <w:t>The workflow</w:t>
      </w:r>
      <w:r w:rsidR="00255E71">
        <w:rPr>
          <w:rFonts w:ascii="Times New Roman" w:hAnsi="Times New Roman"/>
          <w:sz w:val="20"/>
          <w:szCs w:val="20"/>
          <w:lang w:val="en-GB"/>
        </w:rPr>
        <w:t xml:space="preserve"> supports</w:t>
      </w:r>
      <w:r w:rsidRPr="0021304E">
        <w:rPr>
          <w:rFonts w:ascii="Times New Roman" w:hAnsi="Times New Roman"/>
          <w:sz w:val="20"/>
          <w:szCs w:val="20"/>
          <w:lang w:val="en-GB"/>
        </w:rPr>
        <w:t xml:space="preserve"> classification and regression. The advantage of regression is the prediction of quantitative expression values for sequences, but the training requires high data quality (sufficient sample size and position entropy). Classification provides qualitative predictions (</w:t>
      </w:r>
      <w:r w:rsidRPr="0021304E">
        <w:rPr>
          <w:rFonts w:ascii="Times New Roman" w:hAnsi="Times New Roman"/>
          <w:i/>
          <w:sz w:val="20"/>
          <w:szCs w:val="20"/>
          <w:lang w:val="en-GB"/>
        </w:rPr>
        <w:t>e.g.</w:t>
      </w:r>
      <w:r w:rsidRPr="0021304E">
        <w:rPr>
          <w:rFonts w:ascii="Times New Roman" w:hAnsi="Times New Roman"/>
          <w:sz w:val="20"/>
          <w:szCs w:val="20"/>
          <w:lang w:val="en-GB"/>
        </w:rPr>
        <w:t>, low-medium-high), with stronger predictions even for small data sets. The implemented machine learning routines are random forest (RF), gradient boosting (GB), and support vectors (SV). The input features are nucleotides on each position and the overall sequence GC-content, while the predicted target variable is the expression strength. Because the input features can be high-dimensional depending on the sequence length, additional feature selection procedures are implemented.</w:t>
      </w:r>
    </w:p>
    <w:p w:rsidR="006E529C" w:rsidRPr="006E529C" w:rsidRDefault="006E529C" w:rsidP="006E529C">
      <w:pPr>
        <w:spacing w:line="220" w:lineRule="exact"/>
        <w:jc w:val="both"/>
        <w:rPr>
          <w:rFonts w:ascii="Times New Roman" w:hAnsi="Times New Roman"/>
          <w:sz w:val="16"/>
          <w:szCs w:val="16"/>
          <w:lang w:val="en-GB"/>
        </w:rPr>
      </w:pPr>
    </w:p>
    <w:p w:rsidR="006E529C" w:rsidRPr="00EC6F32" w:rsidRDefault="006E529C" w:rsidP="00EC6F32">
      <w:pPr>
        <w:spacing w:line="276" w:lineRule="auto"/>
        <w:ind w:firstLine="170"/>
        <w:jc w:val="both"/>
        <w:rPr>
          <w:rFonts w:ascii="Times New Roman" w:hAnsi="Times New Roman"/>
          <w:sz w:val="20"/>
          <w:szCs w:val="20"/>
          <w:lang w:val="en-GB"/>
        </w:rPr>
      </w:pPr>
      <w:r w:rsidRPr="0021304E">
        <w:rPr>
          <w:rFonts w:ascii="Times New Roman" w:hAnsi="Times New Roman"/>
          <w:sz w:val="20"/>
          <w:szCs w:val="20"/>
          <w:lang w:val="en-GB"/>
        </w:rPr>
        <w:t xml:space="preserve">The performance of the predictions can be improved by feature selection and shifting from regression to classification. The entropy in each position of the input sequence reflects the diversity of tested nucleotides and typically, sound predictions can only be made if the entropy is high enough. Note, however, that non-canonical </w:t>
      </w:r>
      <w:r w:rsidRPr="0021304E">
        <w:rPr>
          <w:rFonts w:ascii="Times New Roman" w:hAnsi="Times New Roman"/>
          <w:sz w:val="20"/>
          <w:szCs w:val="20"/>
          <w:lang w:val="en-GB"/>
        </w:rPr>
        <w:lastRenderedPageBreak/>
        <w:t xml:space="preserve">nucleotides in conserved promoter (box)-regions will result in drastic expression deficiency. Thus, a low diversity can also reflect strong predictive power where sequence diversity is experimentally inaccessible. A </w:t>
      </w:r>
      <w:r w:rsidR="00592B8A" w:rsidRPr="0021304E">
        <w:rPr>
          <w:rFonts w:ascii="Times New Roman" w:hAnsi="Times New Roman"/>
          <w:sz w:val="20"/>
          <w:szCs w:val="20"/>
          <w:lang w:val="en-GB"/>
        </w:rPr>
        <w:t>cut-off</w:t>
      </w:r>
      <w:r w:rsidRPr="0021304E">
        <w:rPr>
          <w:rFonts w:ascii="Times New Roman" w:hAnsi="Times New Roman"/>
          <w:sz w:val="20"/>
          <w:szCs w:val="20"/>
          <w:lang w:val="en-GB"/>
        </w:rPr>
        <w:t xml:space="preserve"> can be chosen in the configuration file to exclude positions below a defined entropy.</w:t>
      </w:r>
    </w:p>
    <w:p w:rsidR="006E529C" w:rsidRPr="00EC6F32" w:rsidRDefault="006E529C" w:rsidP="00EC6F32">
      <w:pPr>
        <w:spacing w:line="276" w:lineRule="auto"/>
        <w:ind w:firstLine="170"/>
        <w:jc w:val="both"/>
        <w:rPr>
          <w:rFonts w:ascii="Times New Roman" w:hAnsi="Times New Roman"/>
          <w:sz w:val="20"/>
          <w:szCs w:val="20"/>
          <w:lang w:val="en-GB"/>
        </w:rPr>
      </w:pPr>
      <w:r w:rsidRPr="0021304E">
        <w:rPr>
          <w:rFonts w:ascii="Times New Roman" w:hAnsi="Times New Roman"/>
          <w:sz w:val="20"/>
          <w:szCs w:val="20"/>
          <w:lang w:val="en-GB"/>
        </w:rPr>
        <w:t xml:space="preserve">The </w:t>
      </w:r>
      <w:r w:rsidR="00255E71">
        <w:rPr>
          <w:rFonts w:ascii="Times New Roman" w:hAnsi="Times New Roman"/>
          <w:sz w:val="20"/>
          <w:szCs w:val="20"/>
          <w:lang w:val="en-GB"/>
        </w:rPr>
        <w:t xml:space="preserve">choice of classification or regression is controlled by the </w:t>
      </w:r>
      <w:r w:rsidRPr="0021304E">
        <w:rPr>
          <w:rFonts w:ascii="Times New Roman" w:hAnsi="Times New Roman"/>
          <w:sz w:val="20"/>
          <w:szCs w:val="20"/>
          <w:lang w:val="en-GB"/>
        </w:rPr>
        <w:t xml:space="preserve">parameter </w:t>
      </w:r>
      <w:r w:rsidR="00255E71" w:rsidRPr="0021304E">
        <w:rPr>
          <w:rFonts w:ascii="Times New Roman" w:hAnsi="Times New Roman"/>
          <w:sz w:val="20"/>
          <w:szCs w:val="20"/>
          <w:lang w:val="en-GB"/>
        </w:rPr>
        <w:t>‘</w:t>
      </w:r>
      <w:proofErr w:type="spellStart"/>
      <w:r w:rsidR="00255E71" w:rsidRPr="0021304E">
        <w:rPr>
          <w:rFonts w:ascii="Times New Roman" w:hAnsi="Times New Roman"/>
          <w:sz w:val="20"/>
          <w:szCs w:val="20"/>
          <w:lang w:val="en-GB"/>
        </w:rPr>
        <w:t>Response_Value</w:t>
      </w:r>
      <w:proofErr w:type="spellEnd"/>
      <w:r w:rsidR="00255E71" w:rsidRPr="0021304E">
        <w:rPr>
          <w:rFonts w:ascii="Times New Roman" w:hAnsi="Times New Roman"/>
          <w:sz w:val="20"/>
          <w:szCs w:val="20"/>
          <w:lang w:val="en-GB"/>
        </w:rPr>
        <w:t>’</w:t>
      </w:r>
      <w:r w:rsidR="00255E71">
        <w:rPr>
          <w:rFonts w:ascii="Times New Roman" w:hAnsi="Times New Roman"/>
          <w:sz w:val="20"/>
          <w:szCs w:val="20"/>
          <w:lang w:val="en-GB"/>
        </w:rPr>
        <w:t xml:space="preserve"> </w:t>
      </w:r>
      <w:r w:rsidRPr="0021304E">
        <w:rPr>
          <w:rFonts w:ascii="Times New Roman" w:hAnsi="Times New Roman"/>
          <w:sz w:val="20"/>
          <w:szCs w:val="20"/>
          <w:lang w:val="en-GB"/>
        </w:rPr>
        <w:t>in the configuration file. If the ‘</w:t>
      </w:r>
      <w:proofErr w:type="spellStart"/>
      <w:r w:rsidRPr="0021304E">
        <w:rPr>
          <w:rFonts w:ascii="Times New Roman" w:hAnsi="Times New Roman"/>
          <w:sz w:val="20"/>
          <w:szCs w:val="20"/>
          <w:lang w:val="en-GB"/>
        </w:rPr>
        <w:t>Response_Value</w:t>
      </w:r>
      <w:proofErr w:type="spellEnd"/>
      <w:r w:rsidRPr="0021304E">
        <w:rPr>
          <w:rFonts w:ascii="Times New Roman" w:hAnsi="Times New Roman"/>
          <w:sz w:val="20"/>
          <w:szCs w:val="20"/>
          <w:lang w:val="en-GB"/>
        </w:rPr>
        <w:t>’ is &gt;1, the output is binned in the number of bins according to the value. If the ‘</w:t>
      </w:r>
      <w:proofErr w:type="spellStart"/>
      <w:r w:rsidRPr="0021304E">
        <w:rPr>
          <w:rFonts w:ascii="Times New Roman" w:hAnsi="Times New Roman"/>
          <w:sz w:val="20"/>
          <w:szCs w:val="20"/>
          <w:lang w:val="en-GB"/>
        </w:rPr>
        <w:t>Response_Value</w:t>
      </w:r>
      <w:proofErr w:type="spellEnd"/>
      <w:r w:rsidRPr="0021304E">
        <w:rPr>
          <w:rFonts w:ascii="Times New Roman" w:hAnsi="Times New Roman"/>
          <w:sz w:val="20"/>
          <w:szCs w:val="20"/>
          <w:lang w:val="en-GB"/>
        </w:rPr>
        <w:t>’=1, the original activity values are used as prediction targets and if the ‘</w:t>
      </w:r>
      <w:proofErr w:type="spellStart"/>
      <w:r w:rsidRPr="0021304E">
        <w:rPr>
          <w:rFonts w:ascii="Times New Roman" w:hAnsi="Times New Roman"/>
          <w:sz w:val="20"/>
          <w:szCs w:val="20"/>
          <w:lang w:val="en-GB"/>
        </w:rPr>
        <w:t>Response_Value</w:t>
      </w:r>
      <w:proofErr w:type="spellEnd"/>
      <w:r w:rsidRPr="0021304E">
        <w:rPr>
          <w:rFonts w:ascii="Times New Roman" w:hAnsi="Times New Roman"/>
          <w:sz w:val="20"/>
          <w:szCs w:val="20"/>
          <w:lang w:val="en-GB"/>
        </w:rPr>
        <w:t xml:space="preserve">’=0, the expression data is </w:t>
      </w:r>
      <w:proofErr w:type="spellStart"/>
      <w:r w:rsidRPr="0021304E">
        <w:rPr>
          <w:rFonts w:ascii="Times New Roman" w:hAnsi="Times New Roman"/>
          <w:sz w:val="20"/>
          <w:szCs w:val="20"/>
          <w:lang w:val="en-GB"/>
        </w:rPr>
        <w:t>centered</w:t>
      </w:r>
      <w:proofErr w:type="spellEnd"/>
      <w:r w:rsidRPr="0021304E">
        <w:rPr>
          <w:rFonts w:ascii="Times New Roman" w:hAnsi="Times New Roman"/>
          <w:sz w:val="20"/>
          <w:szCs w:val="20"/>
          <w:lang w:val="en-GB"/>
        </w:rPr>
        <w:t xml:space="preserve"> with zero mean and unit variance. The bins are generated as equal sized buckets (python pandas ‘</w:t>
      </w:r>
      <w:proofErr w:type="spellStart"/>
      <w:r w:rsidRPr="0021304E">
        <w:rPr>
          <w:rFonts w:ascii="Times New Roman" w:hAnsi="Times New Roman"/>
          <w:sz w:val="20"/>
          <w:szCs w:val="20"/>
          <w:lang w:val="en-GB"/>
        </w:rPr>
        <w:t>qcut</w:t>
      </w:r>
      <w:proofErr w:type="spellEnd"/>
      <w:r w:rsidRPr="0021304E">
        <w:rPr>
          <w:rFonts w:ascii="Times New Roman" w:hAnsi="Times New Roman"/>
          <w:sz w:val="20"/>
          <w:szCs w:val="20"/>
          <w:lang w:val="en-GB"/>
        </w:rPr>
        <w:t xml:space="preserve">’) and the bin label is used as the target prediction. Data </w:t>
      </w:r>
      <w:proofErr w:type="spellStart"/>
      <w:r w:rsidRPr="0021304E">
        <w:rPr>
          <w:rFonts w:ascii="Times New Roman" w:hAnsi="Times New Roman"/>
          <w:sz w:val="20"/>
          <w:szCs w:val="20"/>
          <w:lang w:val="en-GB"/>
        </w:rPr>
        <w:t>centering</w:t>
      </w:r>
      <w:proofErr w:type="spellEnd"/>
      <w:r w:rsidRPr="0021304E">
        <w:rPr>
          <w:rFonts w:ascii="Times New Roman" w:hAnsi="Times New Roman"/>
          <w:sz w:val="20"/>
          <w:szCs w:val="20"/>
          <w:lang w:val="en-GB"/>
        </w:rPr>
        <w:t xml:space="preserve"> is a requirement for using support vector machines. The data is split into training and test set, with a default ratio of 9:1 and a grid search on the training data identifies the optimal hyperparameter. </w:t>
      </w:r>
    </w:p>
    <w:p w:rsidR="006E529C" w:rsidRPr="0021304E" w:rsidRDefault="006E529C" w:rsidP="0021304E">
      <w:pPr>
        <w:spacing w:line="276" w:lineRule="auto"/>
        <w:ind w:firstLine="170"/>
        <w:jc w:val="both"/>
        <w:rPr>
          <w:rFonts w:ascii="Times New Roman" w:hAnsi="Times New Roman"/>
          <w:sz w:val="20"/>
          <w:szCs w:val="20"/>
          <w:lang w:val="en-GB"/>
        </w:rPr>
      </w:pPr>
      <w:r w:rsidRPr="0021304E">
        <w:rPr>
          <w:rFonts w:ascii="Times New Roman" w:hAnsi="Times New Roman"/>
          <w:sz w:val="20"/>
          <w:szCs w:val="20"/>
          <w:lang w:val="en-GB"/>
        </w:rPr>
        <w:t xml:space="preserve">The performance evaluation provides metrics for correlating the experimental and predicted outcomes and informs about important features for tree-based methods. The performance evaluation is based on cross-validation with 9:1 data separation that moves identical sequences (i.e. replicates) consistently using group shuffle split to the test or the training set. The group shuffle split ensures that the test sequences are unknown to the regressor. The performance evaluation is based on the R2- (regression) and weighted F1-score (classification) for training set and the test set. The prediction uncertainty metric is determined by the coefficient of variance of the mean R2 and F1 prediction over the training set cross validation. The tree-based methods allow the extraction of feature importance and represent the contributions of each nucleotide-position to the prediction. They are extracted and visualized with a Logo-plot </w:t>
      </w:r>
      <w:r w:rsidRPr="0021304E">
        <w:rPr>
          <w:rFonts w:ascii="Times New Roman" w:hAnsi="Times New Roman"/>
          <w:sz w:val="20"/>
          <w:szCs w:val="20"/>
          <w:lang w:val="en-GB"/>
        </w:rPr>
        <w:fldChar w:fldCharType="begin" w:fldLock="1"/>
      </w:r>
      <w:r w:rsidRPr="0021304E">
        <w:rPr>
          <w:rFonts w:ascii="Times New Roman" w:hAnsi="Times New Roman"/>
          <w:sz w:val="20"/>
          <w:szCs w:val="20"/>
          <w:lang w:val="en-GB"/>
        </w:rPr>
        <w:instrText>ADDIN CSL_CITATION {"citationItems":[{"id":"ITEM-1","itemData":{"DOI":"10.1093/bioinformatics/btz921","abstract":"Sequence logos are visually compelling ways of illustrating the biological properties of DNA, RNA, and protein sequences, yet it is currently difficult to generate such logos within the Python programming environment. Here we introduce Logomaker, a Python API for creating publication-quality sequence logos. Logomaker can produce both standard and highly customized logos from any matrix-like array of numbers. Logos are rendered as vector graphics that are easy to stylize using standard matplotlib functions. Methods for creating logos from multiple-sequence alignments are also included.\r\n\r\nAvailability and Implementation Logomaker can be installed using the pip package manager and is compatible with both Python 2.7 and Python 3.6. Source code is available at http://github.com/jbkinney/logomaker.","author":[{"dropping-particle":"","family":"Tareen","given":"Ammar","non-dropping-particle":"","parse-names":false,"suffix":""},{"dropping-particle":"","family":"Kinney","given":"Justin B","non-dropping-particle":"","parse-names":false,"suffix":""}],"container-title":"Bioinformatics","editor":[{"dropping-particle":"","family":"Valencia","given":"Alfonso","non-dropping-particle":"","parse-names":false,"suffix":""}],"id":"ITEM-1","issue":"7","issued":{"date-parts":[["2019","12"]]},"page":"2272-2274","publisher":"Oxford University Press (OUP)","title":"Logomaker: beautiful sequence logos in Python","type":"article-journal","volume":"36"},"uris":["http://www.mendeley.com/documents/?uuid=147cbaf9-21cb-3776-b987-45c8507648f0"]}],"mendeley":{"formattedCitation":"(Tareen and Kinney, 2019)","plainTextFormattedCitation":"(Tareen and Kinney, 2019)","previouslyFormattedCitation":"(Tareen and Kinney, 2019)"},"properties":{"noteIndex":0},"schema":"https://github.com/citation-style-language/schema/raw/master/csl-citation.json"}</w:instrText>
      </w:r>
      <w:r w:rsidRPr="0021304E">
        <w:rPr>
          <w:rFonts w:ascii="Times New Roman" w:hAnsi="Times New Roman"/>
          <w:sz w:val="20"/>
          <w:szCs w:val="20"/>
          <w:lang w:val="en-GB"/>
        </w:rPr>
        <w:fldChar w:fldCharType="separate"/>
      </w:r>
      <w:r w:rsidRPr="0021304E">
        <w:rPr>
          <w:rFonts w:ascii="Times New Roman" w:hAnsi="Times New Roman"/>
          <w:sz w:val="20"/>
          <w:szCs w:val="20"/>
          <w:lang w:val="en-GB"/>
        </w:rPr>
        <w:t>(Tareen and Kinney, 2019)</w:t>
      </w:r>
      <w:r w:rsidRPr="0021304E">
        <w:rPr>
          <w:rFonts w:ascii="Times New Roman" w:hAnsi="Times New Roman"/>
          <w:sz w:val="20"/>
          <w:szCs w:val="20"/>
          <w:lang w:val="en-GB"/>
        </w:rPr>
        <w:fldChar w:fldCharType="end"/>
      </w:r>
      <w:r w:rsidRPr="0021304E">
        <w:rPr>
          <w:rFonts w:ascii="Times New Roman" w:hAnsi="Times New Roman"/>
          <w:sz w:val="20"/>
          <w:szCs w:val="20"/>
          <w:lang w:val="en-GB"/>
        </w:rPr>
        <w:t xml:space="preserve">. </w:t>
      </w:r>
    </w:p>
    <w:p w:rsidR="006E529C" w:rsidRDefault="006E529C" w:rsidP="006E529C">
      <w:pPr>
        <w:pStyle w:val="Heading2"/>
      </w:pPr>
      <w:r>
        <w:t>Synthetic sequence characterization</w:t>
      </w:r>
    </w:p>
    <w:p w:rsidR="006E529C" w:rsidRPr="0021304E" w:rsidRDefault="006E529C" w:rsidP="0021304E">
      <w:pPr>
        <w:spacing w:line="276" w:lineRule="auto"/>
        <w:jc w:val="both"/>
        <w:rPr>
          <w:rFonts w:ascii="Times New Roman" w:hAnsi="Times New Roman"/>
          <w:sz w:val="20"/>
          <w:szCs w:val="20"/>
          <w:lang w:val="en-GB"/>
        </w:rPr>
      </w:pPr>
      <w:r w:rsidRPr="0021304E">
        <w:rPr>
          <w:rFonts w:ascii="Times New Roman" w:hAnsi="Times New Roman"/>
          <w:sz w:val="20"/>
          <w:szCs w:val="20"/>
          <w:lang w:val="en-GB"/>
        </w:rPr>
        <w:t>The workflow allows to identify the exploration space covered by the samples for which reliable predictions are possible and to test novel sequences within the exploration space. The exploration space spans the sequences for which reasonable predictions can be expected and is bounded by the sequence and position diversity. Only for sufficiently sampled nucleotides at any position can the regressor derive activity rules and predict reasonable activities. In addition, the sequence distance of an unknown sequence with respect to the reference sequence of all other sequences should be lower than the sequence distances in the training samples because unknown regulatory or physiological events can interfere with sequences deviating too much from the samples. The user defines the cut-off for the exploration space based on the visualizations of position and sequence diversities in the statistical analysis. The sequences of the exploration space can be generated exhaustively or a random subset of defined size</w:t>
      </w:r>
      <w:r w:rsidR="00255E71">
        <w:rPr>
          <w:rFonts w:ascii="Times New Roman" w:hAnsi="Times New Roman"/>
          <w:sz w:val="20"/>
          <w:szCs w:val="20"/>
          <w:lang w:val="en-GB"/>
        </w:rPr>
        <w:t>,</w:t>
      </w:r>
      <w:r w:rsidRPr="0021304E">
        <w:rPr>
          <w:rFonts w:ascii="Times New Roman" w:hAnsi="Times New Roman"/>
          <w:sz w:val="20"/>
          <w:szCs w:val="20"/>
          <w:lang w:val="en-GB"/>
        </w:rPr>
        <w:t xml:space="preserve"> and results in a synthetic promoter library with predicted expression activities. The workflow allows to select synthetic sequences close to a target expression and the synthetic library can be statistically </w:t>
      </w:r>
      <w:r w:rsidR="00592B8A" w:rsidRPr="0021304E">
        <w:rPr>
          <w:rFonts w:ascii="Times New Roman" w:hAnsi="Times New Roman"/>
          <w:sz w:val="20"/>
          <w:szCs w:val="20"/>
          <w:lang w:val="en-GB"/>
        </w:rPr>
        <w:t>analysed</w:t>
      </w:r>
      <w:r w:rsidRPr="0021304E">
        <w:rPr>
          <w:rFonts w:ascii="Times New Roman" w:hAnsi="Times New Roman"/>
          <w:sz w:val="20"/>
          <w:szCs w:val="20"/>
          <w:lang w:val="en-GB"/>
        </w:rPr>
        <w:t xml:space="preserve"> similarly to the experimental library.</w:t>
      </w:r>
    </w:p>
    <w:p w:rsidR="006E529C" w:rsidRPr="001C6717" w:rsidRDefault="006E529C" w:rsidP="006E529C">
      <w:pPr>
        <w:pStyle w:val="Heading2"/>
      </w:pPr>
      <w:r>
        <w:t>Experimental library construction</w:t>
      </w:r>
    </w:p>
    <w:p w:rsidR="00592B8A" w:rsidRPr="0021304E" w:rsidRDefault="006E529C" w:rsidP="0021304E">
      <w:pPr>
        <w:spacing w:line="276" w:lineRule="auto"/>
        <w:jc w:val="both"/>
        <w:rPr>
          <w:rFonts w:ascii="Times New Roman" w:hAnsi="Times New Roman"/>
          <w:sz w:val="20"/>
          <w:szCs w:val="20"/>
        </w:rPr>
      </w:pPr>
      <w:r w:rsidRPr="0021304E">
        <w:rPr>
          <w:rFonts w:ascii="Times New Roman" w:hAnsi="Times New Roman"/>
          <w:sz w:val="20"/>
          <w:szCs w:val="20"/>
          <w:lang w:val="en-GB"/>
        </w:rPr>
        <w:t>Construction of the single nucleotide polymorphism (SNP) library was done by PCR with plasmid pBG14g as template and different overhanging oligonucleotides containing single degenerate nucleotides inside the P</w:t>
      </w:r>
      <w:r w:rsidRPr="0021304E">
        <w:rPr>
          <w:rFonts w:ascii="Times New Roman" w:hAnsi="Times New Roman"/>
          <w:sz w:val="20"/>
          <w:szCs w:val="20"/>
          <w:vertAlign w:val="subscript"/>
          <w:lang w:val="en-GB"/>
        </w:rPr>
        <w:t>14g</w:t>
      </w:r>
      <w:r w:rsidRPr="0021304E">
        <w:rPr>
          <w:rFonts w:ascii="Times New Roman" w:hAnsi="Times New Roman"/>
          <w:sz w:val="20"/>
          <w:szCs w:val="20"/>
          <w:lang w:val="en-GB"/>
        </w:rPr>
        <w:t xml:space="preserve"> promoter sequence </w:t>
      </w:r>
      <w:r w:rsidRPr="0021304E">
        <w:rPr>
          <w:rFonts w:ascii="Times New Roman" w:hAnsi="Times New Roman"/>
          <w:sz w:val="20"/>
          <w:szCs w:val="20"/>
        </w:rPr>
        <w:fldChar w:fldCharType="begin" w:fldLock="1"/>
      </w:r>
      <w:r w:rsidRPr="0021304E">
        <w:rPr>
          <w:rFonts w:ascii="Times New Roman" w:hAnsi="Times New Roman"/>
          <w:sz w:val="20"/>
          <w:szCs w:val="20"/>
          <w:lang w:val="en-GB"/>
        </w:rPr>
        <w:instrText>ADDIN CSL_CITATION {"citationItems":[{"id":"ITEM-1","itemData":{"DOI":"10.1021/acssynbio.5b00058","ISSN":"2161-5063","abstract":"The soil bacterium Pseudomonas putida is increasingly attracting considerable interest as a platform for advanced metabolic engineering through synthetic biology approaches. However, genomic context, gene copy number, and transcription/translation interplay often introduce considerable uncertainty to the design of reliable genetic constructs. In this work, we have established a standardized heterologous expression device in which the promoter strength is the only variable; the remaining parameters of the flow have stable default values. To this end, we tailored a mini-Tn7 delivery transposon vector that inserts the constructs in a single genomic locus of P. putida’s chromosome. This was then merged with a promoter insertion site, an unvarying translational coupler, and a downstream location for placing the gene(s) of interest under fixed assembly rules. This arrangement was exploited to benchmark a collection of synthetic promoters with low transcriptional noise in this bacterial host. Growth experiments and flow cytometry with single-copy promoter–GFP constructs revealed a robust, constitutive behavior of these promoters, whose strengths and properties could be faithfully compared. This standardized expression device significantly extends the repertoire of tools available for reliable metabolic engineering and other genetic enhancements of P. putida.","author":[{"dropping-particle":"","family":"Zobel","given":"Sebastian","non-dropping-particle":"","parse-names":false,"suffix":""},{"dropping-particle":"","family":"Benedetti","given":"Ilaria","non-dropping-particle":"","parse-names":false,"suffix":""},{"dropping-particle":"","family":"Eisenbach","given":"Lara","non-dropping-particle":"","parse-names":false,"suffix":""},{"dropping-particle":"","family":"Lorenzo","given":"Victor","non-dropping-particle":"de","parse-names":false,"suffix":""},{"dropping-particle":"","family":"Wierckx","given":"Nick","non-dropping-particle":"","parse-names":false,"suffix":""},{"dropping-particle":"","family":"Blank","given":"Lars M","non-dropping-particle":"","parse-names":false,"suffix":""}],"container-title":"ACS Synthetic Biology","id":"ITEM-1","issue":"12","issued":{"date-parts":[["2015","12","18"]]},"page":"1341-1351","publisher":"ACS Publications","title":"Tn7-Based Device for Calibrated Heterologous Gene Expression in Pseudomonas putida","type":"article-journal","volume":"4"},"uris":["http://www.mendeley.com/documents/?uuid=c92b6d11-ff6d-310d-9b4f-7e884146e254"]}],"mendeley":{"formattedCitation":"(Zobel &lt;i&gt;et al.&lt;/i&gt;, 2015)","plainTextFormattedCitation":"(Zobel et al., 2015)","previouslyFormattedCitation":"(Zobel &lt;i&gt;et al.&lt;/i&gt;, 2015)"},"properties":{"noteIndex":0},"schema":"https://github.com/citation-style-language/schema/raw/master/csl-citation.json"}</w:instrText>
      </w:r>
      <w:r w:rsidRPr="0021304E">
        <w:rPr>
          <w:rFonts w:ascii="Times New Roman" w:hAnsi="Times New Roman"/>
          <w:sz w:val="20"/>
          <w:szCs w:val="20"/>
        </w:rPr>
        <w:fldChar w:fldCharType="separate"/>
      </w:r>
      <w:r w:rsidRPr="0021304E">
        <w:rPr>
          <w:rFonts w:ascii="Times New Roman" w:hAnsi="Times New Roman"/>
          <w:noProof/>
          <w:sz w:val="20"/>
          <w:szCs w:val="20"/>
          <w:lang w:val="en-GB"/>
        </w:rPr>
        <w:t xml:space="preserve">(Zobel </w:t>
      </w:r>
      <w:r w:rsidRPr="0021304E">
        <w:rPr>
          <w:rFonts w:ascii="Times New Roman" w:hAnsi="Times New Roman"/>
          <w:i/>
          <w:noProof/>
          <w:sz w:val="20"/>
          <w:szCs w:val="20"/>
          <w:lang w:val="en-GB"/>
        </w:rPr>
        <w:t>et al.</w:t>
      </w:r>
      <w:r w:rsidRPr="0021304E">
        <w:rPr>
          <w:rFonts w:ascii="Times New Roman" w:hAnsi="Times New Roman"/>
          <w:noProof/>
          <w:sz w:val="20"/>
          <w:szCs w:val="20"/>
          <w:lang w:val="en-GB"/>
        </w:rPr>
        <w:t>, 2015)</w:t>
      </w:r>
      <w:r w:rsidRPr="0021304E">
        <w:rPr>
          <w:rFonts w:ascii="Times New Roman" w:hAnsi="Times New Roman"/>
          <w:sz w:val="20"/>
          <w:szCs w:val="20"/>
        </w:rPr>
        <w:fldChar w:fldCharType="end"/>
      </w:r>
      <w:r w:rsidRPr="0021304E">
        <w:rPr>
          <w:rFonts w:ascii="Times New Roman" w:hAnsi="Times New Roman"/>
          <w:sz w:val="20"/>
          <w:szCs w:val="20"/>
          <w:lang w:val="en-GB"/>
        </w:rPr>
        <w:t xml:space="preserve">. Generated spacer fragments and vector </w:t>
      </w:r>
      <w:proofErr w:type="spellStart"/>
      <w:r w:rsidRPr="0021304E">
        <w:rPr>
          <w:rFonts w:ascii="Times New Roman" w:hAnsi="Times New Roman"/>
          <w:sz w:val="20"/>
          <w:szCs w:val="20"/>
          <w:lang w:val="en-GB"/>
        </w:rPr>
        <w:t>pBG</w:t>
      </w:r>
      <w:proofErr w:type="spellEnd"/>
      <w:r w:rsidRPr="0021304E">
        <w:rPr>
          <w:rFonts w:ascii="Times New Roman" w:hAnsi="Times New Roman"/>
          <w:sz w:val="20"/>
          <w:szCs w:val="20"/>
          <w:lang w:val="en-GB"/>
        </w:rPr>
        <w:t xml:space="preserve"> were digested with </w:t>
      </w:r>
      <w:proofErr w:type="spellStart"/>
      <w:r w:rsidRPr="0021304E">
        <w:rPr>
          <w:rFonts w:ascii="Times New Roman" w:hAnsi="Times New Roman"/>
          <w:i/>
          <w:iCs/>
          <w:sz w:val="20"/>
          <w:szCs w:val="20"/>
          <w:lang w:val="en-GB"/>
        </w:rPr>
        <w:t>Pac</w:t>
      </w:r>
      <w:r w:rsidRPr="0021304E">
        <w:rPr>
          <w:rFonts w:ascii="Times New Roman" w:hAnsi="Times New Roman"/>
          <w:sz w:val="20"/>
          <w:szCs w:val="20"/>
          <w:lang w:val="en-GB"/>
        </w:rPr>
        <w:t>I</w:t>
      </w:r>
      <w:proofErr w:type="spellEnd"/>
      <w:r w:rsidRPr="0021304E">
        <w:rPr>
          <w:rFonts w:ascii="Times New Roman" w:hAnsi="Times New Roman"/>
          <w:i/>
          <w:iCs/>
          <w:sz w:val="20"/>
          <w:szCs w:val="20"/>
          <w:lang w:val="en-GB"/>
        </w:rPr>
        <w:t xml:space="preserve"> </w:t>
      </w:r>
      <w:r w:rsidRPr="0021304E">
        <w:rPr>
          <w:rFonts w:ascii="Times New Roman" w:hAnsi="Times New Roman"/>
          <w:sz w:val="20"/>
          <w:szCs w:val="20"/>
          <w:lang w:val="en-GB"/>
        </w:rPr>
        <w:t xml:space="preserve">and </w:t>
      </w:r>
      <w:proofErr w:type="spellStart"/>
      <w:r w:rsidRPr="0021304E">
        <w:rPr>
          <w:rFonts w:ascii="Times New Roman" w:hAnsi="Times New Roman"/>
          <w:i/>
          <w:iCs/>
          <w:sz w:val="20"/>
          <w:szCs w:val="20"/>
          <w:lang w:val="en-GB"/>
        </w:rPr>
        <w:t>Avr</w:t>
      </w:r>
      <w:r w:rsidRPr="0021304E">
        <w:rPr>
          <w:rFonts w:ascii="Times New Roman" w:hAnsi="Times New Roman"/>
          <w:sz w:val="20"/>
          <w:szCs w:val="20"/>
          <w:lang w:val="en-GB"/>
        </w:rPr>
        <w:t>II</w:t>
      </w:r>
      <w:proofErr w:type="spellEnd"/>
      <w:r w:rsidRPr="0021304E">
        <w:rPr>
          <w:rFonts w:ascii="Times New Roman" w:hAnsi="Times New Roman"/>
          <w:i/>
          <w:iCs/>
          <w:sz w:val="20"/>
          <w:szCs w:val="20"/>
          <w:lang w:val="en-GB"/>
        </w:rPr>
        <w:t xml:space="preserve"> </w:t>
      </w:r>
      <w:r w:rsidRPr="0021304E">
        <w:rPr>
          <w:rFonts w:ascii="Times New Roman" w:hAnsi="Times New Roman"/>
          <w:sz w:val="20"/>
          <w:szCs w:val="20"/>
          <w:lang w:val="en-GB"/>
        </w:rPr>
        <w:t xml:space="preserve">(New England </w:t>
      </w:r>
      <w:proofErr w:type="spellStart"/>
      <w:r w:rsidRPr="0021304E">
        <w:rPr>
          <w:rFonts w:ascii="Times New Roman" w:hAnsi="Times New Roman"/>
          <w:sz w:val="20"/>
          <w:szCs w:val="20"/>
          <w:lang w:val="en-GB"/>
        </w:rPr>
        <w:t>Biolabs</w:t>
      </w:r>
      <w:proofErr w:type="spellEnd"/>
      <w:r w:rsidRPr="0021304E">
        <w:rPr>
          <w:rFonts w:ascii="Times New Roman" w:hAnsi="Times New Roman"/>
          <w:sz w:val="20"/>
          <w:szCs w:val="20"/>
          <w:lang w:val="en-GB"/>
        </w:rPr>
        <w:t xml:space="preserve">) at 37°C. Digested backbone and promoter containing PCR fragments were ligated with T4 ligase (New England </w:t>
      </w:r>
      <w:proofErr w:type="spellStart"/>
      <w:r w:rsidRPr="0021304E">
        <w:rPr>
          <w:rFonts w:ascii="Times New Roman" w:hAnsi="Times New Roman"/>
          <w:sz w:val="20"/>
          <w:szCs w:val="20"/>
          <w:lang w:val="en-GB"/>
        </w:rPr>
        <w:t>Biolabs</w:t>
      </w:r>
      <w:proofErr w:type="spellEnd"/>
      <w:r w:rsidRPr="0021304E">
        <w:rPr>
          <w:rFonts w:ascii="Times New Roman" w:hAnsi="Times New Roman"/>
          <w:sz w:val="20"/>
          <w:szCs w:val="20"/>
          <w:lang w:val="en-GB"/>
        </w:rPr>
        <w:t xml:space="preserve">) at room temperature for 30 minutes. Transformation into chemically competent </w:t>
      </w:r>
      <w:r w:rsidRPr="0021304E">
        <w:rPr>
          <w:rFonts w:ascii="Times New Roman" w:hAnsi="Times New Roman"/>
          <w:i/>
          <w:iCs/>
          <w:sz w:val="20"/>
          <w:szCs w:val="20"/>
          <w:lang w:val="en-GB"/>
        </w:rPr>
        <w:t xml:space="preserve">Escherichia coli </w:t>
      </w:r>
      <w:r w:rsidRPr="0021304E">
        <w:rPr>
          <w:rFonts w:ascii="Times New Roman" w:hAnsi="Times New Roman"/>
          <w:sz w:val="20"/>
          <w:szCs w:val="20"/>
          <w:lang w:val="en-GB"/>
        </w:rPr>
        <w:t xml:space="preserve">PIR2 cells was done by heat shock </w:t>
      </w:r>
      <w:r w:rsidRPr="0021304E">
        <w:rPr>
          <w:rFonts w:ascii="Times New Roman" w:hAnsi="Times New Roman"/>
          <w:sz w:val="20"/>
          <w:szCs w:val="20"/>
        </w:rPr>
        <w:fldChar w:fldCharType="begin" w:fldLock="1"/>
      </w:r>
      <w:r w:rsidRPr="0021304E">
        <w:rPr>
          <w:rFonts w:ascii="Times New Roman" w:hAnsi="Times New Roman"/>
          <w:sz w:val="20"/>
          <w:szCs w:val="20"/>
          <w:lang w:val="en-GB"/>
        </w:rPr>
        <w:instrText>ADDIN CSL_CITATION {"citationItems":[{"id":"ITEM-1","itemData":{"DOI":"10.1016/S0022-2836(83)80284-8","ISSN":"00222836","PMID":"6345791","abstract":"Factors that affect the probability of genetic transformation of Escherichia coli by plasmids have been evaluated. A set of conditions is described under which about one in every 400 plasmid molecules produces a transformed cell. These conditions include cell growth in medium containing elevated levels of Mg2+, and incubation of the cells at 0°C in a solution of Mn2+, Ca2+, Rb+ or K+, dimethyl sulfoxide, dithiothreitol, and hexamine cobalt (III). Transformation efficiency declines linearly with increasing plasmid size. Relaxed and supercoiled plasmids transform with similar probabilities. Non-transforming DNAs compete consistent with mass. No significant variation is observed between competing DNAs of different source, complexity, length or form. Competition with both transforming and non-transforming plasmids indicates that each cell is capable of taking up many DNA molecules, and that the establishment of a transformation event is neither helped nor hindered significantly by the presence of multiple plasmids. © 1983 Academic Press Inc. (London) Ltd.","author":[{"dropping-particle":"","family":"Hanahan","given":"Douglas","non-dropping-particle":"","parse-names":false,"suffix":""}],"container-title":"Journal of Molecular Biology","id":"ITEM-1","issue":"4","issued":{"date-parts":[["1983","6","5"]]},"page":"557-580","publisher":"Academic Press","title":"Studies on transformation of Escherichia coli with plasmids","type":"article-journal","volume":"166"},"uris":["http://www.mendeley.com/documents/?uuid=aab724c2-f721-3366-906b-34135fece9e1"]}],"mendeley":{"formattedCitation":"(Hanahan, 1983)","plainTextFormattedCitation":"(Hanahan, 1983)","previouslyFormattedCitation":"(Hanahan, 1983)"},"properties":{"noteIndex":0},"schema":"https://github.com/citation-style-language/schema/raw/master/csl-citation.json"}</w:instrText>
      </w:r>
      <w:r w:rsidRPr="0021304E">
        <w:rPr>
          <w:rFonts w:ascii="Times New Roman" w:hAnsi="Times New Roman"/>
          <w:sz w:val="20"/>
          <w:szCs w:val="20"/>
        </w:rPr>
        <w:fldChar w:fldCharType="separate"/>
      </w:r>
      <w:r w:rsidRPr="0021304E">
        <w:rPr>
          <w:rFonts w:ascii="Times New Roman" w:hAnsi="Times New Roman"/>
          <w:noProof/>
          <w:sz w:val="20"/>
          <w:szCs w:val="20"/>
          <w:lang w:val="en-GB"/>
        </w:rPr>
        <w:t>(Hanahan, 1983)</w:t>
      </w:r>
      <w:r w:rsidRPr="0021304E">
        <w:rPr>
          <w:rFonts w:ascii="Times New Roman" w:hAnsi="Times New Roman"/>
          <w:sz w:val="20"/>
          <w:szCs w:val="20"/>
        </w:rPr>
        <w:fldChar w:fldCharType="end"/>
      </w:r>
      <w:r w:rsidRPr="0021304E">
        <w:rPr>
          <w:rFonts w:ascii="Times New Roman" w:hAnsi="Times New Roman"/>
          <w:sz w:val="20"/>
          <w:szCs w:val="20"/>
          <w:lang w:val="en-GB"/>
        </w:rPr>
        <w:t xml:space="preserve">. Further characterization of plasmid bearing </w:t>
      </w:r>
      <w:r w:rsidRPr="0021304E">
        <w:rPr>
          <w:rFonts w:ascii="Times New Roman" w:hAnsi="Times New Roman"/>
          <w:i/>
          <w:iCs/>
          <w:sz w:val="20"/>
          <w:szCs w:val="20"/>
          <w:lang w:val="en-GB"/>
        </w:rPr>
        <w:t>E. coli</w:t>
      </w:r>
      <w:r w:rsidRPr="0021304E">
        <w:rPr>
          <w:rFonts w:ascii="Times New Roman" w:hAnsi="Times New Roman"/>
          <w:sz w:val="20"/>
          <w:szCs w:val="20"/>
          <w:lang w:val="en-GB"/>
        </w:rPr>
        <w:t xml:space="preserve"> PIR2 cells was based on </w:t>
      </w:r>
      <w:proofErr w:type="spellStart"/>
      <w:r w:rsidRPr="0021304E">
        <w:rPr>
          <w:rFonts w:ascii="Times New Roman" w:hAnsi="Times New Roman"/>
          <w:sz w:val="20"/>
          <w:szCs w:val="20"/>
          <w:lang w:val="en-GB"/>
        </w:rPr>
        <w:t>msfGFP</w:t>
      </w:r>
      <w:proofErr w:type="spellEnd"/>
      <w:r w:rsidRPr="0021304E">
        <w:rPr>
          <w:rFonts w:ascii="Times New Roman" w:hAnsi="Times New Roman"/>
          <w:sz w:val="20"/>
          <w:szCs w:val="20"/>
          <w:lang w:val="en-GB"/>
        </w:rPr>
        <w:t xml:space="preserve"> fluorescence measurements with a </w:t>
      </w:r>
      <w:proofErr w:type="spellStart"/>
      <w:r w:rsidRPr="0021304E">
        <w:rPr>
          <w:rFonts w:ascii="Times New Roman" w:hAnsi="Times New Roman"/>
          <w:sz w:val="20"/>
          <w:szCs w:val="20"/>
          <w:lang w:val="en-GB"/>
        </w:rPr>
        <w:t>synergyMX</w:t>
      </w:r>
      <w:proofErr w:type="spellEnd"/>
      <w:r w:rsidRPr="0021304E">
        <w:rPr>
          <w:rFonts w:ascii="Times New Roman" w:hAnsi="Times New Roman"/>
          <w:sz w:val="20"/>
          <w:szCs w:val="20"/>
          <w:lang w:val="en-GB"/>
        </w:rPr>
        <w:t xml:space="preserve"> plate reader (</w:t>
      </w:r>
      <w:proofErr w:type="spellStart"/>
      <w:r w:rsidRPr="0021304E">
        <w:rPr>
          <w:rFonts w:ascii="Times New Roman" w:hAnsi="Times New Roman"/>
          <w:sz w:val="20"/>
          <w:szCs w:val="20"/>
          <w:lang w:val="en-GB"/>
        </w:rPr>
        <w:t>Biotek</w:t>
      </w:r>
      <w:proofErr w:type="spellEnd"/>
      <w:r w:rsidRPr="0021304E">
        <w:rPr>
          <w:rFonts w:ascii="Times New Roman" w:hAnsi="Times New Roman"/>
          <w:sz w:val="20"/>
          <w:szCs w:val="20"/>
          <w:lang w:val="en-GB"/>
        </w:rPr>
        <w:t xml:space="preserve">) at an excitation wavelength of 488 nm and emission wavelength of 520 nm. Plasmids containing different synthetic promoter sequences were sequenced (Eurofins Genomics) and afterwards </w:t>
      </w:r>
      <w:proofErr w:type="spellStart"/>
      <w:r w:rsidRPr="0021304E">
        <w:rPr>
          <w:rFonts w:ascii="Times New Roman" w:hAnsi="Times New Roman"/>
          <w:sz w:val="20"/>
          <w:szCs w:val="20"/>
          <w:lang w:val="en-GB"/>
        </w:rPr>
        <w:t>genomically</w:t>
      </w:r>
      <w:proofErr w:type="spellEnd"/>
      <w:r w:rsidRPr="0021304E">
        <w:rPr>
          <w:rFonts w:ascii="Times New Roman" w:hAnsi="Times New Roman"/>
          <w:sz w:val="20"/>
          <w:szCs w:val="20"/>
          <w:lang w:val="en-GB"/>
        </w:rPr>
        <w:t xml:space="preserve"> integrated into the </w:t>
      </w:r>
      <w:r w:rsidRPr="0021304E">
        <w:rPr>
          <w:rFonts w:ascii="Times New Roman" w:hAnsi="Times New Roman"/>
          <w:i/>
          <w:iCs/>
          <w:sz w:val="20"/>
          <w:szCs w:val="20"/>
          <w:lang w:val="en-GB"/>
        </w:rPr>
        <w:t>attTn7</w:t>
      </w:r>
      <w:r w:rsidRPr="0021304E">
        <w:rPr>
          <w:rFonts w:ascii="Times New Roman" w:hAnsi="Times New Roman"/>
          <w:sz w:val="20"/>
          <w:szCs w:val="20"/>
          <w:lang w:val="en-GB"/>
        </w:rPr>
        <w:t xml:space="preserve"> site of </w:t>
      </w:r>
      <w:r w:rsidRPr="0021304E">
        <w:rPr>
          <w:rFonts w:ascii="Times New Roman" w:hAnsi="Times New Roman"/>
          <w:i/>
          <w:iCs/>
          <w:sz w:val="20"/>
          <w:szCs w:val="20"/>
          <w:lang w:val="en-GB"/>
        </w:rPr>
        <w:t xml:space="preserve">P. putida </w:t>
      </w:r>
      <w:r w:rsidRPr="0021304E">
        <w:rPr>
          <w:rFonts w:ascii="Times New Roman" w:hAnsi="Times New Roman"/>
          <w:sz w:val="20"/>
          <w:szCs w:val="20"/>
          <w:lang w:val="en-GB"/>
        </w:rPr>
        <w:t xml:space="preserve">KT2440 by mating </w:t>
      </w:r>
      <w:r w:rsidRPr="0021304E">
        <w:rPr>
          <w:rFonts w:ascii="Times New Roman" w:hAnsi="Times New Roman"/>
          <w:sz w:val="20"/>
          <w:szCs w:val="20"/>
        </w:rPr>
        <w:fldChar w:fldCharType="begin" w:fldLock="1"/>
      </w:r>
      <w:r w:rsidRPr="0021304E">
        <w:rPr>
          <w:rFonts w:ascii="Times New Roman" w:hAnsi="Times New Roman"/>
          <w:sz w:val="20"/>
          <w:szCs w:val="20"/>
          <w:lang w:val="en-GB"/>
        </w:rPr>
        <w:instrText>ADDIN CSL_CITATION {"citationItems":[{"id":"ITEM-1","itemData":{"DOI":"10.1021/acssynbio.5b00058","ISSN":"2161-5063","abstract":"The soil bacterium Pseudomonas putida is increasingly attracting considerable interest as a platform for advanced metabolic engineering through synthetic biology approaches. However, genomic context, gene copy number, and transcription/translation interplay often introduce considerable uncertainty to the design of reliable genetic constructs. In this work, we have established a standardized heterologous expression device in which the promoter strength is the only variable; the remaining parameters of the flow have stable default values. To this end, we tailored a mini-Tn7 delivery transposon vector that inserts the constructs in a single genomic locus of P. putida’s chromosome. This was then merged with a promoter insertion site, an unvarying translational coupler, and a downstream location for placing the gene(s) of interest under fixed assembly rules. This arrangement was exploited to benchmark a collection of synthetic promoters with low transcriptional noise in this bacterial host. Growth experiments and flow cytometry with single-copy promoter–GFP constructs revealed a robust, constitutive behavior of these promoters, whose strengths and properties could be faithf</w:instrText>
      </w:r>
      <w:r w:rsidRPr="0021304E">
        <w:rPr>
          <w:rFonts w:ascii="Times New Roman" w:hAnsi="Times New Roman"/>
          <w:sz w:val="20"/>
          <w:szCs w:val="20"/>
        </w:rPr>
        <w:instrText>ully compared. This standardized expression device significantly extends the repertoire of tools avai</w:instrText>
      </w:r>
      <w:r w:rsidRPr="0021304E">
        <w:rPr>
          <w:rFonts w:ascii="Times New Roman" w:hAnsi="Times New Roman"/>
          <w:sz w:val="20"/>
          <w:szCs w:val="20"/>
          <w:lang w:val="en-GB"/>
        </w:rPr>
        <w:instrText>lable for reliable metabolic engineering and other genetic enhancements of P. putida.","author":[{"dropping-particle":"","family":"Zobel","given":"Sebastian","non-dropping-particle":"","parse-names":false,"suffix":""},{"dropping-particle":"","family":"Benedetti","given":"Ilaria","non-dropping-particle":"","parse-names":false,"suffix":""},{"dropping-particle":"","family":"Eisenbach","given":"Lara","non-dropping-particle":"","parse-names":false,"suffix":""},{"dropping-particle":"","family":"Lorenzo","given":"Victor","non-dropping-particle":"de","parse-names":false,"suffix":""},{"dropping-particle":"","family":"Wierckx","given":"Nick","non-dropping-particle":"","parse-names":false,"suffix":""},{"dropping-particle":"","family":"Blank","given":"Lars M","non-dropping-particle":"","parse-names":false,"suffix":""}],"container-title":"ACS Synthetic Biology","id":"ITEM-1","issue":"12","issued":{"date-parts":[["2015","12","18"]]},"page":"1341-1351","publisher":"ACS Publications","title":"Tn7-Based Device for Calibrated Heterologous Gene Expression in Pseudomonas putida","type":"article-journal","volume":"4"},"uris":["http://www.mendeley.com/documents/?uuid=c92b6d11-ff6d-310d-9b4f-7e884146e254"]}],"mendeley":{"formattedCitation":"(Zobel &lt;i&gt;et al.&lt;/i&gt;, 2015)","plainTextFormattedCitation":"(Zobel et al., 2015)","previouslyFormattedCitation":"(Zobel &lt;i&gt;et al.&lt;/i&gt;, 2015)"},"properties":{"noteIndex":0},"schema":"https://github.com/citation-style-language/schema/raw/master/csl-citation.json"}</w:instrText>
      </w:r>
      <w:r w:rsidRPr="0021304E">
        <w:rPr>
          <w:rFonts w:ascii="Times New Roman" w:hAnsi="Times New Roman"/>
          <w:sz w:val="20"/>
          <w:szCs w:val="20"/>
        </w:rPr>
        <w:fldChar w:fldCharType="separate"/>
      </w:r>
      <w:r w:rsidRPr="0021304E">
        <w:rPr>
          <w:rFonts w:ascii="Times New Roman" w:hAnsi="Times New Roman"/>
          <w:noProof/>
          <w:sz w:val="20"/>
          <w:szCs w:val="20"/>
          <w:lang w:val="en-GB"/>
        </w:rPr>
        <w:t xml:space="preserve">(Zobel </w:t>
      </w:r>
      <w:r w:rsidRPr="0021304E">
        <w:rPr>
          <w:rFonts w:ascii="Times New Roman" w:hAnsi="Times New Roman"/>
          <w:i/>
          <w:noProof/>
          <w:sz w:val="20"/>
          <w:szCs w:val="20"/>
          <w:lang w:val="en-GB"/>
        </w:rPr>
        <w:t>et al.</w:t>
      </w:r>
      <w:r w:rsidRPr="0021304E">
        <w:rPr>
          <w:rFonts w:ascii="Times New Roman" w:hAnsi="Times New Roman"/>
          <w:noProof/>
          <w:sz w:val="20"/>
          <w:szCs w:val="20"/>
          <w:lang w:val="en-GB"/>
        </w:rPr>
        <w:t>, 2015)</w:t>
      </w:r>
      <w:r w:rsidRPr="0021304E">
        <w:rPr>
          <w:rFonts w:ascii="Times New Roman" w:hAnsi="Times New Roman"/>
          <w:sz w:val="20"/>
          <w:szCs w:val="20"/>
        </w:rPr>
        <w:fldChar w:fldCharType="end"/>
      </w:r>
      <w:r w:rsidRPr="0021304E">
        <w:rPr>
          <w:rFonts w:ascii="Times New Roman" w:hAnsi="Times New Roman"/>
          <w:sz w:val="20"/>
          <w:szCs w:val="20"/>
          <w:lang w:val="en-GB"/>
        </w:rPr>
        <w:t xml:space="preserve">. For promoter characterization in </w:t>
      </w:r>
      <w:r w:rsidRPr="0021304E">
        <w:rPr>
          <w:rFonts w:ascii="Times New Roman" w:hAnsi="Times New Roman"/>
          <w:i/>
          <w:iCs/>
          <w:sz w:val="20"/>
          <w:szCs w:val="20"/>
          <w:lang w:val="en-GB"/>
        </w:rPr>
        <w:t xml:space="preserve">P. putida </w:t>
      </w:r>
      <w:r w:rsidRPr="0021304E">
        <w:rPr>
          <w:rFonts w:ascii="Times New Roman" w:hAnsi="Times New Roman"/>
          <w:sz w:val="20"/>
          <w:szCs w:val="20"/>
          <w:lang w:val="en-GB"/>
        </w:rPr>
        <w:t xml:space="preserve">KT2440 a </w:t>
      </w:r>
      <w:proofErr w:type="spellStart"/>
      <w:r w:rsidRPr="0021304E">
        <w:rPr>
          <w:rFonts w:ascii="Times New Roman" w:hAnsi="Times New Roman"/>
          <w:sz w:val="20"/>
          <w:szCs w:val="20"/>
          <w:lang w:val="en-GB"/>
        </w:rPr>
        <w:t>Biolector</w:t>
      </w:r>
      <w:proofErr w:type="spellEnd"/>
      <w:r w:rsidRPr="0021304E">
        <w:rPr>
          <w:rFonts w:ascii="Times New Roman" w:hAnsi="Times New Roman"/>
          <w:sz w:val="20"/>
          <w:szCs w:val="20"/>
          <w:lang w:val="en-GB"/>
        </w:rPr>
        <w:t xml:space="preserve"> was used (M2P Labs). Cells were grown in minimal medium as described by </w:t>
      </w:r>
      <w:proofErr w:type="spellStart"/>
      <w:r w:rsidRPr="0021304E">
        <w:rPr>
          <w:rFonts w:ascii="Times New Roman" w:hAnsi="Times New Roman"/>
          <w:sz w:val="20"/>
          <w:szCs w:val="20"/>
          <w:lang w:val="en-GB"/>
        </w:rPr>
        <w:t>Hartmans</w:t>
      </w:r>
      <w:proofErr w:type="spellEnd"/>
      <w:r w:rsidRPr="0021304E">
        <w:rPr>
          <w:rFonts w:ascii="Times New Roman" w:hAnsi="Times New Roman"/>
          <w:sz w:val="20"/>
          <w:szCs w:val="20"/>
          <w:lang w:val="en-GB"/>
        </w:rPr>
        <w:t xml:space="preserve"> </w:t>
      </w:r>
      <w:r w:rsidRPr="0021304E">
        <w:rPr>
          <w:rFonts w:ascii="Times New Roman" w:hAnsi="Times New Roman"/>
          <w:i/>
          <w:sz w:val="20"/>
          <w:szCs w:val="20"/>
          <w:lang w:val="en-GB"/>
        </w:rPr>
        <w:t>et al</w:t>
      </w:r>
      <w:r w:rsidRPr="0021304E">
        <w:rPr>
          <w:rFonts w:ascii="Times New Roman" w:hAnsi="Times New Roman"/>
          <w:sz w:val="20"/>
          <w:szCs w:val="20"/>
          <w:lang w:val="en-GB"/>
        </w:rPr>
        <w:t xml:space="preserve">. </w:t>
      </w:r>
      <w:r w:rsidRPr="0021304E">
        <w:rPr>
          <w:rFonts w:ascii="Times New Roman" w:hAnsi="Times New Roman"/>
          <w:sz w:val="20"/>
          <w:szCs w:val="20"/>
        </w:rPr>
        <w:fldChar w:fldCharType="begin" w:fldLock="1"/>
      </w:r>
      <w:r w:rsidRPr="0021304E">
        <w:rPr>
          <w:rFonts w:ascii="Times New Roman" w:hAnsi="Times New Roman"/>
          <w:sz w:val="20"/>
          <w:szCs w:val="20"/>
          <w:lang w:val="en-GB"/>
        </w:rPr>
        <w:instrText>ADDIN CSL_CITATION {"citationItems":[{"id":"ITEM-1","itemData":{"author":[{"dropping-particle":"","family":"Hartmans","given":"S.","non-dropping-particle":"","parse-names":false,"suffix":""},{"dropping-particle":"","family":"Smits","given":"J. P.","non-dropping-particle":"","parse-names":false,"suffix":""},{"dropping-particle":"","family":"Werf","given":"M. J.","non-dropping-particle":"van der","parse-names":false,"suffix":""},{"dropping-particle":"","family":"Volkering","given":"F.","non-dropping-particle":"","parse-names":false,"suffix":""},{"dropping-particle":"","family":"Bont","given":"J. A. M.","non-dropping-particle":"de","parse-names":false,"suffix":""}],"container-title":"Applied and Environmental Microbiology","id":"ITEM-1","issue":"11","issued":{"date-parts":[["1989"]]},"title":"Metabolism of Styrene Oxide and 2-Phenylethanol in the Styrene-Degrading Xanthobacter Strain 124X","type":"article-journal","volume":"55"},"suppress-author":1,"uris":["http://www.mendeley.com/documents/?uuid=ee59dc5c-37c1-3305-b9ba-eba38cb93380"]}],"mendeley":{"formattedCitation":"(1989)","plainTextFormattedCitation":"(1989)","previouslyFormattedCitation":"(Hartmans &lt;i&gt;et al.&lt;/i&gt;, 1989)"},"properties":{"noteIndex":0},"schema":"https://github.com/citation-style-language/schema/raw/master/csl-citation.json"}</w:instrText>
      </w:r>
      <w:r w:rsidRPr="0021304E">
        <w:rPr>
          <w:rFonts w:ascii="Times New Roman" w:hAnsi="Times New Roman"/>
          <w:sz w:val="20"/>
          <w:szCs w:val="20"/>
        </w:rPr>
        <w:fldChar w:fldCharType="separate"/>
      </w:r>
      <w:r w:rsidRPr="0021304E">
        <w:rPr>
          <w:rFonts w:ascii="Times New Roman" w:hAnsi="Times New Roman"/>
          <w:noProof/>
          <w:sz w:val="20"/>
          <w:szCs w:val="20"/>
          <w:lang w:val="en-GB"/>
        </w:rPr>
        <w:t>(1989)</w:t>
      </w:r>
      <w:r w:rsidRPr="0021304E">
        <w:rPr>
          <w:rFonts w:ascii="Times New Roman" w:hAnsi="Times New Roman"/>
          <w:sz w:val="20"/>
          <w:szCs w:val="20"/>
        </w:rPr>
        <w:fldChar w:fldCharType="end"/>
      </w:r>
      <w:r w:rsidRPr="0021304E">
        <w:rPr>
          <w:rFonts w:ascii="Times New Roman" w:hAnsi="Times New Roman"/>
          <w:sz w:val="20"/>
          <w:szCs w:val="20"/>
          <w:lang w:val="en-GB"/>
        </w:rPr>
        <w:t xml:space="preserve"> with 20 </w:t>
      </w:r>
      <w:proofErr w:type="spellStart"/>
      <w:r w:rsidRPr="0021304E">
        <w:rPr>
          <w:rFonts w:ascii="Times New Roman" w:hAnsi="Times New Roman"/>
          <w:sz w:val="20"/>
          <w:szCs w:val="20"/>
          <w:lang w:val="en-GB"/>
        </w:rPr>
        <w:t>mM</w:t>
      </w:r>
      <w:proofErr w:type="spellEnd"/>
      <w:r w:rsidRPr="0021304E">
        <w:rPr>
          <w:rFonts w:ascii="Times New Roman" w:hAnsi="Times New Roman"/>
          <w:sz w:val="20"/>
          <w:szCs w:val="20"/>
          <w:lang w:val="en-GB"/>
        </w:rPr>
        <w:t xml:space="preserve"> glucose as carbon source. The </w:t>
      </w:r>
      <w:proofErr w:type="spellStart"/>
      <w:r w:rsidRPr="0021304E">
        <w:rPr>
          <w:rFonts w:ascii="Times New Roman" w:hAnsi="Times New Roman"/>
          <w:sz w:val="20"/>
          <w:szCs w:val="20"/>
          <w:lang w:val="en-GB"/>
        </w:rPr>
        <w:t>Biolector</w:t>
      </w:r>
      <w:proofErr w:type="spellEnd"/>
      <w:r w:rsidRPr="0021304E">
        <w:rPr>
          <w:rFonts w:ascii="Times New Roman" w:hAnsi="Times New Roman"/>
          <w:sz w:val="20"/>
          <w:szCs w:val="20"/>
          <w:lang w:val="en-GB"/>
        </w:rPr>
        <w:t xml:space="preserve"> system measured optical density at 620 nm, </w:t>
      </w:r>
      <w:proofErr w:type="spellStart"/>
      <w:r w:rsidRPr="0021304E">
        <w:rPr>
          <w:rFonts w:ascii="Times New Roman" w:hAnsi="Times New Roman"/>
          <w:sz w:val="20"/>
          <w:szCs w:val="20"/>
          <w:lang w:val="en-GB"/>
        </w:rPr>
        <w:t>msfGFP</w:t>
      </w:r>
      <w:proofErr w:type="spellEnd"/>
      <w:r w:rsidRPr="0021304E">
        <w:rPr>
          <w:rFonts w:ascii="Times New Roman" w:hAnsi="Times New Roman"/>
          <w:sz w:val="20"/>
          <w:szCs w:val="20"/>
          <w:lang w:val="en-GB"/>
        </w:rPr>
        <w:t xml:space="preserve"> was measured at excitation wavelength at 488 nm and emission wavelength of 520 nm. Scattered light was correlated to OD</w:t>
      </w:r>
      <w:r w:rsidRPr="0021304E">
        <w:rPr>
          <w:rFonts w:ascii="Times New Roman" w:hAnsi="Times New Roman"/>
          <w:sz w:val="20"/>
          <w:szCs w:val="20"/>
          <w:vertAlign w:val="subscript"/>
          <w:lang w:val="en-GB"/>
        </w:rPr>
        <w:t>600</w:t>
      </w:r>
      <w:r w:rsidRPr="0021304E">
        <w:rPr>
          <w:rFonts w:ascii="Times New Roman" w:hAnsi="Times New Roman"/>
          <w:sz w:val="20"/>
          <w:szCs w:val="20"/>
          <w:lang w:val="en-GB"/>
        </w:rPr>
        <w:t xml:space="preserve"> with a dilution series of a stationary phase culture. Promoter activity is reflecting the </w:t>
      </w:r>
      <w:r w:rsidRPr="0021304E">
        <w:rPr>
          <w:rFonts w:ascii="Times New Roman" w:hAnsi="Times New Roman"/>
          <w:sz w:val="20"/>
          <w:szCs w:val="20"/>
          <w:lang w:val="en-GB"/>
        </w:rPr>
        <w:lastRenderedPageBreak/>
        <w:t>slope of the function of fluorescence over OD</w:t>
      </w:r>
      <w:r w:rsidRPr="0021304E">
        <w:rPr>
          <w:rFonts w:ascii="Times New Roman" w:hAnsi="Times New Roman"/>
          <w:sz w:val="20"/>
          <w:szCs w:val="20"/>
          <w:vertAlign w:val="subscript"/>
          <w:lang w:val="en-GB"/>
        </w:rPr>
        <w:t>600</w:t>
      </w:r>
      <w:r w:rsidRPr="0021304E">
        <w:rPr>
          <w:rFonts w:ascii="Times New Roman" w:hAnsi="Times New Roman"/>
          <w:sz w:val="20"/>
          <w:szCs w:val="20"/>
          <w:lang w:val="en-GB"/>
        </w:rPr>
        <w:t xml:space="preserve"> at the beginning of the exponential phase. </w:t>
      </w:r>
      <w:r w:rsidRPr="0021304E">
        <w:rPr>
          <w:rFonts w:ascii="Times New Roman" w:hAnsi="Times New Roman"/>
          <w:sz w:val="20"/>
          <w:szCs w:val="20"/>
        </w:rPr>
        <w:t>More detailed information is given in Köbbing et al. (2020).</w:t>
      </w:r>
      <w:r w:rsidR="00592B8A">
        <w:rPr>
          <w:noProof/>
        </w:rPr>
        <mc:AlternateContent>
          <mc:Choice Requires="wps">
            <w:drawing>
              <wp:anchor distT="45720" distB="45720" distL="114300" distR="114300" simplePos="0" relativeHeight="251665408" behindDoc="0" locked="1" layoutInCell="1" allowOverlap="0" wp14:anchorId="5AF4052A" wp14:editId="5E77121E">
                <wp:simplePos x="0" y="0"/>
                <wp:positionH relativeFrom="margin">
                  <wp:align>right</wp:align>
                </wp:positionH>
                <wp:positionV relativeFrom="margin">
                  <wp:posOffset>7153910</wp:posOffset>
                </wp:positionV>
                <wp:extent cx="5756910" cy="1842770"/>
                <wp:effectExtent l="0" t="0" r="0"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1842770"/>
                        </a:xfrm>
                        <a:prstGeom prst="rect">
                          <a:avLst/>
                        </a:prstGeom>
                        <a:solidFill>
                          <a:srgbClr val="FFFFFF"/>
                        </a:solidFill>
                        <a:ln w="9525">
                          <a:noFill/>
                          <a:miter lim="800000"/>
                          <a:headEnd/>
                          <a:tailEnd/>
                        </a:ln>
                      </wps:spPr>
                      <wps:txbx>
                        <w:txbxContent>
                          <w:p w:rsidR="00CD1B4A" w:rsidRDefault="00CD1B4A" w:rsidP="00592B8A">
                            <w:pPr>
                              <w:pStyle w:val="Caption"/>
                              <w:keepNext/>
                            </w:pPr>
                            <w:bookmarkStart w:id="0" w:name="_Ref58869446"/>
                            <w:r w:rsidRPr="00347EB0">
                              <w:rPr>
                                <w:rFonts w:ascii="Times New Roman" w:hAnsi="Times New Roman"/>
                                <w:sz w:val="16"/>
                                <w:szCs w:val="16"/>
                              </w:rPr>
                              <w:t xml:space="preserve">Table </w:t>
                            </w:r>
                            <w:r w:rsidRPr="00347EB0">
                              <w:rPr>
                                <w:rFonts w:ascii="Times New Roman" w:hAnsi="Times New Roman"/>
                                <w:sz w:val="16"/>
                                <w:szCs w:val="16"/>
                              </w:rPr>
                              <w:fldChar w:fldCharType="begin"/>
                            </w:r>
                            <w:r w:rsidRPr="00347EB0">
                              <w:rPr>
                                <w:rFonts w:ascii="Times New Roman" w:hAnsi="Times New Roman"/>
                                <w:sz w:val="16"/>
                                <w:szCs w:val="16"/>
                              </w:rPr>
                              <w:instrText xml:space="preserve"> SEQ Table \* ARABIC </w:instrText>
                            </w:r>
                            <w:r w:rsidRPr="00347EB0">
                              <w:rPr>
                                <w:rFonts w:ascii="Times New Roman" w:hAnsi="Times New Roman"/>
                                <w:sz w:val="16"/>
                                <w:szCs w:val="16"/>
                              </w:rPr>
                              <w:fldChar w:fldCharType="separate"/>
                            </w:r>
                            <w:r w:rsidR="00397734">
                              <w:rPr>
                                <w:rFonts w:ascii="Times New Roman" w:hAnsi="Times New Roman"/>
                                <w:noProof/>
                                <w:sz w:val="16"/>
                                <w:szCs w:val="16"/>
                              </w:rPr>
                              <w:t>1</w:t>
                            </w:r>
                            <w:r w:rsidRPr="00347EB0">
                              <w:rPr>
                                <w:rFonts w:ascii="Times New Roman" w:hAnsi="Times New Roman"/>
                                <w:sz w:val="16"/>
                                <w:szCs w:val="16"/>
                              </w:rPr>
                              <w:fldChar w:fldCharType="end"/>
                            </w:r>
                            <w:bookmarkEnd w:id="0"/>
                            <w:r w:rsidRPr="00347EB0">
                              <w:rPr>
                                <w:rFonts w:ascii="Times New Roman" w:hAnsi="Times New Roman"/>
                                <w:sz w:val="16"/>
                                <w:szCs w:val="16"/>
                              </w:rPr>
                              <w:t xml:space="preserve">: </w:t>
                            </w:r>
                            <w:r w:rsidRPr="2917BBD7">
                              <w:rPr>
                                <w:rFonts w:ascii="Times New Roman" w:hAnsi="Times New Roman"/>
                                <w:sz w:val="16"/>
                                <w:szCs w:val="16"/>
                              </w:rPr>
                              <w:t>Classification quality report for random forest (RFC), gradient boosting (GBC) and support vector (SVC). The training was performed with the same Train-Test (10% hold out) and the entropy threshold was 0.</w:t>
                            </w:r>
                            <w:r>
                              <w:rPr>
                                <w:rFonts w:ascii="Times New Roman" w:hAnsi="Times New Roman"/>
                                <w:sz w:val="16"/>
                                <w:szCs w:val="16"/>
                              </w:rPr>
                              <w:t>2</w:t>
                            </w:r>
                            <w:r w:rsidRPr="2917BBD7">
                              <w:rPr>
                                <w:rFonts w:ascii="Times New Roman" w:hAnsi="Times New Roman"/>
                                <w:sz w:val="16"/>
                                <w:szCs w:val="16"/>
                              </w:rPr>
                              <w:t xml:space="preserve"> bits resulting in five positions as input features. The weighted f1-score represents prediction accuracy and is calculated from precision and recall. The feature importance for nucleotide-position and GC-content was only determined for tree-methods (RFC and GBC).</w:t>
                            </w:r>
                          </w:p>
                          <w:tbl>
                            <w:tblPr>
                              <w:tblStyle w:val="TableGrid"/>
                              <w:tblW w:w="0" w:type="auto"/>
                              <w:jc w:val="center"/>
                              <w:tblLook w:val="06A0" w:firstRow="1" w:lastRow="0" w:firstColumn="1" w:lastColumn="0" w:noHBand="1" w:noVBand="1"/>
                            </w:tblPr>
                            <w:tblGrid>
                              <w:gridCol w:w="1207"/>
                              <w:gridCol w:w="1111"/>
                              <w:gridCol w:w="1071"/>
                              <w:gridCol w:w="1071"/>
                            </w:tblGrid>
                            <w:tr w:rsidR="00CD1B4A" w:rsidTr="00592B8A">
                              <w:trPr>
                                <w:jc w:val="center"/>
                              </w:trPr>
                              <w:tc>
                                <w:tcPr>
                                  <w:tcW w:w="0" w:type="auto"/>
                                </w:tcPr>
                                <w:p w:rsidR="00CD1B4A" w:rsidRDefault="00CD1B4A" w:rsidP="00CD1B4A">
                                  <w:pPr>
                                    <w:rPr>
                                      <w:sz w:val="16"/>
                                      <w:szCs w:val="16"/>
                                    </w:rPr>
                                  </w:pPr>
                                </w:p>
                              </w:tc>
                              <w:tc>
                                <w:tcPr>
                                  <w:tcW w:w="0" w:type="auto"/>
                                </w:tcPr>
                                <w:p w:rsidR="00CD1B4A" w:rsidRDefault="00CD1B4A" w:rsidP="00CD1B4A">
                                  <w:pPr>
                                    <w:rPr>
                                      <w:sz w:val="16"/>
                                      <w:szCs w:val="16"/>
                                    </w:rPr>
                                  </w:pPr>
                                  <w:r w:rsidRPr="7D7421AA">
                                    <w:rPr>
                                      <w:sz w:val="16"/>
                                      <w:szCs w:val="16"/>
                                    </w:rPr>
                                    <w:t>RFC</w:t>
                                  </w:r>
                                </w:p>
                              </w:tc>
                              <w:tc>
                                <w:tcPr>
                                  <w:tcW w:w="0" w:type="auto"/>
                                </w:tcPr>
                                <w:p w:rsidR="00CD1B4A" w:rsidRDefault="00CD1B4A" w:rsidP="00CD1B4A">
                                  <w:pPr>
                                    <w:rPr>
                                      <w:sz w:val="16"/>
                                      <w:szCs w:val="16"/>
                                    </w:rPr>
                                  </w:pPr>
                                  <w:r w:rsidRPr="7D7421AA">
                                    <w:rPr>
                                      <w:sz w:val="16"/>
                                      <w:szCs w:val="16"/>
                                    </w:rPr>
                                    <w:t>GBC</w:t>
                                  </w:r>
                                </w:p>
                              </w:tc>
                              <w:tc>
                                <w:tcPr>
                                  <w:tcW w:w="0" w:type="auto"/>
                                </w:tcPr>
                                <w:p w:rsidR="00CD1B4A" w:rsidRDefault="00CD1B4A" w:rsidP="00CD1B4A">
                                  <w:r w:rsidRPr="7D7421AA">
                                    <w:rPr>
                                      <w:sz w:val="16"/>
                                      <w:szCs w:val="16"/>
                                    </w:rPr>
                                    <w:t>SVC</w:t>
                                  </w:r>
                                </w:p>
                              </w:tc>
                            </w:tr>
                            <w:tr w:rsidR="00CD1B4A" w:rsidTr="00592B8A">
                              <w:trPr>
                                <w:jc w:val="center"/>
                              </w:trPr>
                              <w:tc>
                                <w:tcPr>
                                  <w:tcW w:w="0" w:type="auto"/>
                                </w:tcPr>
                                <w:p w:rsidR="00CD1B4A" w:rsidRDefault="00CD1B4A" w:rsidP="00CD1B4A">
                                  <w:pPr>
                                    <w:rPr>
                                      <w:sz w:val="16"/>
                                      <w:szCs w:val="16"/>
                                    </w:rPr>
                                  </w:pPr>
                                  <w:r w:rsidRPr="7D7421AA">
                                    <w:rPr>
                                      <w:sz w:val="16"/>
                                      <w:szCs w:val="16"/>
                                    </w:rPr>
                                    <w:t>Run time (s)</w:t>
                                  </w:r>
                                </w:p>
                              </w:tc>
                              <w:tc>
                                <w:tcPr>
                                  <w:tcW w:w="0" w:type="auto"/>
                                </w:tcPr>
                                <w:p w:rsidR="00CD1B4A" w:rsidRDefault="00CD1B4A" w:rsidP="00CD1B4A">
                                  <w:pPr>
                                    <w:rPr>
                                      <w:sz w:val="16"/>
                                      <w:szCs w:val="16"/>
                                    </w:rPr>
                                  </w:pPr>
                                  <w:r w:rsidRPr="2BF09319">
                                    <w:rPr>
                                      <w:sz w:val="16"/>
                                      <w:szCs w:val="16"/>
                                    </w:rPr>
                                    <w:t>140</w:t>
                                  </w:r>
                                </w:p>
                              </w:tc>
                              <w:tc>
                                <w:tcPr>
                                  <w:tcW w:w="0" w:type="auto"/>
                                </w:tcPr>
                                <w:p w:rsidR="00CD1B4A" w:rsidRDefault="00CD1B4A" w:rsidP="00CD1B4A">
                                  <w:pPr>
                                    <w:rPr>
                                      <w:sz w:val="16"/>
                                      <w:szCs w:val="16"/>
                                    </w:rPr>
                                  </w:pPr>
                                  <w:r w:rsidRPr="2BF09319">
                                    <w:rPr>
                                      <w:sz w:val="16"/>
                                      <w:szCs w:val="16"/>
                                    </w:rPr>
                                    <w:t>599</w:t>
                                  </w:r>
                                </w:p>
                              </w:tc>
                              <w:tc>
                                <w:tcPr>
                                  <w:tcW w:w="0" w:type="auto"/>
                                </w:tcPr>
                                <w:p w:rsidR="00CD1B4A" w:rsidRDefault="00CD1B4A" w:rsidP="00CD1B4A">
                                  <w:pPr>
                                    <w:rPr>
                                      <w:sz w:val="16"/>
                                      <w:szCs w:val="16"/>
                                    </w:rPr>
                                  </w:pPr>
                                  <w:r w:rsidRPr="2917BBD7">
                                    <w:rPr>
                                      <w:sz w:val="16"/>
                                      <w:szCs w:val="16"/>
                                    </w:rPr>
                                    <w:t>25</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CV: </w:t>
                                  </w:r>
                                  <w:r>
                                    <w:rPr>
                                      <w:sz w:val="16"/>
                                      <w:szCs w:val="16"/>
                                    </w:rPr>
                                    <w:t>F</w:t>
                                  </w:r>
                                  <w:r w:rsidRPr="7D7421AA">
                                    <w:rPr>
                                      <w:sz w:val="16"/>
                                      <w:szCs w:val="16"/>
                                    </w:rPr>
                                    <w:t>1-score</w:t>
                                  </w:r>
                                </w:p>
                              </w:tc>
                              <w:tc>
                                <w:tcPr>
                                  <w:tcW w:w="0" w:type="auto"/>
                                </w:tcPr>
                                <w:p w:rsidR="00CD1B4A" w:rsidRDefault="00CD1B4A" w:rsidP="00CD1B4A">
                                  <w:pPr>
                                    <w:rPr>
                                      <w:sz w:val="16"/>
                                      <w:szCs w:val="16"/>
                                    </w:rPr>
                                  </w:pPr>
                                  <w:r>
                                    <w:rPr>
                                      <w:sz w:val="16"/>
                                      <w:szCs w:val="16"/>
                                    </w:rPr>
                                    <w:t>0.44</w:t>
                                  </w:r>
                                  <w:r w:rsidR="002770F2">
                                    <w:rPr>
                                      <w:sz w:val="16"/>
                                      <w:szCs w:val="16"/>
                                    </w:rPr>
                                    <w:t xml:space="preserve"> (+/-0.41)</w:t>
                                  </w:r>
                                </w:p>
                              </w:tc>
                              <w:tc>
                                <w:tcPr>
                                  <w:tcW w:w="0" w:type="auto"/>
                                </w:tcPr>
                                <w:p w:rsidR="00CD1B4A" w:rsidRDefault="00CD1B4A" w:rsidP="00CD1B4A">
                                  <w:pPr>
                                    <w:rPr>
                                      <w:sz w:val="16"/>
                                      <w:szCs w:val="16"/>
                                    </w:rPr>
                                  </w:pPr>
                                  <w:r w:rsidRPr="54D4B07C">
                                    <w:rPr>
                                      <w:sz w:val="16"/>
                                      <w:szCs w:val="16"/>
                                    </w:rPr>
                                    <w:t>0.50</w:t>
                                  </w:r>
                                  <w:r w:rsidR="002770F2">
                                    <w:rPr>
                                      <w:sz w:val="16"/>
                                      <w:szCs w:val="16"/>
                                    </w:rPr>
                                    <w:t>(+/-0.41)</w:t>
                                  </w:r>
                                </w:p>
                              </w:tc>
                              <w:tc>
                                <w:tcPr>
                                  <w:tcW w:w="0" w:type="auto"/>
                                </w:tcPr>
                                <w:p w:rsidR="00CD1B4A" w:rsidRDefault="00CD1B4A" w:rsidP="00CD1B4A">
                                  <w:pPr>
                                    <w:rPr>
                                      <w:sz w:val="16"/>
                                      <w:szCs w:val="16"/>
                                    </w:rPr>
                                  </w:pPr>
                                  <w:r w:rsidRPr="2BF09319">
                                    <w:rPr>
                                      <w:sz w:val="16"/>
                                      <w:szCs w:val="16"/>
                                    </w:rPr>
                                    <w:t>0.47</w:t>
                                  </w:r>
                                  <w:r w:rsidR="002770F2">
                                    <w:rPr>
                                      <w:sz w:val="16"/>
                                      <w:szCs w:val="16"/>
                                    </w:rPr>
                                    <w:t>(+/-</w:t>
                                  </w:r>
                                  <w:r w:rsidR="002770F2">
                                    <w:rPr>
                                      <w:sz w:val="16"/>
                                      <w:szCs w:val="16"/>
                                    </w:rPr>
                                    <w:t>0.42</w:t>
                                  </w:r>
                                  <w:r w:rsidR="002770F2">
                                    <w:rPr>
                                      <w:sz w:val="16"/>
                                      <w:szCs w:val="16"/>
                                    </w:rPr>
                                    <w:t>)</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Train: </w:t>
                                  </w:r>
                                  <w:r>
                                    <w:rPr>
                                      <w:sz w:val="16"/>
                                      <w:szCs w:val="16"/>
                                    </w:rPr>
                                    <w:t>F</w:t>
                                  </w:r>
                                  <w:r w:rsidRPr="7D7421AA">
                                    <w:rPr>
                                      <w:sz w:val="16"/>
                                      <w:szCs w:val="16"/>
                                    </w:rPr>
                                    <w:t>1-score</w:t>
                                  </w:r>
                                </w:p>
                              </w:tc>
                              <w:tc>
                                <w:tcPr>
                                  <w:tcW w:w="0" w:type="auto"/>
                                </w:tcPr>
                                <w:p w:rsidR="00CD1B4A" w:rsidRDefault="00CD1B4A" w:rsidP="00CD1B4A">
                                  <w:pPr>
                                    <w:rPr>
                                      <w:sz w:val="16"/>
                                      <w:szCs w:val="16"/>
                                    </w:rPr>
                                  </w:pPr>
                                  <w:r w:rsidRPr="54D4B07C">
                                    <w:rPr>
                                      <w:sz w:val="16"/>
                                      <w:szCs w:val="16"/>
                                    </w:rPr>
                                    <w:t>0.58</w:t>
                                  </w:r>
                                </w:p>
                              </w:tc>
                              <w:tc>
                                <w:tcPr>
                                  <w:tcW w:w="0" w:type="auto"/>
                                </w:tcPr>
                                <w:p w:rsidR="00CD1B4A" w:rsidRDefault="00CD1B4A" w:rsidP="00CD1B4A">
                                  <w:pPr>
                                    <w:rPr>
                                      <w:sz w:val="16"/>
                                      <w:szCs w:val="16"/>
                                    </w:rPr>
                                  </w:pPr>
                                  <w:r w:rsidRPr="2BF09319">
                                    <w:rPr>
                                      <w:sz w:val="16"/>
                                      <w:szCs w:val="16"/>
                                    </w:rPr>
                                    <w:t>0.89</w:t>
                                  </w:r>
                                </w:p>
                              </w:tc>
                              <w:tc>
                                <w:tcPr>
                                  <w:tcW w:w="0" w:type="auto"/>
                                </w:tcPr>
                                <w:p w:rsidR="00CD1B4A" w:rsidRDefault="00CD1B4A" w:rsidP="00CD1B4A">
                                  <w:pPr>
                                    <w:rPr>
                                      <w:sz w:val="16"/>
                                      <w:szCs w:val="16"/>
                                    </w:rPr>
                                  </w:pPr>
                                  <w:r w:rsidRPr="2BF09319">
                                    <w:rPr>
                                      <w:sz w:val="16"/>
                                      <w:szCs w:val="16"/>
                                    </w:rPr>
                                    <w:t>0.88</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Test: </w:t>
                                  </w:r>
                                  <w:r>
                                    <w:rPr>
                                      <w:sz w:val="16"/>
                                      <w:szCs w:val="16"/>
                                    </w:rPr>
                                    <w:t>F</w:t>
                                  </w:r>
                                  <w:r w:rsidRPr="7D7421AA">
                                    <w:rPr>
                                      <w:sz w:val="16"/>
                                      <w:szCs w:val="16"/>
                                    </w:rPr>
                                    <w:t>1-score</w:t>
                                  </w:r>
                                </w:p>
                              </w:tc>
                              <w:tc>
                                <w:tcPr>
                                  <w:tcW w:w="0" w:type="auto"/>
                                </w:tcPr>
                                <w:p w:rsidR="00CD1B4A" w:rsidRDefault="00CD1B4A" w:rsidP="00CD1B4A">
                                  <w:pPr>
                                    <w:rPr>
                                      <w:sz w:val="16"/>
                                      <w:szCs w:val="16"/>
                                    </w:rPr>
                                  </w:pPr>
                                  <w:r w:rsidRPr="2BF09319">
                                    <w:rPr>
                                      <w:sz w:val="16"/>
                                      <w:szCs w:val="16"/>
                                    </w:rPr>
                                    <w:t>0.62</w:t>
                                  </w:r>
                                </w:p>
                              </w:tc>
                              <w:tc>
                                <w:tcPr>
                                  <w:tcW w:w="0" w:type="auto"/>
                                </w:tcPr>
                                <w:p w:rsidR="00CD1B4A" w:rsidRDefault="00CD1B4A" w:rsidP="00CD1B4A">
                                  <w:pPr>
                                    <w:rPr>
                                      <w:sz w:val="16"/>
                                      <w:szCs w:val="16"/>
                                    </w:rPr>
                                  </w:pPr>
                                  <w:r w:rsidRPr="2BF09319">
                                    <w:rPr>
                                      <w:sz w:val="16"/>
                                      <w:szCs w:val="16"/>
                                    </w:rPr>
                                    <w:t>0.46</w:t>
                                  </w:r>
                                </w:p>
                              </w:tc>
                              <w:tc>
                                <w:tcPr>
                                  <w:tcW w:w="0" w:type="auto"/>
                                </w:tcPr>
                                <w:p w:rsidR="00CD1B4A" w:rsidRDefault="00CD1B4A" w:rsidP="00CD1B4A">
                                  <w:pPr>
                                    <w:rPr>
                                      <w:sz w:val="16"/>
                                      <w:szCs w:val="16"/>
                                    </w:rPr>
                                  </w:pPr>
                                  <w:r w:rsidRPr="2BF09319">
                                    <w:rPr>
                                      <w:sz w:val="16"/>
                                      <w:szCs w:val="16"/>
                                    </w:rPr>
                                    <w:t>0.14</w:t>
                                  </w:r>
                                </w:p>
                              </w:tc>
                            </w:tr>
                            <w:tr w:rsidR="00CD1B4A" w:rsidTr="00592B8A">
                              <w:trPr>
                                <w:jc w:val="center"/>
                              </w:trPr>
                              <w:tc>
                                <w:tcPr>
                                  <w:tcW w:w="0" w:type="auto"/>
                                </w:tcPr>
                                <w:p w:rsidR="00CD1B4A" w:rsidRDefault="00CD1B4A" w:rsidP="00CD1B4A">
                                  <w:pPr>
                                    <w:rPr>
                                      <w:sz w:val="16"/>
                                      <w:szCs w:val="16"/>
                                    </w:rPr>
                                  </w:pPr>
                                  <w:r w:rsidRPr="7D7421AA">
                                    <w:rPr>
                                      <w:sz w:val="16"/>
                                      <w:szCs w:val="16"/>
                                    </w:rPr>
                                    <w:t>GC-Content</w:t>
                                  </w:r>
                                </w:p>
                              </w:tc>
                              <w:tc>
                                <w:tcPr>
                                  <w:tcW w:w="0" w:type="auto"/>
                                </w:tcPr>
                                <w:p w:rsidR="00CD1B4A" w:rsidRDefault="00CD1B4A" w:rsidP="00CD1B4A">
                                  <w:r w:rsidRPr="7D7421AA">
                                    <w:rPr>
                                      <w:sz w:val="16"/>
                                      <w:szCs w:val="16"/>
                                    </w:rPr>
                                    <w:t>2</w:t>
                                  </w:r>
                                  <w:r w:rsidRPr="7D7421AA">
                                    <w:rPr>
                                      <w:sz w:val="16"/>
                                      <w:szCs w:val="16"/>
                                      <w:vertAlign w:val="superscript"/>
                                    </w:rPr>
                                    <w:t>nd</w:t>
                                  </w:r>
                                  <w:r w:rsidRPr="7D7421AA">
                                    <w:rPr>
                                      <w:sz w:val="16"/>
                                      <w:szCs w:val="16"/>
                                    </w:rPr>
                                    <w:t xml:space="preserve"> </w:t>
                                  </w:r>
                                </w:p>
                              </w:tc>
                              <w:tc>
                                <w:tcPr>
                                  <w:tcW w:w="0" w:type="auto"/>
                                </w:tcPr>
                                <w:p w:rsidR="00CD1B4A" w:rsidRDefault="00CD1B4A" w:rsidP="00CD1B4A">
                                  <w:r w:rsidRPr="2BF09319">
                                    <w:rPr>
                                      <w:sz w:val="16"/>
                                      <w:szCs w:val="16"/>
                                    </w:rPr>
                                    <w:t>1</w:t>
                                  </w:r>
                                  <w:r w:rsidRPr="2BF09319">
                                    <w:rPr>
                                      <w:sz w:val="16"/>
                                      <w:szCs w:val="16"/>
                                      <w:vertAlign w:val="superscript"/>
                                    </w:rPr>
                                    <w:t>st</w:t>
                                  </w:r>
                                  <w:r w:rsidRPr="2BF09319">
                                    <w:rPr>
                                      <w:sz w:val="16"/>
                                      <w:szCs w:val="16"/>
                                    </w:rPr>
                                    <w:t xml:space="preserve"> </w:t>
                                  </w:r>
                                </w:p>
                              </w:tc>
                              <w:tc>
                                <w:tcPr>
                                  <w:tcW w:w="0" w:type="auto"/>
                                </w:tcPr>
                                <w:p w:rsidR="00CD1B4A" w:rsidRDefault="00CD1B4A" w:rsidP="00CD1B4A">
                                  <w:pPr>
                                    <w:rPr>
                                      <w:sz w:val="16"/>
                                      <w:szCs w:val="16"/>
                                    </w:rPr>
                                  </w:pPr>
                                  <w:r w:rsidRPr="2917BBD7">
                                    <w:rPr>
                                      <w:sz w:val="16"/>
                                      <w:szCs w:val="16"/>
                                    </w:rPr>
                                    <w:t>N.A.</w:t>
                                  </w:r>
                                </w:p>
                              </w:tc>
                            </w:tr>
                            <w:tr w:rsidR="00CD1B4A" w:rsidTr="00592B8A">
                              <w:trPr>
                                <w:jc w:val="center"/>
                              </w:trPr>
                              <w:tc>
                                <w:tcPr>
                                  <w:tcW w:w="0" w:type="auto"/>
                                </w:tcPr>
                                <w:p w:rsidR="00CD1B4A" w:rsidRDefault="00CD1B4A" w:rsidP="00CD1B4A">
                                  <w:pPr>
                                    <w:rPr>
                                      <w:sz w:val="16"/>
                                      <w:szCs w:val="16"/>
                                    </w:rPr>
                                  </w:pPr>
                                  <w:r w:rsidRPr="54D4B07C">
                                    <w:rPr>
                                      <w:sz w:val="16"/>
                                      <w:szCs w:val="16"/>
                                    </w:rPr>
                                    <w:t>Top 3 FI</w:t>
                                  </w:r>
                                </w:p>
                              </w:tc>
                              <w:tc>
                                <w:tcPr>
                                  <w:tcW w:w="0" w:type="auto"/>
                                </w:tcPr>
                                <w:p w:rsidR="00CD1B4A" w:rsidRDefault="00CD1B4A" w:rsidP="00CD1B4A">
                                  <w:pPr>
                                    <w:rPr>
                                      <w:sz w:val="16"/>
                                      <w:szCs w:val="16"/>
                                    </w:rPr>
                                  </w:pPr>
                                  <w:r w:rsidRPr="54D4B07C">
                                    <w:rPr>
                                      <w:sz w:val="16"/>
                                      <w:szCs w:val="16"/>
                                    </w:rPr>
                                    <w:t>-</w:t>
                                  </w:r>
                                  <w:proofErr w:type="gramStart"/>
                                  <w:r w:rsidRPr="54D4B07C">
                                    <w:rPr>
                                      <w:sz w:val="16"/>
                                      <w:szCs w:val="16"/>
                                    </w:rPr>
                                    <w:t>35:T</w:t>
                                  </w:r>
                                  <w:proofErr w:type="gramEnd"/>
                                  <w:r>
                                    <w:rPr>
                                      <w:sz w:val="16"/>
                                      <w:szCs w:val="16"/>
                                    </w:rPr>
                                    <w:t>:</w:t>
                                  </w:r>
                                  <w:r w:rsidRPr="54D4B07C">
                                    <w:rPr>
                                      <w:sz w:val="16"/>
                                      <w:szCs w:val="16"/>
                                    </w:rPr>
                                    <w:t>0.24</w:t>
                                  </w:r>
                                </w:p>
                                <w:p w:rsidR="00CD1B4A" w:rsidRDefault="00CD1B4A" w:rsidP="00CD1B4A">
                                  <w:pPr>
                                    <w:rPr>
                                      <w:sz w:val="16"/>
                                      <w:szCs w:val="16"/>
                                    </w:rPr>
                                  </w:pPr>
                                  <w:r w:rsidRPr="54D4B07C">
                                    <w:rPr>
                                      <w:sz w:val="16"/>
                                      <w:szCs w:val="16"/>
                                    </w:rPr>
                                    <w:t>-</w:t>
                                  </w:r>
                                  <w:proofErr w:type="gramStart"/>
                                  <w:r w:rsidRPr="54D4B07C">
                                    <w:rPr>
                                      <w:sz w:val="16"/>
                                      <w:szCs w:val="16"/>
                                    </w:rPr>
                                    <w:t>34:T</w:t>
                                  </w:r>
                                  <w:proofErr w:type="gramEnd"/>
                                  <w:r>
                                    <w:rPr>
                                      <w:sz w:val="16"/>
                                      <w:szCs w:val="16"/>
                                    </w:rPr>
                                    <w:t>:</w:t>
                                  </w:r>
                                  <w:r w:rsidRPr="54D4B07C">
                                    <w:rPr>
                                      <w:sz w:val="16"/>
                                      <w:szCs w:val="16"/>
                                    </w:rPr>
                                    <w:t>0.1</w:t>
                                  </w:r>
                                </w:p>
                                <w:p w:rsidR="00CD1B4A" w:rsidRDefault="00CD1B4A" w:rsidP="00CD1B4A">
                                  <w:pPr>
                                    <w:rPr>
                                      <w:sz w:val="16"/>
                                      <w:szCs w:val="16"/>
                                    </w:rPr>
                                  </w:pPr>
                                  <w:r w:rsidRPr="54D4B07C">
                                    <w:rPr>
                                      <w:sz w:val="16"/>
                                      <w:szCs w:val="16"/>
                                    </w:rPr>
                                    <w:t>-35:A</w:t>
                                  </w:r>
                                  <w:r>
                                    <w:rPr>
                                      <w:sz w:val="16"/>
                                      <w:szCs w:val="16"/>
                                    </w:rPr>
                                    <w:t>:</w:t>
                                  </w:r>
                                  <w:r w:rsidRPr="54D4B07C">
                                    <w:rPr>
                                      <w:sz w:val="16"/>
                                      <w:szCs w:val="16"/>
                                    </w:rPr>
                                    <w:t>0.1</w:t>
                                  </w:r>
                                </w:p>
                              </w:tc>
                              <w:tc>
                                <w:tcPr>
                                  <w:tcW w:w="0" w:type="auto"/>
                                </w:tcPr>
                                <w:p w:rsidR="00CD1B4A" w:rsidRDefault="00CD1B4A" w:rsidP="00CD1B4A">
                                  <w:pPr>
                                    <w:rPr>
                                      <w:sz w:val="16"/>
                                      <w:szCs w:val="16"/>
                                    </w:rPr>
                                  </w:pPr>
                                  <w:r w:rsidRPr="54D4B07C">
                                    <w:rPr>
                                      <w:sz w:val="16"/>
                                      <w:szCs w:val="16"/>
                                    </w:rPr>
                                    <w:t>-</w:t>
                                  </w:r>
                                  <w:proofErr w:type="gramStart"/>
                                  <w:r w:rsidRPr="54D4B07C">
                                    <w:rPr>
                                      <w:sz w:val="16"/>
                                      <w:szCs w:val="16"/>
                                    </w:rPr>
                                    <w:t>34:T</w:t>
                                  </w:r>
                                  <w:proofErr w:type="gramEnd"/>
                                  <w:r>
                                    <w:rPr>
                                      <w:sz w:val="16"/>
                                      <w:szCs w:val="16"/>
                                    </w:rPr>
                                    <w:t>:</w:t>
                                  </w:r>
                                  <w:r w:rsidRPr="54D4B07C">
                                    <w:rPr>
                                      <w:sz w:val="16"/>
                                      <w:szCs w:val="16"/>
                                    </w:rPr>
                                    <w:t>0.08</w:t>
                                  </w:r>
                                </w:p>
                                <w:p w:rsidR="00CD1B4A" w:rsidRDefault="00CD1B4A" w:rsidP="00CD1B4A">
                                  <w:pPr>
                                    <w:rPr>
                                      <w:sz w:val="16"/>
                                      <w:szCs w:val="16"/>
                                    </w:rPr>
                                  </w:pPr>
                                  <w:r w:rsidRPr="54D4B07C">
                                    <w:rPr>
                                      <w:sz w:val="16"/>
                                      <w:szCs w:val="16"/>
                                    </w:rPr>
                                    <w:t>-</w:t>
                                  </w:r>
                                  <w:proofErr w:type="gramStart"/>
                                  <w:r w:rsidRPr="54D4B07C">
                                    <w:rPr>
                                      <w:sz w:val="16"/>
                                      <w:szCs w:val="16"/>
                                    </w:rPr>
                                    <w:t>35:A</w:t>
                                  </w:r>
                                  <w:proofErr w:type="gramEnd"/>
                                  <w:r>
                                    <w:rPr>
                                      <w:sz w:val="16"/>
                                      <w:szCs w:val="16"/>
                                    </w:rPr>
                                    <w:t>:</w:t>
                                  </w:r>
                                  <w:r w:rsidRPr="54D4B07C">
                                    <w:rPr>
                                      <w:sz w:val="16"/>
                                      <w:szCs w:val="16"/>
                                    </w:rPr>
                                    <w:t>0.05</w:t>
                                  </w:r>
                                </w:p>
                                <w:p w:rsidR="00CD1B4A" w:rsidRDefault="00CD1B4A" w:rsidP="00CD1B4A">
                                  <w:pPr>
                                    <w:rPr>
                                      <w:sz w:val="16"/>
                                      <w:szCs w:val="16"/>
                                    </w:rPr>
                                  </w:pPr>
                                  <w:r w:rsidRPr="54D4B07C">
                                    <w:rPr>
                                      <w:sz w:val="16"/>
                                      <w:szCs w:val="16"/>
                                    </w:rPr>
                                    <w:t>-14:G</w:t>
                                  </w:r>
                                  <w:r>
                                    <w:rPr>
                                      <w:sz w:val="16"/>
                                      <w:szCs w:val="16"/>
                                    </w:rPr>
                                    <w:t>:</w:t>
                                  </w:r>
                                  <w:r w:rsidRPr="54D4B07C">
                                    <w:rPr>
                                      <w:sz w:val="16"/>
                                      <w:szCs w:val="16"/>
                                    </w:rPr>
                                    <w:t>0.05</w:t>
                                  </w:r>
                                </w:p>
                              </w:tc>
                              <w:tc>
                                <w:tcPr>
                                  <w:tcW w:w="0" w:type="auto"/>
                                </w:tcPr>
                                <w:p w:rsidR="00CD1B4A" w:rsidRDefault="00CD1B4A" w:rsidP="00CD1B4A">
                                  <w:pPr>
                                    <w:rPr>
                                      <w:sz w:val="16"/>
                                      <w:szCs w:val="16"/>
                                    </w:rPr>
                                  </w:pPr>
                                  <w:r w:rsidRPr="54D4B07C">
                                    <w:rPr>
                                      <w:sz w:val="16"/>
                                      <w:szCs w:val="16"/>
                                    </w:rPr>
                                    <w:t>N.A.</w:t>
                                  </w:r>
                                </w:p>
                                <w:p w:rsidR="00CD1B4A" w:rsidRDefault="00CD1B4A" w:rsidP="00CD1B4A">
                                  <w:pPr>
                                    <w:rPr>
                                      <w:sz w:val="16"/>
                                      <w:szCs w:val="16"/>
                                    </w:rPr>
                                  </w:pPr>
                                </w:p>
                              </w:tc>
                            </w:tr>
                          </w:tbl>
                          <w:p w:rsidR="00CD1B4A" w:rsidRDefault="00CD1B4A" w:rsidP="00592B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4052A" id="_x0000_t202" coordsize="21600,21600" o:spt="202" path="m,l,21600r21600,l21600,xe">
                <v:stroke joinstyle="miter"/>
                <v:path gradientshapeok="t" o:connecttype="rect"/>
              </v:shapetype>
              <v:shape id="Text Box 2" o:spid="_x0000_s1026" type="#_x0000_t202" style="position:absolute;left:0;text-align:left;margin-left:402.1pt;margin-top:563.3pt;width:453.3pt;height:145.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" o:allowoverlap="f" stroked="f">
                <v:textbox>
                  <w:txbxContent>
                    <w:p w:rsidR="00CD1B4A" w:rsidRDefault="00CD1B4A" w:rsidP="00592B8A">
                      <w:pPr>
                        <w:pStyle w:val="Caption"/>
                        <w:keepNext/>
                      </w:pPr>
                      <w:bookmarkStart w:id="1" w:name="_Ref58869446"/>
                      <w:r w:rsidRPr="00347EB0">
                        <w:rPr>
                          <w:rFonts w:ascii="Times New Roman" w:hAnsi="Times New Roman"/>
                          <w:sz w:val="16"/>
                          <w:szCs w:val="16"/>
                        </w:rPr>
                        <w:t xml:space="preserve">Table </w:t>
                      </w:r>
                      <w:r w:rsidRPr="00347EB0">
                        <w:rPr>
                          <w:rFonts w:ascii="Times New Roman" w:hAnsi="Times New Roman"/>
                          <w:sz w:val="16"/>
                          <w:szCs w:val="16"/>
                        </w:rPr>
                        <w:fldChar w:fldCharType="begin"/>
                      </w:r>
                      <w:r w:rsidRPr="00347EB0">
                        <w:rPr>
                          <w:rFonts w:ascii="Times New Roman" w:hAnsi="Times New Roman"/>
                          <w:sz w:val="16"/>
                          <w:szCs w:val="16"/>
                        </w:rPr>
                        <w:instrText xml:space="preserve"> SEQ Table \* ARABIC </w:instrText>
                      </w:r>
                      <w:r w:rsidRPr="00347EB0">
                        <w:rPr>
                          <w:rFonts w:ascii="Times New Roman" w:hAnsi="Times New Roman"/>
                          <w:sz w:val="16"/>
                          <w:szCs w:val="16"/>
                        </w:rPr>
                        <w:fldChar w:fldCharType="separate"/>
                      </w:r>
                      <w:r w:rsidR="00397734">
                        <w:rPr>
                          <w:rFonts w:ascii="Times New Roman" w:hAnsi="Times New Roman"/>
                          <w:noProof/>
                          <w:sz w:val="16"/>
                          <w:szCs w:val="16"/>
                        </w:rPr>
                        <w:t>1</w:t>
                      </w:r>
                      <w:r w:rsidRPr="00347EB0">
                        <w:rPr>
                          <w:rFonts w:ascii="Times New Roman" w:hAnsi="Times New Roman"/>
                          <w:sz w:val="16"/>
                          <w:szCs w:val="16"/>
                        </w:rPr>
                        <w:fldChar w:fldCharType="end"/>
                      </w:r>
                      <w:bookmarkEnd w:id="1"/>
                      <w:r w:rsidRPr="00347EB0">
                        <w:rPr>
                          <w:rFonts w:ascii="Times New Roman" w:hAnsi="Times New Roman"/>
                          <w:sz w:val="16"/>
                          <w:szCs w:val="16"/>
                        </w:rPr>
                        <w:t xml:space="preserve">: </w:t>
                      </w:r>
                      <w:r w:rsidRPr="2917BBD7">
                        <w:rPr>
                          <w:rFonts w:ascii="Times New Roman" w:hAnsi="Times New Roman"/>
                          <w:sz w:val="16"/>
                          <w:szCs w:val="16"/>
                        </w:rPr>
                        <w:t>Classification quality report for random forest (RFC), gradient boosting (GBC) and support vector (SVC). The training was performed with the same Train-Test (10% hold out) and the entropy threshold was 0.</w:t>
                      </w:r>
                      <w:r>
                        <w:rPr>
                          <w:rFonts w:ascii="Times New Roman" w:hAnsi="Times New Roman"/>
                          <w:sz w:val="16"/>
                          <w:szCs w:val="16"/>
                        </w:rPr>
                        <w:t>2</w:t>
                      </w:r>
                      <w:r w:rsidRPr="2917BBD7">
                        <w:rPr>
                          <w:rFonts w:ascii="Times New Roman" w:hAnsi="Times New Roman"/>
                          <w:sz w:val="16"/>
                          <w:szCs w:val="16"/>
                        </w:rPr>
                        <w:t xml:space="preserve"> bits resulting in five positions as input features. The weighted f1-score represents prediction accuracy and is calculated from precision and recall. The feature importance for nucleotide-position and GC-content was only determined for tree-methods (RFC and GBC).</w:t>
                      </w:r>
                    </w:p>
                    <w:tbl>
                      <w:tblPr>
                        <w:tblStyle w:val="TableGrid"/>
                        <w:tblW w:w="0" w:type="auto"/>
                        <w:jc w:val="center"/>
                        <w:tblLook w:val="06A0" w:firstRow="1" w:lastRow="0" w:firstColumn="1" w:lastColumn="0" w:noHBand="1" w:noVBand="1"/>
                      </w:tblPr>
                      <w:tblGrid>
                        <w:gridCol w:w="1207"/>
                        <w:gridCol w:w="1111"/>
                        <w:gridCol w:w="1071"/>
                        <w:gridCol w:w="1071"/>
                      </w:tblGrid>
                      <w:tr w:rsidR="00CD1B4A" w:rsidTr="00592B8A">
                        <w:trPr>
                          <w:jc w:val="center"/>
                        </w:trPr>
                        <w:tc>
                          <w:tcPr>
                            <w:tcW w:w="0" w:type="auto"/>
                          </w:tcPr>
                          <w:p w:rsidR="00CD1B4A" w:rsidRDefault="00CD1B4A" w:rsidP="00CD1B4A">
                            <w:pPr>
                              <w:rPr>
                                <w:sz w:val="16"/>
                                <w:szCs w:val="16"/>
                              </w:rPr>
                            </w:pPr>
                          </w:p>
                        </w:tc>
                        <w:tc>
                          <w:tcPr>
                            <w:tcW w:w="0" w:type="auto"/>
                          </w:tcPr>
                          <w:p w:rsidR="00CD1B4A" w:rsidRDefault="00CD1B4A" w:rsidP="00CD1B4A">
                            <w:pPr>
                              <w:rPr>
                                <w:sz w:val="16"/>
                                <w:szCs w:val="16"/>
                              </w:rPr>
                            </w:pPr>
                            <w:r w:rsidRPr="7D7421AA">
                              <w:rPr>
                                <w:sz w:val="16"/>
                                <w:szCs w:val="16"/>
                              </w:rPr>
                              <w:t>RFC</w:t>
                            </w:r>
                          </w:p>
                        </w:tc>
                        <w:tc>
                          <w:tcPr>
                            <w:tcW w:w="0" w:type="auto"/>
                          </w:tcPr>
                          <w:p w:rsidR="00CD1B4A" w:rsidRDefault="00CD1B4A" w:rsidP="00CD1B4A">
                            <w:pPr>
                              <w:rPr>
                                <w:sz w:val="16"/>
                                <w:szCs w:val="16"/>
                              </w:rPr>
                            </w:pPr>
                            <w:r w:rsidRPr="7D7421AA">
                              <w:rPr>
                                <w:sz w:val="16"/>
                                <w:szCs w:val="16"/>
                              </w:rPr>
                              <w:t>GBC</w:t>
                            </w:r>
                          </w:p>
                        </w:tc>
                        <w:tc>
                          <w:tcPr>
                            <w:tcW w:w="0" w:type="auto"/>
                          </w:tcPr>
                          <w:p w:rsidR="00CD1B4A" w:rsidRDefault="00CD1B4A" w:rsidP="00CD1B4A">
                            <w:r w:rsidRPr="7D7421AA">
                              <w:rPr>
                                <w:sz w:val="16"/>
                                <w:szCs w:val="16"/>
                              </w:rPr>
                              <w:t>SVC</w:t>
                            </w:r>
                          </w:p>
                        </w:tc>
                      </w:tr>
                      <w:tr w:rsidR="00CD1B4A" w:rsidTr="00592B8A">
                        <w:trPr>
                          <w:jc w:val="center"/>
                        </w:trPr>
                        <w:tc>
                          <w:tcPr>
                            <w:tcW w:w="0" w:type="auto"/>
                          </w:tcPr>
                          <w:p w:rsidR="00CD1B4A" w:rsidRDefault="00CD1B4A" w:rsidP="00CD1B4A">
                            <w:pPr>
                              <w:rPr>
                                <w:sz w:val="16"/>
                                <w:szCs w:val="16"/>
                              </w:rPr>
                            </w:pPr>
                            <w:r w:rsidRPr="7D7421AA">
                              <w:rPr>
                                <w:sz w:val="16"/>
                                <w:szCs w:val="16"/>
                              </w:rPr>
                              <w:t>Run time (s)</w:t>
                            </w:r>
                          </w:p>
                        </w:tc>
                        <w:tc>
                          <w:tcPr>
                            <w:tcW w:w="0" w:type="auto"/>
                          </w:tcPr>
                          <w:p w:rsidR="00CD1B4A" w:rsidRDefault="00CD1B4A" w:rsidP="00CD1B4A">
                            <w:pPr>
                              <w:rPr>
                                <w:sz w:val="16"/>
                                <w:szCs w:val="16"/>
                              </w:rPr>
                            </w:pPr>
                            <w:r w:rsidRPr="2BF09319">
                              <w:rPr>
                                <w:sz w:val="16"/>
                                <w:szCs w:val="16"/>
                              </w:rPr>
                              <w:t>140</w:t>
                            </w:r>
                          </w:p>
                        </w:tc>
                        <w:tc>
                          <w:tcPr>
                            <w:tcW w:w="0" w:type="auto"/>
                          </w:tcPr>
                          <w:p w:rsidR="00CD1B4A" w:rsidRDefault="00CD1B4A" w:rsidP="00CD1B4A">
                            <w:pPr>
                              <w:rPr>
                                <w:sz w:val="16"/>
                                <w:szCs w:val="16"/>
                              </w:rPr>
                            </w:pPr>
                            <w:r w:rsidRPr="2BF09319">
                              <w:rPr>
                                <w:sz w:val="16"/>
                                <w:szCs w:val="16"/>
                              </w:rPr>
                              <w:t>599</w:t>
                            </w:r>
                          </w:p>
                        </w:tc>
                        <w:tc>
                          <w:tcPr>
                            <w:tcW w:w="0" w:type="auto"/>
                          </w:tcPr>
                          <w:p w:rsidR="00CD1B4A" w:rsidRDefault="00CD1B4A" w:rsidP="00CD1B4A">
                            <w:pPr>
                              <w:rPr>
                                <w:sz w:val="16"/>
                                <w:szCs w:val="16"/>
                              </w:rPr>
                            </w:pPr>
                            <w:r w:rsidRPr="2917BBD7">
                              <w:rPr>
                                <w:sz w:val="16"/>
                                <w:szCs w:val="16"/>
                              </w:rPr>
                              <w:t>25</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CV: </w:t>
                            </w:r>
                            <w:r>
                              <w:rPr>
                                <w:sz w:val="16"/>
                                <w:szCs w:val="16"/>
                              </w:rPr>
                              <w:t>F</w:t>
                            </w:r>
                            <w:r w:rsidRPr="7D7421AA">
                              <w:rPr>
                                <w:sz w:val="16"/>
                                <w:szCs w:val="16"/>
                              </w:rPr>
                              <w:t>1-score</w:t>
                            </w:r>
                          </w:p>
                        </w:tc>
                        <w:tc>
                          <w:tcPr>
                            <w:tcW w:w="0" w:type="auto"/>
                          </w:tcPr>
                          <w:p w:rsidR="00CD1B4A" w:rsidRDefault="00CD1B4A" w:rsidP="00CD1B4A">
                            <w:pPr>
                              <w:rPr>
                                <w:sz w:val="16"/>
                                <w:szCs w:val="16"/>
                              </w:rPr>
                            </w:pPr>
                            <w:r>
                              <w:rPr>
                                <w:sz w:val="16"/>
                                <w:szCs w:val="16"/>
                              </w:rPr>
                              <w:t>0.44</w:t>
                            </w:r>
                            <w:r w:rsidR="002770F2">
                              <w:rPr>
                                <w:sz w:val="16"/>
                                <w:szCs w:val="16"/>
                              </w:rPr>
                              <w:t xml:space="preserve"> (+/-0.41)</w:t>
                            </w:r>
                          </w:p>
                        </w:tc>
                        <w:tc>
                          <w:tcPr>
                            <w:tcW w:w="0" w:type="auto"/>
                          </w:tcPr>
                          <w:p w:rsidR="00CD1B4A" w:rsidRDefault="00CD1B4A" w:rsidP="00CD1B4A">
                            <w:pPr>
                              <w:rPr>
                                <w:sz w:val="16"/>
                                <w:szCs w:val="16"/>
                              </w:rPr>
                            </w:pPr>
                            <w:r w:rsidRPr="54D4B07C">
                              <w:rPr>
                                <w:sz w:val="16"/>
                                <w:szCs w:val="16"/>
                              </w:rPr>
                              <w:t>0.50</w:t>
                            </w:r>
                            <w:r w:rsidR="002770F2">
                              <w:rPr>
                                <w:sz w:val="16"/>
                                <w:szCs w:val="16"/>
                              </w:rPr>
                              <w:t>(+/-0.41)</w:t>
                            </w:r>
                          </w:p>
                        </w:tc>
                        <w:tc>
                          <w:tcPr>
                            <w:tcW w:w="0" w:type="auto"/>
                          </w:tcPr>
                          <w:p w:rsidR="00CD1B4A" w:rsidRDefault="00CD1B4A" w:rsidP="00CD1B4A">
                            <w:pPr>
                              <w:rPr>
                                <w:sz w:val="16"/>
                                <w:szCs w:val="16"/>
                              </w:rPr>
                            </w:pPr>
                            <w:r w:rsidRPr="2BF09319">
                              <w:rPr>
                                <w:sz w:val="16"/>
                                <w:szCs w:val="16"/>
                              </w:rPr>
                              <w:t>0.47</w:t>
                            </w:r>
                            <w:r w:rsidR="002770F2">
                              <w:rPr>
                                <w:sz w:val="16"/>
                                <w:szCs w:val="16"/>
                              </w:rPr>
                              <w:t>(+/-</w:t>
                            </w:r>
                            <w:r w:rsidR="002770F2">
                              <w:rPr>
                                <w:sz w:val="16"/>
                                <w:szCs w:val="16"/>
                              </w:rPr>
                              <w:t>0.42</w:t>
                            </w:r>
                            <w:r w:rsidR="002770F2">
                              <w:rPr>
                                <w:sz w:val="16"/>
                                <w:szCs w:val="16"/>
                              </w:rPr>
                              <w:t>)</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Train: </w:t>
                            </w:r>
                            <w:r>
                              <w:rPr>
                                <w:sz w:val="16"/>
                                <w:szCs w:val="16"/>
                              </w:rPr>
                              <w:t>F</w:t>
                            </w:r>
                            <w:r w:rsidRPr="7D7421AA">
                              <w:rPr>
                                <w:sz w:val="16"/>
                                <w:szCs w:val="16"/>
                              </w:rPr>
                              <w:t>1-score</w:t>
                            </w:r>
                          </w:p>
                        </w:tc>
                        <w:tc>
                          <w:tcPr>
                            <w:tcW w:w="0" w:type="auto"/>
                          </w:tcPr>
                          <w:p w:rsidR="00CD1B4A" w:rsidRDefault="00CD1B4A" w:rsidP="00CD1B4A">
                            <w:pPr>
                              <w:rPr>
                                <w:sz w:val="16"/>
                                <w:szCs w:val="16"/>
                              </w:rPr>
                            </w:pPr>
                            <w:r w:rsidRPr="54D4B07C">
                              <w:rPr>
                                <w:sz w:val="16"/>
                                <w:szCs w:val="16"/>
                              </w:rPr>
                              <w:t>0.58</w:t>
                            </w:r>
                          </w:p>
                        </w:tc>
                        <w:tc>
                          <w:tcPr>
                            <w:tcW w:w="0" w:type="auto"/>
                          </w:tcPr>
                          <w:p w:rsidR="00CD1B4A" w:rsidRDefault="00CD1B4A" w:rsidP="00CD1B4A">
                            <w:pPr>
                              <w:rPr>
                                <w:sz w:val="16"/>
                                <w:szCs w:val="16"/>
                              </w:rPr>
                            </w:pPr>
                            <w:r w:rsidRPr="2BF09319">
                              <w:rPr>
                                <w:sz w:val="16"/>
                                <w:szCs w:val="16"/>
                              </w:rPr>
                              <w:t>0.89</w:t>
                            </w:r>
                          </w:p>
                        </w:tc>
                        <w:tc>
                          <w:tcPr>
                            <w:tcW w:w="0" w:type="auto"/>
                          </w:tcPr>
                          <w:p w:rsidR="00CD1B4A" w:rsidRDefault="00CD1B4A" w:rsidP="00CD1B4A">
                            <w:pPr>
                              <w:rPr>
                                <w:sz w:val="16"/>
                                <w:szCs w:val="16"/>
                              </w:rPr>
                            </w:pPr>
                            <w:r w:rsidRPr="2BF09319">
                              <w:rPr>
                                <w:sz w:val="16"/>
                                <w:szCs w:val="16"/>
                              </w:rPr>
                              <w:t>0.88</w:t>
                            </w:r>
                          </w:p>
                        </w:tc>
                      </w:tr>
                      <w:tr w:rsidR="00CD1B4A" w:rsidTr="00592B8A">
                        <w:trPr>
                          <w:jc w:val="center"/>
                        </w:trPr>
                        <w:tc>
                          <w:tcPr>
                            <w:tcW w:w="0" w:type="auto"/>
                          </w:tcPr>
                          <w:p w:rsidR="00CD1B4A" w:rsidRDefault="00CD1B4A" w:rsidP="00CD1B4A">
                            <w:pPr>
                              <w:rPr>
                                <w:sz w:val="16"/>
                                <w:szCs w:val="16"/>
                              </w:rPr>
                            </w:pPr>
                            <w:r w:rsidRPr="7D7421AA">
                              <w:rPr>
                                <w:sz w:val="16"/>
                                <w:szCs w:val="16"/>
                              </w:rPr>
                              <w:t xml:space="preserve">Test: </w:t>
                            </w:r>
                            <w:r>
                              <w:rPr>
                                <w:sz w:val="16"/>
                                <w:szCs w:val="16"/>
                              </w:rPr>
                              <w:t>F</w:t>
                            </w:r>
                            <w:r w:rsidRPr="7D7421AA">
                              <w:rPr>
                                <w:sz w:val="16"/>
                                <w:szCs w:val="16"/>
                              </w:rPr>
                              <w:t>1-score</w:t>
                            </w:r>
                          </w:p>
                        </w:tc>
                        <w:tc>
                          <w:tcPr>
                            <w:tcW w:w="0" w:type="auto"/>
                          </w:tcPr>
                          <w:p w:rsidR="00CD1B4A" w:rsidRDefault="00CD1B4A" w:rsidP="00CD1B4A">
                            <w:pPr>
                              <w:rPr>
                                <w:sz w:val="16"/>
                                <w:szCs w:val="16"/>
                              </w:rPr>
                            </w:pPr>
                            <w:r w:rsidRPr="2BF09319">
                              <w:rPr>
                                <w:sz w:val="16"/>
                                <w:szCs w:val="16"/>
                              </w:rPr>
                              <w:t>0.62</w:t>
                            </w:r>
                          </w:p>
                        </w:tc>
                        <w:tc>
                          <w:tcPr>
                            <w:tcW w:w="0" w:type="auto"/>
                          </w:tcPr>
                          <w:p w:rsidR="00CD1B4A" w:rsidRDefault="00CD1B4A" w:rsidP="00CD1B4A">
                            <w:pPr>
                              <w:rPr>
                                <w:sz w:val="16"/>
                                <w:szCs w:val="16"/>
                              </w:rPr>
                            </w:pPr>
                            <w:r w:rsidRPr="2BF09319">
                              <w:rPr>
                                <w:sz w:val="16"/>
                                <w:szCs w:val="16"/>
                              </w:rPr>
                              <w:t>0.46</w:t>
                            </w:r>
                          </w:p>
                        </w:tc>
                        <w:tc>
                          <w:tcPr>
                            <w:tcW w:w="0" w:type="auto"/>
                          </w:tcPr>
                          <w:p w:rsidR="00CD1B4A" w:rsidRDefault="00CD1B4A" w:rsidP="00CD1B4A">
                            <w:pPr>
                              <w:rPr>
                                <w:sz w:val="16"/>
                                <w:szCs w:val="16"/>
                              </w:rPr>
                            </w:pPr>
                            <w:r w:rsidRPr="2BF09319">
                              <w:rPr>
                                <w:sz w:val="16"/>
                                <w:szCs w:val="16"/>
                              </w:rPr>
                              <w:t>0.14</w:t>
                            </w:r>
                          </w:p>
                        </w:tc>
                      </w:tr>
                      <w:tr w:rsidR="00CD1B4A" w:rsidTr="00592B8A">
                        <w:trPr>
                          <w:jc w:val="center"/>
                        </w:trPr>
                        <w:tc>
                          <w:tcPr>
                            <w:tcW w:w="0" w:type="auto"/>
                          </w:tcPr>
                          <w:p w:rsidR="00CD1B4A" w:rsidRDefault="00CD1B4A" w:rsidP="00CD1B4A">
                            <w:pPr>
                              <w:rPr>
                                <w:sz w:val="16"/>
                                <w:szCs w:val="16"/>
                              </w:rPr>
                            </w:pPr>
                            <w:r w:rsidRPr="7D7421AA">
                              <w:rPr>
                                <w:sz w:val="16"/>
                                <w:szCs w:val="16"/>
                              </w:rPr>
                              <w:t>GC-Content</w:t>
                            </w:r>
                          </w:p>
                        </w:tc>
                        <w:tc>
                          <w:tcPr>
                            <w:tcW w:w="0" w:type="auto"/>
                          </w:tcPr>
                          <w:p w:rsidR="00CD1B4A" w:rsidRDefault="00CD1B4A" w:rsidP="00CD1B4A">
                            <w:r w:rsidRPr="7D7421AA">
                              <w:rPr>
                                <w:sz w:val="16"/>
                                <w:szCs w:val="16"/>
                              </w:rPr>
                              <w:t>2</w:t>
                            </w:r>
                            <w:r w:rsidRPr="7D7421AA">
                              <w:rPr>
                                <w:sz w:val="16"/>
                                <w:szCs w:val="16"/>
                                <w:vertAlign w:val="superscript"/>
                              </w:rPr>
                              <w:t>nd</w:t>
                            </w:r>
                            <w:r w:rsidRPr="7D7421AA">
                              <w:rPr>
                                <w:sz w:val="16"/>
                                <w:szCs w:val="16"/>
                              </w:rPr>
                              <w:t xml:space="preserve"> </w:t>
                            </w:r>
                          </w:p>
                        </w:tc>
                        <w:tc>
                          <w:tcPr>
                            <w:tcW w:w="0" w:type="auto"/>
                          </w:tcPr>
                          <w:p w:rsidR="00CD1B4A" w:rsidRDefault="00CD1B4A" w:rsidP="00CD1B4A">
                            <w:r w:rsidRPr="2BF09319">
                              <w:rPr>
                                <w:sz w:val="16"/>
                                <w:szCs w:val="16"/>
                              </w:rPr>
                              <w:t>1</w:t>
                            </w:r>
                            <w:r w:rsidRPr="2BF09319">
                              <w:rPr>
                                <w:sz w:val="16"/>
                                <w:szCs w:val="16"/>
                                <w:vertAlign w:val="superscript"/>
                              </w:rPr>
                              <w:t>st</w:t>
                            </w:r>
                            <w:r w:rsidRPr="2BF09319">
                              <w:rPr>
                                <w:sz w:val="16"/>
                                <w:szCs w:val="16"/>
                              </w:rPr>
                              <w:t xml:space="preserve"> </w:t>
                            </w:r>
                          </w:p>
                        </w:tc>
                        <w:tc>
                          <w:tcPr>
                            <w:tcW w:w="0" w:type="auto"/>
                          </w:tcPr>
                          <w:p w:rsidR="00CD1B4A" w:rsidRDefault="00CD1B4A" w:rsidP="00CD1B4A">
                            <w:pPr>
                              <w:rPr>
                                <w:sz w:val="16"/>
                                <w:szCs w:val="16"/>
                              </w:rPr>
                            </w:pPr>
                            <w:r w:rsidRPr="2917BBD7">
                              <w:rPr>
                                <w:sz w:val="16"/>
                                <w:szCs w:val="16"/>
                              </w:rPr>
                              <w:t>N.A.</w:t>
                            </w:r>
                          </w:p>
                        </w:tc>
                      </w:tr>
                      <w:tr w:rsidR="00CD1B4A" w:rsidTr="00592B8A">
                        <w:trPr>
                          <w:jc w:val="center"/>
                        </w:trPr>
                        <w:tc>
                          <w:tcPr>
                            <w:tcW w:w="0" w:type="auto"/>
                          </w:tcPr>
                          <w:p w:rsidR="00CD1B4A" w:rsidRDefault="00CD1B4A" w:rsidP="00CD1B4A">
                            <w:pPr>
                              <w:rPr>
                                <w:sz w:val="16"/>
                                <w:szCs w:val="16"/>
                              </w:rPr>
                            </w:pPr>
                            <w:r w:rsidRPr="54D4B07C">
                              <w:rPr>
                                <w:sz w:val="16"/>
                                <w:szCs w:val="16"/>
                              </w:rPr>
                              <w:t>Top 3 FI</w:t>
                            </w:r>
                          </w:p>
                        </w:tc>
                        <w:tc>
                          <w:tcPr>
                            <w:tcW w:w="0" w:type="auto"/>
                          </w:tcPr>
                          <w:p w:rsidR="00CD1B4A" w:rsidRDefault="00CD1B4A" w:rsidP="00CD1B4A">
                            <w:pPr>
                              <w:rPr>
                                <w:sz w:val="16"/>
                                <w:szCs w:val="16"/>
                              </w:rPr>
                            </w:pPr>
                            <w:r w:rsidRPr="54D4B07C">
                              <w:rPr>
                                <w:sz w:val="16"/>
                                <w:szCs w:val="16"/>
                              </w:rPr>
                              <w:t>-</w:t>
                            </w:r>
                            <w:proofErr w:type="gramStart"/>
                            <w:r w:rsidRPr="54D4B07C">
                              <w:rPr>
                                <w:sz w:val="16"/>
                                <w:szCs w:val="16"/>
                              </w:rPr>
                              <w:t>35:T</w:t>
                            </w:r>
                            <w:proofErr w:type="gramEnd"/>
                            <w:r>
                              <w:rPr>
                                <w:sz w:val="16"/>
                                <w:szCs w:val="16"/>
                              </w:rPr>
                              <w:t>:</w:t>
                            </w:r>
                            <w:r w:rsidRPr="54D4B07C">
                              <w:rPr>
                                <w:sz w:val="16"/>
                                <w:szCs w:val="16"/>
                              </w:rPr>
                              <w:t>0.24</w:t>
                            </w:r>
                          </w:p>
                          <w:p w:rsidR="00CD1B4A" w:rsidRDefault="00CD1B4A" w:rsidP="00CD1B4A">
                            <w:pPr>
                              <w:rPr>
                                <w:sz w:val="16"/>
                                <w:szCs w:val="16"/>
                              </w:rPr>
                            </w:pPr>
                            <w:r w:rsidRPr="54D4B07C">
                              <w:rPr>
                                <w:sz w:val="16"/>
                                <w:szCs w:val="16"/>
                              </w:rPr>
                              <w:t>-</w:t>
                            </w:r>
                            <w:proofErr w:type="gramStart"/>
                            <w:r w:rsidRPr="54D4B07C">
                              <w:rPr>
                                <w:sz w:val="16"/>
                                <w:szCs w:val="16"/>
                              </w:rPr>
                              <w:t>34:T</w:t>
                            </w:r>
                            <w:proofErr w:type="gramEnd"/>
                            <w:r>
                              <w:rPr>
                                <w:sz w:val="16"/>
                                <w:szCs w:val="16"/>
                              </w:rPr>
                              <w:t>:</w:t>
                            </w:r>
                            <w:r w:rsidRPr="54D4B07C">
                              <w:rPr>
                                <w:sz w:val="16"/>
                                <w:szCs w:val="16"/>
                              </w:rPr>
                              <w:t>0.1</w:t>
                            </w:r>
                          </w:p>
                          <w:p w:rsidR="00CD1B4A" w:rsidRDefault="00CD1B4A" w:rsidP="00CD1B4A">
                            <w:pPr>
                              <w:rPr>
                                <w:sz w:val="16"/>
                                <w:szCs w:val="16"/>
                              </w:rPr>
                            </w:pPr>
                            <w:r w:rsidRPr="54D4B07C">
                              <w:rPr>
                                <w:sz w:val="16"/>
                                <w:szCs w:val="16"/>
                              </w:rPr>
                              <w:t>-35:A</w:t>
                            </w:r>
                            <w:r>
                              <w:rPr>
                                <w:sz w:val="16"/>
                                <w:szCs w:val="16"/>
                              </w:rPr>
                              <w:t>:</w:t>
                            </w:r>
                            <w:r w:rsidRPr="54D4B07C">
                              <w:rPr>
                                <w:sz w:val="16"/>
                                <w:szCs w:val="16"/>
                              </w:rPr>
                              <w:t>0.1</w:t>
                            </w:r>
                          </w:p>
                        </w:tc>
                        <w:tc>
                          <w:tcPr>
                            <w:tcW w:w="0" w:type="auto"/>
                          </w:tcPr>
                          <w:p w:rsidR="00CD1B4A" w:rsidRDefault="00CD1B4A" w:rsidP="00CD1B4A">
                            <w:pPr>
                              <w:rPr>
                                <w:sz w:val="16"/>
                                <w:szCs w:val="16"/>
                              </w:rPr>
                            </w:pPr>
                            <w:r w:rsidRPr="54D4B07C">
                              <w:rPr>
                                <w:sz w:val="16"/>
                                <w:szCs w:val="16"/>
                              </w:rPr>
                              <w:t>-</w:t>
                            </w:r>
                            <w:proofErr w:type="gramStart"/>
                            <w:r w:rsidRPr="54D4B07C">
                              <w:rPr>
                                <w:sz w:val="16"/>
                                <w:szCs w:val="16"/>
                              </w:rPr>
                              <w:t>34:T</w:t>
                            </w:r>
                            <w:proofErr w:type="gramEnd"/>
                            <w:r>
                              <w:rPr>
                                <w:sz w:val="16"/>
                                <w:szCs w:val="16"/>
                              </w:rPr>
                              <w:t>:</w:t>
                            </w:r>
                            <w:r w:rsidRPr="54D4B07C">
                              <w:rPr>
                                <w:sz w:val="16"/>
                                <w:szCs w:val="16"/>
                              </w:rPr>
                              <w:t>0.08</w:t>
                            </w:r>
                          </w:p>
                          <w:p w:rsidR="00CD1B4A" w:rsidRDefault="00CD1B4A" w:rsidP="00CD1B4A">
                            <w:pPr>
                              <w:rPr>
                                <w:sz w:val="16"/>
                                <w:szCs w:val="16"/>
                              </w:rPr>
                            </w:pPr>
                            <w:r w:rsidRPr="54D4B07C">
                              <w:rPr>
                                <w:sz w:val="16"/>
                                <w:szCs w:val="16"/>
                              </w:rPr>
                              <w:t>-</w:t>
                            </w:r>
                            <w:proofErr w:type="gramStart"/>
                            <w:r w:rsidRPr="54D4B07C">
                              <w:rPr>
                                <w:sz w:val="16"/>
                                <w:szCs w:val="16"/>
                              </w:rPr>
                              <w:t>35:A</w:t>
                            </w:r>
                            <w:proofErr w:type="gramEnd"/>
                            <w:r>
                              <w:rPr>
                                <w:sz w:val="16"/>
                                <w:szCs w:val="16"/>
                              </w:rPr>
                              <w:t>:</w:t>
                            </w:r>
                            <w:r w:rsidRPr="54D4B07C">
                              <w:rPr>
                                <w:sz w:val="16"/>
                                <w:szCs w:val="16"/>
                              </w:rPr>
                              <w:t>0.05</w:t>
                            </w:r>
                          </w:p>
                          <w:p w:rsidR="00CD1B4A" w:rsidRDefault="00CD1B4A" w:rsidP="00CD1B4A">
                            <w:pPr>
                              <w:rPr>
                                <w:sz w:val="16"/>
                                <w:szCs w:val="16"/>
                              </w:rPr>
                            </w:pPr>
                            <w:r w:rsidRPr="54D4B07C">
                              <w:rPr>
                                <w:sz w:val="16"/>
                                <w:szCs w:val="16"/>
                              </w:rPr>
                              <w:t>-14:G</w:t>
                            </w:r>
                            <w:r>
                              <w:rPr>
                                <w:sz w:val="16"/>
                                <w:szCs w:val="16"/>
                              </w:rPr>
                              <w:t>:</w:t>
                            </w:r>
                            <w:r w:rsidRPr="54D4B07C">
                              <w:rPr>
                                <w:sz w:val="16"/>
                                <w:szCs w:val="16"/>
                              </w:rPr>
                              <w:t>0.05</w:t>
                            </w:r>
                          </w:p>
                        </w:tc>
                        <w:tc>
                          <w:tcPr>
                            <w:tcW w:w="0" w:type="auto"/>
                          </w:tcPr>
                          <w:p w:rsidR="00CD1B4A" w:rsidRDefault="00CD1B4A" w:rsidP="00CD1B4A">
                            <w:pPr>
                              <w:rPr>
                                <w:sz w:val="16"/>
                                <w:szCs w:val="16"/>
                              </w:rPr>
                            </w:pPr>
                            <w:r w:rsidRPr="54D4B07C">
                              <w:rPr>
                                <w:sz w:val="16"/>
                                <w:szCs w:val="16"/>
                              </w:rPr>
                              <w:t>N.A.</w:t>
                            </w:r>
                          </w:p>
                          <w:p w:rsidR="00CD1B4A" w:rsidRDefault="00CD1B4A" w:rsidP="00CD1B4A">
                            <w:pPr>
                              <w:rPr>
                                <w:sz w:val="16"/>
                                <w:szCs w:val="16"/>
                              </w:rPr>
                            </w:pPr>
                          </w:p>
                        </w:tc>
                      </w:tr>
                    </w:tbl>
                    <w:p w:rsidR="00CD1B4A" w:rsidRDefault="00CD1B4A" w:rsidP="00592B8A"/>
                  </w:txbxContent>
                </v:textbox>
                <w10:wrap type="topAndBottom" anchorx="margin" anchory="margin"/>
                <w10:anchorlock/>
              </v:shape>
            </w:pict>
          </mc:Fallback>
        </mc:AlternateContent>
      </w:r>
      <w:r w:rsidR="00592B8A" w:rsidRPr="00347EB0">
        <w:rPr>
          <w:rFonts w:ascii="Times New Roman" w:hAnsi="Times New Roman"/>
          <w:noProof/>
        </w:rPr>
        <mc:AlternateContent>
          <mc:Choice Requires="wps">
            <w:drawing>
              <wp:anchor distT="45720" distB="45720" distL="114300" distR="114300" simplePos="0" relativeHeight="251663360" behindDoc="0" locked="1" layoutInCell="1" allowOverlap="1" wp14:anchorId="18FEFE64" wp14:editId="0971EE9D">
                <wp:simplePos x="0" y="0"/>
                <wp:positionH relativeFrom="margin">
                  <wp:posOffset>-15240</wp:posOffset>
                </wp:positionH>
                <wp:positionV relativeFrom="margin">
                  <wp:posOffset>-635</wp:posOffset>
                </wp:positionV>
                <wp:extent cx="5772150" cy="242125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421255"/>
                        </a:xfrm>
                        <a:prstGeom prst="rect">
                          <a:avLst/>
                        </a:prstGeom>
                        <a:solidFill>
                          <a:srgbClr val="FFFFFF"/>
                        </a:solidFill>
                        <a:ln w="9525">
                          <a:noFill/>
                          <a:miter lim="800000"/>
                          <a:headEnd/>
                          <a:tailEnd/>
                        </a:ln>
                      </wps:spPr>
                      <wps:txbx>
                        <w:txbxContent>
                          <w:p w:rsidR="00CD1B4A" w:rsidRDefault="00CD1B4A" w:rsidP="00592B8A">
                            <w:pPr>
                              <w:keepNext/>
                              <w:jc w:val="center"/>
                            </w:pPr>
                            <w:r>
                              <w:rPr>
                                <w:noProof/>
                              </w:rPr>
                              <w:drawing>
                                <wp:inline distT="0" distB="0" distL="0" distR="0" wp14:anchorId="67D5D954" wp14:editId="11FF644E">
                                  <wp:extent cx="4801606" cy="18068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ut-SampleDiversity.png"/>
                                          <pic:cNvPicPr/>
                                        </pic:nvPicPr>
                                        <pic:blipFill>
                                          <a:blip r:embed="rId12">
                                            <a:extLst>
                                              <a:ext uri="{28A0092B-C50C-407E-A947-70E740481C1C}">
                                                <a14:useLocalDpi xmlns:a14="http://schemas.microsoft.com/office/drawing/2010/main" val="0"/>
                                              </a:ext>
                                            </a:extLst>
                                          </a:blip>
                                          <a:stretch>
                                            <a:fillRect/>
                                          </a:stretch>
                                        </pic:blipFill>
                                        <pic:spPr>
                                          <a:xfrm>
                                            <a:off x="0" y="0"/>
                                            <a:ext cx="4832857" cy="1818614"/>
                                          </a:xfrm>
                                          <a:prstGeom prst="rect">
                                            <a:avLst/>
                                          </a:prstGeom>
                                        </pic:spPr>
                                      </pic:pic>
                                    </a:graphicData>
                                  </a:graphic>
                                </wp:inline>
                              </w:drawing>
                            </w:r>
                          </w:p>
                          <w:p w:rsidR="00CD1B4A" w:rsidRDefault="00CD1B4A" w:rsidP="00592B8A">
                            <w:pPr>
                              <w:pStyle w:val="Caption"/>
                            </w:pPr>
                            <w:bookmarkStart w:id="2" w:name="_Ref58869315"/>
                            <w:r w:rsidRPr="00347EB0">
                              <w:rPr>
                                <w:rFonts w:ascii="Times New Roman" w:hAnsi="Times New Roman"/>
                                <w:sz w:val="16"/>
                                <w:szCs w:val="16"/>
                              </w:rPr>
                              <w:t xml:space="preserve">Figure </w:t>
                            </w:r>
                            <w:r w:rsidRPr="00347EB0">
                              <w:rPr>
                                <w:rFonts w:ascii="Times New Roman" w:hAnsi="Times New Roman"/>
                                <w:sz w:val="16"/>
                                <w:szCs w:val="16"/>
                              </w:rPr>
                              <w:fldChar w:fldCharType="begin"/>
                            </w:r>
                            <w:r w:rsidRPr="00347EB0">
                              <w:rPr>
                                <w:rFonts w:ascii="Times New Roman" w:hAnsi="Times New Roman"/>
                                <w:sz w:val="16"/>
                                <w:szCs w:val="16"/>
                              </w:rPr>
                              <w:instrText xml:space="preserve"> SEQ Figure \* ARABIC </w:instrText>
                            </w:r>
                            <w:r w:rsidRPr="00347EB0">
                              <w:rPr>
                                <w:rFonts w:ascii="Times New Roman" w:hAnsi="Times New Roman"/>
                                <w:sz w:val="16"/>
                                <w:szCs w:val="16"/>
                              </w:rPr>
                              <w:fldChar w:fldCharType="separate"/>
                            </w:r>
                            <w:r w:rsidR="00397734">
                              <w:rPr>
                                <w:rFonts w:ascii="Times New Roman" w:hAnsi="Times New Roman"/>
                                <w:noProof/>
                                <w:sz w:val="16"/>
                                <w:szCs w:val="16"/>
                              </w:rPr>
                              <w:t>1</w:t>
                            </w:r>
                            <w:r w:rsidRPr="00347EB0">
                              <w:rPr>
                                <w:rFonts w:ascii="Times New Roman" w:hAnsi="Times New Roman"/>
                                <w:sz w:val="16"/>
                                <w:szCs w:val="16"/>
                              </w:rPr>
                              <w:fldChar w:fldCharType="end"/>
                            </w:r>
                            <w:bookmarkEnd w:id="2"/>
                            <w:r w:rsidRPr="00347EB0">
                              <w:rPr>
                                <w:rFonts w:ascii="Times New Roman" w:hAnsi="Times New Roman"/>
                                <w:sz w:val="16"/>
                                <w:szCs w:val="16"/>
                              </w:rPr>
                              <w:t xml:space="preserve">: </w:t>
                            </w:r>
                            <w:r w:rsidRPr="002712E0">
                              <w:rPr>
                                <w:rFonts w:ascii="Times New Roman" w:hAnsi="Times New Roman"/>
                                <w:sz w:val="16"/>
                                <w:szCs w:val="16"/>
                              </w:rPr>
                              <w:t xml:space="preserve">Promoter sampling diversity of the complete data set for nucleotide variations on each sequence position (A) and mutual sequence distances (B). The promoter library </w:t>
                            </w:r>
                            <w:r>
                              <w:rPr>
                                <w:rFonts w:ascii="Times New Roman" w:hAnsi="Times New Roman"/>
                                <w:sz w:val="16"/>
                                <w:szCs w:val="16"/>
                              </w:rPr>
                              <w:t xml:space="preserve">is based on </w:t>
                            </w:r>
                            <w:proofErr w:type="spellStart"/>
                            <w:r w:rsidRPr="002712E0">
                              <w:rPr>
                                <w:rFonts w:ascii="Times New Roman" w:hAnsi="Times New Roman"/>
                                <w:sz w:val="16"/>
                                <w:szCs w:val="16"/>
                              </w:rPr>
                              <w:t>Köbbing</w:t>
                            </w:r>
                            <w:proofErr w:type="spellEnd"/>
                            <w:r w:rsidRPr="002712E0">
                              <w:rPr>
                                <w:rFonts w:ascii="Times New Roman" w:hAnsi="Times New Roman"/>
                                <w:sz w:val="16"/>
                                <w:szCs w:val="16"/>
                              </w:rPr>
                              <w:t xml:space="preserve"> et al. (2020) </w:t>
                            </w:r>
                            <w:r>
                              <w:rPr>
                                <w:rFonts w:ascii="Times New Roman" w:hAnsi="Times New Roman"/>
                                <w:sz w:val="16"/>
                                <w:szCs w:val="16"/>
                              </w:rPr>
                              <w:t>with additional sequences totaling 63</w:t>
                            </w:r>
                            <w:r w:rsidRPr="002712E0">
                              <w:rPr>
                                <w:rFonts w:ascii="Times New Roman" w:hAnsi="Times New Roman"/>
                                <w:sz w:val="16"/>
                                <w:szCs w:val="16"/>
                              </w:rPr>
                              <w:t xml:space="preserve"> different </w:t>
                            </w:r>
                            <w:r>
                              <w:rPr>
                                <w:rFonts w:ascii="Times New Roman" w:hAnsi="Times New Roman"/>
                                <w:sz w:val="16"/>
                                <w:szCs w:val="16"/>
                              </w:rPr>
                              <w:t>promoters with mutations</w:t>
                            </w:r>
                            <w:r w:rsidRPr="2917BBD7">
                              <w:rPr>
                                <w:rFonts w:ascii="Times New Roman" w:hAnsi="Times New Roman"/>
                                <w:sz w:val="16"/>
                                <w:szCs w:val="16"/>
                              </w:rPr>
                              <w:t xml:space="preserve"> directly upstream of the transcription start site.</w:t>
                            </w:r>
                          </w:p>
                          <w:p w:rsidR="00CD1B4A" w:rsidRPr="00311992" w:rsidRDefault="00CD1B4A" w:rsidP="00592B8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EFE64" id="_x0000_s1027" type="#_x0000_t202" style="position:absolute;left:0;text-align:left;margin-left:-1.2pt;margin-top:-.05pt;width:454.5pt;height:190.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" stroked="f">
                <v:textbox>
                  <w:txbxContent>
                    <w:p w:rsidR="00CD1B4A" w:rsidRDefault="00CD1B4A" w:rsidP="00592B8A">
                      <w:pPr>
                        <w:keepNext/>
                        <w:jc w:val="center"/>
                      </w:pPr>
                      <w:r>
                        <w:rPr>
                          <w:noProof/>
                        </w:rPr>
                        <w:drawing>
                          <wp:inline distT="0" distB="0" distL="0" distR="0" wp14:anchorId="67D5D954" wp14:editId="11FF644E">
                            <wp:extent cx="4801606" cy="18068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ut-SampleDiversity.png"/>
                                    <pic:cNvPicPr/>
                                  </pic:nvPicPr>
                                  <pic:blipFill>
                                    <a:blip r:embed="rId12">
                                      <a:extLst>
                                        <a:ext uri="{28A0092B-C50C-407E-A947-70E740481C1C}">
                                          <a14:useLocalDpi xmlns:a14="http://schemas.microsoft.com/office/drawing/2010/main" val="0"/>
                                        </a:ext>
                                      </a:extLst>
                                    </a:blip>
                                    <a:stretch>
                                      <a:fillRect/>
                                    </a:stretch>
                                  </pic:blipFill>
                                  <pic:spPr>
                                    <a:xfrm>
                                      <a:off x="0" y="0"/>
                                      <a:ext cx="4832857" cy="1818614"/>
                                    </a:xfrm>
                                    <a:prstGeom prst="rect">
                                      <a:avLst/>
                                    </a:prstGeom>
                                  </pic:spPr>
                                </pic:pic>
                              </a:graphicData>
                            </a:graphic>
                          </wp:inline>
                        </w:drawing>
                      </w:r>
                    </w:p>
                    <w:p w:rsidR="00CD1B4A" w:rsidRDefault="00CD1B4A" w:rsidP="00592B8A">
                      <w:pPr>
                        <w:pStyle w:val="Caption"/>
                      </w:pPr>
                      <w:bookmarkStart w:id="3" w:name="_Ref58869315"/>
                      <w:r w:rsidRPr="00347EB0">
                        <w:rPr>
                          <w:rFonts w:ascii="Times New Roman" w:hAnsi="Times New Roman"/>
                          <w:sz w:val="16"/>
                          <w:szCs w:val="16"/>
                        </w:rPr>
                        <w:t xml:space="preserve">Figure </w:t>
                      </w:r>
                      <w:r w:rsidRPr="00347EB0">
                        <w:rPr>
                          <w:rFonts w:ascii="Times New Roman" w:hAnsi="Times New Roman"/>
                          <w:sz w:val="16"/>
                          <w:szCs w:val="16"/>
                        </w:rPr>
                        <w:fldChar w:fldCharType="begin"/>
                      </w:r>
                      <w:r w:rsidRPr="00347EB0">
                        <w:rPr>
                          <w:rFonts w:ascii="Times New Roman" w:hAnsi="Times New Roman"/>
                          <w:sz w:val="16"/>
                          <w:szCs w:val="16"/>
                        </w:rPr>
                        <w:instrText xml:space="preserve"> SEQ Figure \* ARABIC </w:instrText>
                      </w:r>
                      <w:r w:rsidRPr="00347EB0">
                        <w:rPr>
                          <w:rFonts w:ascii="Times New Roman" w:hAnsi="Times New Roman"/>
                          <w:sz w:val="16"/>
                          <w:szCs w:val="16"/>
                        </w:rPr>
                        <w:fldChar w:fldCharType="separate"/>
                      </w:r>
                      <w:r w:rsidR="00397734">
                        <w:rPr>
                          <w:rFonts w:ascii="Times New Roman" w:hAnsi="Times New Roman"/>
                          <w:noProof/>
                          <w:sz w:val="16"/>
                          <w:szCs w:val="16"/>
                        </w:rPr>
                        <w:t>1</w:t>
                      </w:r>
                      <w:r w:rsidRPr="00347EB0">
                        <w:rPr>
                          <w:rFonts w:ascii="Times New Roman" w:hAnsi="Times New Roman"/>
                          <w:sz w:val="16"/>
                          <w:szCs w:val="16"/>
                        </w:rPr>
                        <w:fldChar w:fldCharType="end"/>
                      </w:r>
                      <w:bookmarkEnd w:id="3"/>
                      <w:r w:rsidRPr="00347EB0">
                        <w:rPr>
                          <w:rFonts w:ascii="Times New Roman" w:hAnsi="Times New Roman"/>
                          <w:sz w:val="16"/>
                          <w:szCs w:val="16"/>
                        </w:rPr>
                        <w:t xml:space="preserve">: </w:t>
                      </w:r>
                      <w:r w:rsidRPr="002712E0">
                        <w:rPr>
                          <w:rFonts w:ascii="Times New Roman" w:hAnsi="Times New Roman"/>
                          <w:sz w:val="16"/>
                          <w:szCs w:val="16"/>
                        </w:rPr>
                        <w:t xml:space="preserve">Promoter sampling diversity of the complete data set for nucleotide variations on each sequence position (A) and mutual sequence distances (B). The promoter library </w:t>
                      </w:r>
                      <w:r>
                        <w:rPr>
                          <w:rFonts w:ascii="Times New Roman" w:hAnsi="Times New Roman"/>
                          <w:sz w:val="16"/>
                          <w:szCs w:val="16"/>
                        </w:rPr>
                        <w:t xml:space="preserve">is based on </w:t>
                      </w:r>
                      <w:proofErr w:type="spellStart"/>
                      <w:r w:rsidRPr="002712E0">
                        <w:rPr>
                          <w:rFonts w:ascii="Times New Roman" w:hAnsi="Times New Roman"/>
                          <w:sz w:val="16"/>
                          <w:szCs w:val="16"/>
                        </w:rPr>
                        <w:t>Köbbing</w:t>
                      </w:r>
                      <w:proofErr w:type="spellEnd"/>
                      <w:r w:rsidRPr="002712E0">
                        <w:rPr>
                          <w:rFonts w:ascii="Times New Roman" w:hAnsi="Times New Roman"/>
                          <w:sz w:val="16"/>
                          <w:szCs w:val="16"/>
                        </w:rPr>
                        <w:t xml:space="preserve"> et al. (2020) </w:t>
                      </w:r>
                      <w:r>
                        <w:rPr>
                          <w:rFonts w:ascii="Times New Roman" w:hAnsi="Times New Roman"/>
                          <w:sz w:val="16"/>
                          <w:szCs w:val="16"/>
                        </w:rPr>
                        <w:t>with additional sequences totaling 63</w:t>
                      </w:r>
                      <w:r w:rsidRPr="002712E0">
                        <w:rPr>
                          <w:rFonts w:ascii="Times New Roman" w:hAnsi="Times New Roman"/>
                          <w:sz w:val="16"/>
                          <w:szCs w:val="16"/>
                        </w:rPr>
                        <w:t xml:space="preserve"> different </w:t>
                      </w:r>
                      <w:r>
                        <w:rPr>
                          <w:rFonts w:ascii="Times New Roman" w:hAnsi="Times New Roman"/>
                          <w:sz w:val="16"/>
                          <w:szCs w:val="16"/>
                        </w:rPr>
                        <w:t>promoters with mutations</w:t>
                      </w:r>
                      <w:r w:rsidRPr="2917BBD7">
                        <w:rPr>
                          <w:rFonts w:ascii="Times New Roman" w:hAnsi="Times New Roman"/>
                          <w:sz w:val="16"/>
                          <w:szCs w:val="16"/>
                        </w:rPr>
                        <w:t xml:space="preserve"> directly upstream of the transcription start site.</w:t>
                      </w:r>
                    </w:p>
                    <w:p w:rsidR="00CD1B4A" w:rsidRPr="00311992" w:rsidRDefault="00CD1B4A" w:rsidP="00592B8A">
                      <w:pPr>
                        <w:rPr>
                          <w:lang w:val="en-GB"/>
                        </w:rPr>
                      </w:pPr>
                    </w:p>
                  </w:txbxContent>
                </v:textbox>
                <w10:wrap type="topAndBottom" anchorx="margin" anchory="margin"/>
                <w10:anchorlock/>
              </v:shape>
            </w:pict>
          </mc:Fallback>
        </mc:AlternateContent>
      </w:r>
    </w:p>
    <w:p w:rsidR="006E529C" w:rsidRDefault="006E529C" w:rsidP="006E529C">
      <w:pPr>
        <w:pStyle w:val="Heading1"/>
      </w:pPr>
      <w:r>
        <w:t>Results</w:t>
      </w:r>
    </w:p>
    <w:p w:rsidR="006E529C" w:rsidRPr="0021304E" w:rsidRDefault="006E529C" w:rsidP="0021304E">
      <w:pPr>
        <w:spacing w:line="276" w:lineRule="auto"/>
        <w:jc w:val="both"/>
        <w:rPr>
          <w:rFonts w:ascii="Times New Roman" w:hAnsi="Times New Roman"/>
          <w:sz w:val="20"/>
          <w:szCs w:val="20"/>
          <w:lang w:val="en-GB"/>
        </w:rPr>
      </w:pPr>
      <w:r w:rsidRPr="0021304E">
        <w:rPr>
          <w:rFonts w:ascii="Times New Roman" w:hAnsi="Times New Roman"/>
          <w:sz w:val="20"/>
          <w:szCs w:val="20"/>
          <w:lang w:val="en-GB"/>
        </w:rPr>
        <w:t xml:space="preserve">The workflow was first applied on a newly extended </w:t>
      </w:r>
      <w:r w:rsidRPr="0021304E">
        <w:rPr>
          <w:rFonts w:ascii="Times New Roman" w:hAnsi="Times New Roman"/>
          <w:i/>
          <w:iCs/>
          <w:sz w:val="20"/>
          <w:szCs w:val="20"/>
          <w:lang w:val="en-GB"/>
        </w:rPr>
        <w:t xml:space="preserve">Pseudomonas putida </w:t>
      </w:r>
      <w:r w:rsidRPr="0021304E">
        <w:rPr>
          <w:rFonts w:ascii="Times New Roman" w:hAnsi="Times New Roman"/>
          <w:sz w:val="20"/>
          <w:szCs w:val="20"/>
          <w:lang w:val="en-GB"/>
        </w:rPr>
        <w:t xml:space="preserve">KT2440 synthetic promoter library, followed by a cross analysis of six published libraries. The analysis of our </w:t>
      </w:r>
      <w:r w:rsidRPr="0021304E">
        <w:rPr>
          <w:rFonts w:ascii="Times New Roman" w:hAnsi="Times New Roman"/>
          <w:i/>
          <w:iCs/>
          <w:sz w:val="20"/>
          <w:szCs w:val="20"/>
          <w:lang w:val="en-GB"/>
        </w:rPr>
        <w:t>P. putida</w:t>
      </w:r>
      <w:r w:rsidRPr="0021304E">
        <w:rPr>
          <w:rFonts w:ascii="Times New Roman" w:hAnsi="Times New Roman"/>
          <w:sz w:val="20"/>
          <w:szCs w:val="20"/>
          <w:lang w:val="en-GB"/>
        </w:rPr>
        <w:t xml:space="preserve"> KT2440 library will show how the workflow can be used, and we will highlight shortcomings of the experimental design for machine-learning driven analysis. In the cross-library comparison, we investigated how the different library parameters of sample size, diversity and feature number impact the predictions.</w:t>
      </w:r>
    </w:p>
    <w:p w:rsidR="006E529C" w:rsidRPr="009B347F" w:rsidRDefault="006E529C" w:rsidP="006E529C">
      <w:pPr>
        <w:pStyle w:val="Heading2"/>
        <w:numPr>
          <w:ilvl w:val="1"/>
          <w:numId w:val="4"/>
        </w:numPr>
      </w:pPr>
      <w:r w:rsidRPr="00282026">
        <w:rPr>
          <w:i/>
        </w:rPr>
        <w:t>P. putida</w:t>
      </w:r>
      <w:r w:rsidRPr="009B347F">
        <w:t xml:space="preserve"> single library analysis</w:t>
      </w:r>
    </w:p>
    <w:p w:rsidR="006E529C" w:rsidRPr="0021304E" w:rsidRDefault="006E529C" w:rsidP="0021304E">
      <w:pPr>
        <w:spacing w:line="276" w:lineRule="auto"/>
        <w:jc w:val="both"/>
        <w:rPr>
          <w:rFonts w:ascii="Times New Roman" w:hAnsi="Times New Roman"/>
          <w:sz w:val="20"/>
          <w:szCs w:val="20"/>
          <w:lang w:val="en-GB"/>
        </w:rPr>
      </w:pPr>
      <w:r w:rsidRPr="0021304E">
        <w:rPr>
          <w:rFonts w:ascii="Times New Roman" w:hAnsi="Times New Roman"/>
          <w:sz w:val="20"/>
          <w:szCs w:val="20"/>
          <w:lang w:val="en-GB"/>
        </w:rPr>
        <w:t xml:space="preserve">We used the workflow to </w:t>
      </w:r>
      <w:r w:rsidR="0021304E" w:rsidRPr="0021304E">
        <w:rPr>
          <w:rFonts w:ascii="Times New Roman" w:hAnsi="Times New Roman"/>
          <w:sz w:val="20"/>
          <w:szCs w:val="20"/>
          <w:lang w:val="en-GB"/>
        </w:rPr>
        <w:t>analyse</w:t>
      </w:r>
      <w:r w:rsidRPr="0021304E">
        <w:rPr>
          <w:rFonts w:ascii="Times New Roman" w:hAnsi="Times New Roman"/>
          <w:sz w:val="20"/>
          <w:szCs w:val="20"/>
          <w:lang w:val="en-GB"/>
        </w:rPr>
        <w:t xml:space="preserve"> a synthetic library in </w:t>
      </w:r>
      <w:r w:rsidRPr="0021304E">
        <w:rPr>
          <w:rFonts w:ascii="Times New Roman" w:hAnsi="Times New Roman"/>
          <w:i/>
          <w:iCs/>
          <w:sz w:val="20"/>
          <w:szCs w:val="20"/>
          <w:lang w:val="en-GB"/>
        </w:rPr>
        <w:t>P. putida</w:t>
      </w:r>
      <w:r w:rsidRPr="0021304E">
        <w:rPr>
          <w:rFonts w:ascii="Times New Roman" w:hAnsi="Times New Roman"/>
          <w:sz w:val="20"/>
          <w:szCs w:val="20"/>
          <w:lang w:val="en-GB"/>
        </w:rPr>
        <w:t xml:space="preserve"> KT2440 driven by </w:t>
      </w:r>
      <w:r w:rsidRPr="0021304E">
        <w:rPr>
          <w:rFonts w:ascii="Symbol" w:hAnsi="Symbol"/>
          <w:sz w:val="20"/>
          <w:szCs w:val="20"/>
        </w:rPr>
        <w:t></w:t>
      </w:r>
      <w:r w:rsidRPr="0021304E">
        <w:rPr>
          <w:sz w:val="20"/>
          <w:szCs w:val="20"/>
          <w:vertAlign w:val="superscript"/>
          <w:lang w:val="en-GB"/>
        </w:rPr>
        <w:t>70</w:t>
      </w:r>
      <w:r w:rsidRPr="0021304E">
        <w:rPr>
          <w:rFonts w:ascii="Symbol" w:eastAsia="Symbol" w:hAnsi="Symbol" w:cs="Symbol"/>
          <w:sz w:val="20"/>
          <w:szCs w:val="20"/>
        </w:rPr>
        <w:t></w:t>
      </w:r>
      <w:r w:rsidRPr="0021304E">
        <w:rPr>
          <w:rFonts w:ascii="Times New Roman" w:hAnsi="Times New Roman"/>
          <w:sz w:val="20"/>
          <w:szCs w:val="20"/>
          <w:lang w:val="en-GB"/>
        </w:rPr>
        <w:t xml:space="preserve">dependent promoters and measured with GFP published previously </w:t>
      </w:r>
      <w:r w:rsidRPr="0021304E">
        <w:rPr>
          <w:rFonts w:ascii="Times New Roman" w:hAnsi="Times New Roman"/>
          <w:sz w:val="20"/>
          <w:szCs w:val="20"/>
        </w:rPr>
        <w:fldChar w:fldCharType="begin" w:fldLock="1"/>
      </w:r>
      <w:r w:rsidRPr="0021304E">
        <w:rPr>
          <w:rFonts w:ascii="Times New Roman" w:hAnsi="Times New Roman"/>
          <w:sz w:val="20"/>
          <w:szCs w:val="20"/>
          <w:lang w:val="en-GB"/>
        </w:rPr>
        <w:instrText>ADDIN CSL_CITATION {"citationItems":[{"id":"ITEM-1","itemData":{"DOI":"10.3389/fbioe.2020.00551","ISSN":"2296-4185","abstract":"Understanding the composability of genetic elements is central to synthetic biology. Even for seemingly well-known elements such as a sigma 70 promoter the genetic context-dependent variability of promoter activity remains poorly understood. The lack of understanding of sequence to function results in highly limited de novo design of novel genetic element combinations. To address this issue, we characterized in detail concatenated “stacked” synthetic promoters including varying spacer sequence lengths and compared the transcription strength to the output of the individual promoters. The proxy for promoter activity, the msfGFP synthesis from stacked promoters was consistently lower than expected from the sum of the activities of the single promoters. While the spacer sequence itself had no activity, it drastically affected promoter activities when placed up- or downstream of a promoter. Single promoter-spacer combinations revealed a bivalent effect on msfGFP synthesis. By systematic analysis of promoter and spacer combinations, a semi-empirical correlation was developed to determine the combined activity of stacked promoters.","author":[{"dropping-particle":"","family":"Köbbing","given":"Sebastian","non-dropping-particle":"","parse-names":false,"suffix":""},{"dropping-particle":"","family":"Blank","given":"Lars M.","non-dropping-particle":"","parse-names":false,"suffix":""},{"dropping-particle":"","family":"Wierckx","given":"Nick","non-dropping-particle":"","parse-names":false,"suffix":""}],"container-title":"Frontiers in Bioengineering and Biotechnology","id":"ITEM-1","issued":{"date-parts":[["2020","6","12"]]},"page":"551","publisher":"Frontiers Media S.A.","title":"Characterization of Context-Dependent Effects on Synthetic Promoters","type":"article-journal","volume":"8"},"uris":["http://www.mendeley.com/documents/?uuid=b16d3437-ee04-35b7-865d-bd86859b699e"]}],"mendeley":{"formattedCitation":"(Köbbing &lt;i&gt;et al.&lt;/i&gt;, 2020)","plainTextFormattedCitation":"(Köbbing et al., 2020)","previouslyFormattedCitation":"(Köbbing &lt;i&gt;et al.&lt;/i&gt;, 2020)"},"properties":{"noteIndex":0},"schema":"https://github.com/citation-style-language/schema/raw/master/csl-citation.json"}</w:instrText>
      </w:r>
      <w:r w:rsidRPr="0021304E">
        <w:rPr>
          <w:rFonts w:ascii="Times New Roman" w:hAnsi="Times New Roman"/>
          <w:sz w:val="20"/>
          <w:szCs w:val="20"/>
        </w:rPr>
        <w:fldChar w:fldCharType="separate"/>
      </w:r>
      <w:r w:rsidRPr="0021304E">
        <w:rPr>
          <w:rFonts w:ascii="Times New Roman" w:hAnsi="Times New Roman"/>
          <w:noProof/>
          <w:sz w:val="20"/>
          <w:szCs w:val="20"/>
          <w:lang w:val="en-GB"/>
        </w:rPr>
        <w:t xml:space="preserve">(Köbbing </w:t>
      </w:r>
      <w:r w:rsidRPr="0021304E">
        <w:rPr>
          <w:rFonts w:ascii="Times New Roman" w:hAnsi="Times New Roman"/>
          <w:i/>
          <w:iCs/>
          <w:noProof/>
          <w:sz w:val="20"/>
          <w:szCs w:val="20"/>
          <w:lang w:val="en-GB"/>
        </w:rPr>
        <w:t>et al.</w:t>
      </w:r>
      <w:r w:rsidRPr="0021304E">
        <w:rPr>
          <w:rFonts w:ascii="Times New Roman" w:hAnsi="Times New Roman"/>
          <w:noProof/>
          <w:sz w:val="20"/>
          <w:szCs w:val="20"/>
          <w:lang w:val="en-GB"/>
        </w:rPr>
        <w:t>, 2020)</w:t>
      </w:r>
      <w:r w:rsidRPr="0021304E">
        <w:rPr>
          <w:rFonts w:ascii="Times New Roman" w:hAnsi="Times New Roman"/>
          <w:sz w:val="20"/>
          <w:szCs w:val="20"/>
        </w:rPr>
        <w:fldChar w:fldCharType="end"/>
      </w:r>
      <w:r w:rsidRPr="0021304E">
        <w:rPr>
          <w:rFonts w:ascii="Times New Roman" w:hAnsi="Times New Roman"/>
          <w:sz w:val="20"/>
          <w:szCs w:val="20"/>
          <w:lang w:val="en-GB"/>
        </w:rPr>
        <w:t xml:space="preserve"> but expanded by eight new sequences. The goal was to identify sequence features responsible for expression strength. Experimentally, the sequence diversity was generated by single nucleotide exchanges in 28 nucleotides upstream of the transcription start site resulting in 63 unique sequences. For the analysis we used 40 nucleotides of the promoter and used three </w:t>
      </w:r>
      <w:r w:rsidR="002770F2">
        <w:rPr>
          <w:rFonts w:ascii="Times New Roman" w:hAnsi="Times New Roman"/>
          <w:sz w:val="20"/>
          <w:szCs w:val="20"/>
          <w:lang w:val="en-GB"/>
        </w:rPr>
        <w:t xml:space="preserve">approximately equal sized </w:t>
      </w:r>
      <w:r w:rsidRPr="0021304E">
        <w:rPr>
          <w:rFonts w:ascii="Times New Roman" w:hAnsi="Times New Roman"/>
          <w:sz w:val="20"/>
          <w:szCs w:val="20"/>
          <w:lang w:val="en-GB"/>
        </w:rPr>
        <w:t>bins for the activity classification. The sequences had low information content on most positions (</w:t>
      </w:r>
      <w:r w:rsidR="00F16E8D">
        <w:rPr>
          <w:rFonts w:ascii="Times New Roman" w:hAnsi="Times New Roman"/>
          <w:sz w:val="20"/>
          <w:szCs w:val="20"/>
          <w:lang w:val="en-GB"/>
        </w:rPr>
        <w:fldChar w:fldCharType="begin"/>
      </w:r>
      <w:r w:rsidR="00F16E8D">
        <w:rPr>
          <w:rFonts w:ascii="Times New Roman" w:hAnsi="Times New Roman"/>
          <w:sz w:val="20"/>
          <w:szCs w:val="20"/>
          <w:lang w:val="en-GB"/>
        </w:rPr>
        <w:instrText xml:space="preserve"> REF _Ref58869315 \h </w:instrText>
      </w:r>
      <w:r w:rsidR="00F16E8D">
        <w:rPr>
          <w:rFonts w:ascii="Times New Roman" w:hAnsi="Times New Roman"/>
          <w:sz w:val="20"/>
          <w:szCs w:val="20"/>
          <w:lang w:val="en-GB"/>
        </w:rPr>
      </w:r>
      <w:r w:rsidR="002770F2">
        <w:rPr>
          <w:rFonts w:ascii="Times New Roman" w:hAnsi="Times New Roman"/>
          <w:sz w:val="20"/>
          <w:szCs w:val="20"/>
          <w:lang w:val="en-GB"/>
        </w:rPr>
        <w:instrText xml:space="preserve"> \* MERGEFORMAT </w:instrText>
      </w:r>
      <w:r w:rsidR="00F16E8D">
        <w:rPr>
          <w:rFonts w:ascii="Times New Roman" w:hAnsi="Times New Roman"/>
          <w:sz w:val="20"/>
          <w:szCs w:val="20"/>
          <w:lang w:val="en-GB"/>
        </w:rPr>
        <w:fldChar w:fldCharType="separate"/>
      </w:r>
      <w:r w:rsidR="00397734" w:rsidRPr="00397734">
        <w:rPr>
          <w:rFonts w:ascii="Times New Roman" w:hAnsi="Times New Roman"/>
          <w:sz w:val="20"/>
          <w:szCs w:val="20"/>
          <w:lang w:val="en-GB"/>
        </w:rPr>
        <w:t>Figure 1</w:t>
      </w:r>
      <w:r w:rsidR="00F16E8D">
        <w:rPr>
          <w:rFonts w:ascii="Times New Roman" w:hAnsi="Times New Roman"/>
          <w:sz w:val="20"/>
          <w:szCs w:val="20"/>
          <w:lang w:val="en-GB"/>
        </w:rPr>
        <w:fldChar w:fldCharType="end"/>
      </w:r>
      <w:r w:rsidR="00F16E8D">
        <w:rPr>
          <w:rFonts w:ascii="Times New Roman" w:hAnsi="Times New Roman"/>
          <w:sz w:val="20"/>
          <w:szCs w:val="20"/>
          <w:lang w:val="en-GB"/>
        </w:rPr>
        <w:t xml:space="preserve"> </w:t>
      </w:r>
      <w:r w:rsidRPr="0021304E">
        <w:rPr>
          <w:rFonts w:ascii="Times New Roman" w:hAnsi="Times New Roman"/>
          <w:sz w:val="20"/>
          <w:szCs w:val="20"/>
          <w:lang w:val="en-GB"/>
        </w:rPr>
        <w:t xml:space="preserve">(A) and (B)) allowing only predictions of categorized expression values, a regression predicted not better than random (not shown). </w:t>
      </w:r>
    </w:p>
    <w:p w:rsidR="00592B8A" w:rsidRPr="00F16E8D" w:rsidRDefault="006E529C" w:rsidP="00592B8A">
      <w:pPr>
        <w:jc w:val="both"/>
        <w:rPr>
          <w:rFonts w:ascii="Times New Roman" w:hAnsi="Times New Roman"/>
          <w:sz w:val="20"/>
          <w:szCs w:val="20"/>
          <w:lang w:val="en-GB"/>
        </w:rPr>
      </w:pPr>
      <w:r w:rsidRPr="0021304E">
        <w:rPr>
          <w:rFonts w:ascii="Times New Roman" w:hAnsi="Times New Roman"/>
          <w:sz w:val="20"/>
          <w:szCs w:val="20"/>
          <w:lang w:val="en-GB"/>
        </w:rPr>
        <w:t>A classification estimator can predict the approximate magnitude of expression. A reasonable estimation can only be performed on features with sufficient information content, and positions with a higher entropy than 0.</w:t>
      </w:r>
      <w:r w:rsidRPr="0021304E">
        <w:rPr>
          <w:sz w:val="20"/>
          <w:szCs w:val="20"/>
          <w:lang w:val="en-GB"/>
        </w:rPr>
        <w:t>2 bits</w:t>
      </w:r>
      <w:r w:rsidRPr="0021304E">
        <w:rPr>
          <w:rFonts w:ascii="Times New Roman" w:hAnsi="Times New Roman"/>
          <w:sz w:val="20"/>
          <w:szCs w:val="20"/>
          <w:lang w:val="en-GB"/>
        </w:rPr>
        <w:t xml:space="preserve"> were included for prediction. </w:t>
      </w:r>
      <w:r w:rsidR="00F16E8D">
        <w:rPr>
          <w:rFonts w:ascii="Times New Roman" w:hAnsi="Times New Roman"/>
          <w:sz w:val="20"/>
          <w:szCs w:val="20"/>
          <w:lang w:val="en-GB"/>
        </w:rPr>
        <w:fldChar w:fldCharType="begin"/>
      </w:r>
      <w:r w:rsidR="00F16E8D">
        <w:rPr>
          <w:rFonts w:ascii="Times New Roman" w:hAnsi="Times New Roman"/>
          <w:sz w:val="20"/>
          <w:szCs w:val="20"/>
          <w:lang w:val="en-GB"/>
        </w:rPr>
        <w:instrText xml:space="preserve"> REF _Ref58869315 \h </w:instrText>
      </w:r>
      <w:r w:rsidR="00F16E8D">
        <w:rPr>
          <w:rFonts w:ascii="Times New Roman" w:hAnsi="Times New Roman"/>
          <w:sz w:val="20"/>
          <w:szCs w:val="20"/>
          <w:lang w:val="en-GB"/>
        </w:rPr>
      </w:r>
      <w:r w:rsidR="001C3A58">
        <w:rPr>
          <w:rFonts w:ascii="Times New Roman" w:hAnsi="Times New Roman"/>
          <w:sz w:val="20"/>
          <w:szCs w:val="20"/>
          <w:lang w:val="en-GB"/>
        </w:rPr>
        <w:instrText xml:space="preserve"> \* MERGEFORMAT </w:instrText>
      </w:r>
      <w:r w:rsidR="00F16E8D">
        <w:rPr>
          <w:rFonts w:ascii="Times New Roman" w:hAnsi="Times New Roman"/>
          <w:sz w:val="20"/>
          <w:szCs w:val="20"/>
          <w:lang w:val="en-GB"/>
        </w:rPr>
        <w:fldChar w:fldCharType="separate"/>
      </w:r>
      <w:r w:rsidR="00397734" w:rsidRPr="00397734">
        <w:rPr>
          <w:rFonts w:ascii="Times New Roman" w:hAnsi="Times New Roman"/>
          <w:sz w:val="20"/>
          <w:szCs w:val="20"/>
          <w:lang w:val="en-GB"/>
        </w:rPr>
        <w:t>Figure 1</w:t>
      </w:r>
      <w:r w:rsidR="00F16E8D">
        <w:rPr>
          <w:rFonts w:ascii="Times New Roman" w:hAnsi="Times New Roman"/>
          <w:sz w:val="20"/>
          <w:szCs w:val="20"/>
          <w:lang w:val="en-GB"/>
        </w:rPr>
        <w:fldChar w:fldCharType="end"/>
      </w:r>
      <w:r w:rsidR="00F16E8D">
        <w:rPr>
          <w:rFonts w:ascii="Times New Roman" w:hAnsi="Times New Roman"/>
          <w:sz w:val="20"/>
          <w:szCs w:val="20"/>
          <w:lang w:val="en-GB"/>
        </w:rPr>
        <w:t xml:space="preserve"> (A) </w:t>
      </w:r>
      <w:r w:rsidRPr="0021304E">
        <w:rPr>
          <w:rFonts w:ascii="Times New Roman" w:hAnsi="Times New Roman"/>
          <w:sz w:val="20"/>
          <w:szCs w:val="20"/>
          <w:lang w:val="en-GB"/>
        </w:rPr>
        <w:t xml:space="preserve">shows the entropy of the full data set, and because the </w:t>
      </w:r>
      <w:r w:rsidR="0021304E" w:rsidRPr="0021304E">
        <w:rPr>
          <w:rFonts w:ascii="Times New Roman" w:hAnsi="Times New Roman"/>
          <w:sz w:val="20"/>
          <w:szCs w:val="20"/>
          <w:lang w:val="en-GB"/>
        </w:rPr>
        <w:t>cut-off</w:t>
      </w:r>
      <w:r w:rsidRPr="0021304E">
        <w:rPr>
          <w:rFonts w:ascii="Times New Roman" w:hAnsi="Times New Roman"/>
          <w:sz w:val="20"/>
          <w:szCs w:val="20"/>
          <w:lang w:val="en-GB"/>
        </w:rPr>
        <w:t xml:space="preserve"> is applied to the training subset, the following positions are additionally neglected [-6,-15-20,-22,-26]. Decreasing the entropy threshold had no effect on the performance (not shown). The classification details are given in </w:t>
      </w:r>
      <w:r w:rsidR="00F16E8D">
        <w:rPr>
          <w:rFonts w:ascii="Times New Roman" w:hAnsi="Times New Roman"/>
          <w:sz w:val="20"/>
          <w:szCs w:val="20"/>
          <w:lang w:val="en-GB"/>
        </w:rPr>
        <w:fldChar w:fldCharType="begin"/>
      </w:r>
      <w:r w:rsidR="00F16E8D">
        <w:rPr>
          <w:rFonts w:ascii="Times New Roman" w:hAnsi="Times New Roman"/>
          <w:sz w:val="20"/>
          <w:szCs w:val="20"/>
          <w:lang w:val="en-GB"/>
        </w:rPr>
        <w:instrText xml:space="preserve"> REF _Ref58869446 \h </w:instrText>
      </w:r>
      <w:r w:rsidR="00F16E8D">
        <w:rPr>
          <w:rFonts w:ascii="Times New Roman" w:hAnsi="Times New Roman"/>
          <w:sz w:val="20"/>
          <w:szCs w:val="20"/>
          <w:lang w:val="en-GB"/>
        </w:rPr>
      </w:r>
      <w:r w:rsidR="001C3A58">
        <w:rPr>
          <w:rFonts w:ascii="Times New Roman" w:hAnsi="Times New Roman"/>
          <w:sz w:val="20"/>
          <w:szCs w:val="20"/>
          <w:lang w:val="en-GB"/>
        </w:rPr>
        <w:instrText xml:space="preserve"> \* MERGEFORMAT </w:instrText>
      </w:r>
      <w:r w:rsidR="00F16E8D">
        <w:rPr>
          <w:rFonts w:ascii="Times New Roman" w:hAnsi="Times New Roman"/>
          <w:sz w:val="20"/>
          <w:szCs w:val="20"/>
          <w:lang w:val="en-GB"/>
        </w:rPr>
        <w:fldChar w:fldCharType="separate"/>
      </w:r>
      <w:r w:rsidR="00397734" w:rsidRPr="00397734">
        <w:rPr>
          <w:rFonts w:ascii="Times New Roman" w:hAnsi="Times New Roman"/>
          <w:sz w:val="20"/>
          <w:szCs w:val="20"/>
          <w:lang w:val="en-GB"/>
        </w:rPr>
        <w:t>Table 1</w:t>
      </w:r>
      <w:r w:rsidR="00F16E8D">
        <w:rPr>
          <w:rFonts w:ascii="Times New Roman" w:hAnsi="Times New Roman"/>
          <w:sz w:val="20"/>
          <w:szCs w:val="20"/>
          <w:lang w:val="en-GB"/>
        </w:rPr>
        <w:fldChar w:fldCharType="end"/>
      </w:r>
      <w:r w:rsidR="00F16E8D">
        <w:rPr>
          <w:rFonts w:ascii="Times New Roman" w:hAnsi="Times New Roman"/>
          <w:sz w:val="20"/>
          <w:szCs w:val="20"/>
          <w:lang w:val="en-GB"/>
        </w:rPr>
        <w:t xml:space="preserve"> </w:t>
      </w:r>
      <w:r w:rsidR="001C3A58">
        <w:rPr>
          <w:rFonts w:ascii="Times New Roman" w:hAnsi="Times New Roman"/>
          <w:sz w:val="20"/>
          <w:szCs w:val="20"/>
          <w:lang w:val="en-GB"/>
        </w:rPr>
        <w:t>and t</w:t>
      </w:r>
      <w:r w:rsidRPr="0021304E">
        <w:rPr>
          <w:rFonts w:ascii="Times New Roman" w:hAnsi="Times New Roman"/>
          <w:sz w:val="20"/>
          <w:szCs w:val="20"/>
          <w:lang w:val="en-GB"/>
        </w:rPr>
        <w:t xml:space="preserve">he high F1-score variation indicates that </w:t>
      </w:r>
      <w:r w:rsidR="001C3A58">
        <w:rPr>
          <w:rFonts w:ascii="Times New Roman" w:hAnsi="Times New Roman"/>
          <w:sz w:val="20"/>
          <w:szCs w:val="20"/>
          <w:lang w:val="en-GB"/>
        </w:rPr>
        <w:t xml:space="preserve">the </w:t>
      </w:r>
      <w:r w:rsidR="001C3A58" w:rsidRPr="0021304E">
        <w:rPr>
          <w:rFonts w:ascii="Times New Roman" w:hAnsi="Times New Roman"/>
          <w:sz w:val="20"/>
          <w:szCs w:val="20"/>
          <w:lang w:val="en-GB"/>
        </w:rPr>
        <w:t>low nucleotide redundancy on each position</w:t>
      </w:r>
      <w:r w:rsidR="001C3A58" w:rsidRPr="0021304E">
        <w:rPr>
          <w:rFonts w:ascii="Times New Roman" w:hAnsi="Times New Roman"/>
          <w:sz w:val="20"/>
          <w:szCs w:val="20"/>
          <w:lang w:val="en-GB"/>
        </w:rPr>
        <w:t xml:space="preserve"> </w:t>
      </w:r>
      <w:r w:rsidR="001C3A58">
        <w:rPr>
          <w:rFonts w:ascii="Times New Roman" w:hAnsi="Times New Roman"/>
          <w:sz w:val="20"/>
          <w:szCs w:val="20"/>
          <w:lang w:val="en-GB"/>
        </w:rPr>
        <w:t xml:space="preserve">affected </w:t>
      </w:r>
      <w:r w:rsidRPr="0021304E">
        <w:rPr>
          <w:rFonts w:ascii="Times New Roman" w:hAnsi="Times New Roman"/>
          <w:sz w:val="20"/>
          <w:szCs w:val="20"/>
          <w:lang w:val="en-GB"/>
        </w:rPr>
        <w:t xml:space="preserve">sample separation during cross validation. The detailed prediction results of the training and test set are shown as confusion </w:t>
      </w:r>
      <w:r w:rsidRPr="0021304E">
        <w:rPr>
          <w:rFonts w:ascii="Times New Roman" w:hAnsi="Times New Roman"/>
          <w:sz w:val="20"/>
          <w:szCs w:val="20"/>
          <w:lang w:val="en-GB"/>
        </w:rPr>
        <w:lastRenderedPageBreak/>
        <w:t xml:space="preserve">matrix in </w:t>
      </w:r>
      <w:r w:rsidR="00F16E8D">
        <w:rPr>
          <w:rFonts w:ascii="Times New Roman" w:hAnsi="Times New Roman"/>
          <w:sz w:val="20"/>
          <w:szCs w:val="20"/>
          <w:lang w:val="en-GB"/>
        </w:rPr>
        <w:fldChar w:fldCharType="begin"/>
      </w:r>
      <w:r w:rsidR="00F16E8D">
        <w:rPr>
          <w:rFonts w:ascii="Times New Roman" w:hAnsi="Times New Roman"/>
          <w:sz w:val="20"/>
          <w:szCs w:val="20"/>
          <w:lang w:val="en-GB"/>
        </w:rPr>
        <w:instrText xml:space="preserve"> REF _Ref58869470 \h </w:instrText>
      </w:r>
      <w:r w:rsidR="00F16E8D">
        <w:rPr>
          <w:rFonts w:ascii="Times New Roman" w:hAnsi="Times New Roman"/>
          <w:sz w:val="20"/>
          <w:szCs w:val="20"/>
          <w:lang w:val="en-GB"/>
        </w:rPr>
      </w:r>
      <w:r w:rsidR="00F16E8D">
        <w:rPr>
          <w:rFonts w:ascii="Times New Roman" w:hAnsi="Times New Roman"/>
          <w:sz w:val="20"/>
          <w:szCs w:val="20"/>
          <w:lang w:val="en-GB"/>
        </w:rPr>
        <w:instrText xml:space="preserve"> \* MERGEFORMAT </w:instrText>
      </w:r>
      <w:r w:rsidR="00F16E8D">
        <w:rPr>
          <w:rFonts w:ascii="Times New Roman" w:hAnsi="Times New Roman"/>
          <w:sz w:val="20"/>
          <w:szCs w:val="20"/>
          <w:lang w:val="en-GB"/>
        </w:rPr>
        <w:fldChar w:fldCharType="separate"/>
      </w:r>
      <w:r w:rsidR="00397734" w:rsidRPr="00397734">
        <w:rPr>
          <w:rFonts w:ascii="Times New Roman" w:hAnsi="Times New Roman"/>
          <w:sz w:val="20"/>
          <w:szCs w:val="20"/>
          <w:lang w:val="en-GB"/>
        </w:rPr>
        <w:t>Figure 2</w:t>
      </w:r>
      <w:r w:rsidR="00F16E8D">
        <w:rPr>
          <w:rFonts w:ascii="Times New Roman" w:hAnsi="Times New Roman"/>
          <w:sz w:val="20"/>
          <w:szCs w:val="20"/>
          <w:lang w:val="en-GB"/>
        </w:rPr>
        <w:fldChar w:fldCharType="end"/>
      </w:r>
      <w:r w:rsidR="00F16E8D">
        <w:rPr>
          <w:rFonts w:ascii="Times New Roman" w:hAnsi="Times New Roman"/>
          <w:sz w:val="20"/>
          <w:szCs w:val="20"/>
          <w:lang w:val="en-GB"/>
        </w:rPr>
        <w:t xml:space="preserve"> </w:t>
      </w:r>
      <w:r w:rsidRPr="0021304E">
        <w:rPr>
          <w:rFonts w:ascii="Times New Roman" w:hAnsi="Times New Roman"/>
          <w:sz w:val="20"/>
          <w:szCs w:val="20"/>
          <w:lang w:val="en-GB"/>
        </w:rPr>
        <w:t>(A). The GC-content is among the most important features for the prediction probably because it has the highest entropy of all features (1.2 bits). Along with the GC-content, the strongest determinant of expression was the nucleotide ‘T’ at position –35 and –34, corresponding to the fact that a nucleotide exchange at these positions cause a strong expression decrease (</w:t>
      </w:r>
      <w:r w:rsidR="00F16E8D">
        <w:rPr>
          <w:rFonts w:ascii="Times New Roman" w:hAnsi="Times New Roman"/>
          <w:sz w:val="20"/>
          <w:szCs w:val="20"/>
          <w:lang w:val="en-GB"/>
        </w:rPr>
        <w:fldChar w:fldCharType="begin"/>
      </w:r>
      <w:r w:rsidR="00F16E8D">
        <w:rPr>
          <w:rFonts w:ascii="Times New Roman" w:hAnsi="Times New Roman"/>
          <w:sz w:val="20"/>
          <w:szCs w:val="20"/>
          <w:lang w:val="en-GB"/>
        </w:rPr>
        <w:instrText xml:space="preserve"> REF _Ref58869470 \h </w:instrText>
      </w:r>
      <w:r w:rsidR="00F16E8D">
        <w:rPr>
          <w:rFonts w:ascii="Times New Roman" w:hAnsi="Times New Roman"/>
          <w:sz w:val="20"/>
          <w:szCs w:val="20"/>
          <w:lang w:val="en-GB"/>
        </w:rPr>
      </w:r>
      <w:r w:rsidR="00F16E8D">
        <w:rPr>
          <w:rFonts w:ascii="Times New Roman" w:hAnsi="Times New Roman"/>
          <w:sz w:val="20"/>
          <w:szCs w:val="20"/>
          <w:lang w:val="en-GB"/>
        </w:rPr>
        <w:instrText xml:space="preserve"> \* MERGEFORMAT </w:instrText>
      </w:r>
      <w:r w:rsidR="00F16E8D">
        <w:rPr>
          <w:rFonts w:ascii="Times New Roman" w:hAnsi="Times New Roman"/>
          <w:sz w:val="20"/>
          <w:szCs w:val="20"/>
          <w:lang w:val="en-GB"/>
        </w:rPr>
        <w:fldChar w:fldCharType="separate"/>
      </w:r>
      <w:r w:rsidR="00397734" w:rsidRPr="00397734">
        <w:rPr>
          <w:rFonts w:ascii="Times New Roman" w:hAnsi="Times New Roman"/>
          <w:sz w:val="20"/>
          <w:szCs w:val="20"/>
          <w:lang w:val="en-GB"/>
        </w:rPr>
        <w:t>Figure 2</w:t>
      </w:r>
      <w:r w:rsidR="00F16E8D">
        <w:rPr>
          <w:rFonts w:ascii="Times New Roman" w:hAnsi="Times New Roman"/>
          <w:sz w:val="20"/>
          <w:szCs w:val="20"/>
          <w:lang w:val="en-GB"/>
        </w:rPr>
        <w:fldChar w:fldCharType="end"/>
      </w:r>
      <w:r w:rsidR="00F16E8D">
        <w:rPr>
          <w:rFonts w:ascii="Times New Roman" w:hAnsi="Times New Roman"/>
          <w:sz w:val="20"/>
          <w:szCs w:val="20"/>
          <w:lang w:val="en-GB"/>
        </w:rPr>
        <w:t xml:space="preserve"> (B)</w:t>
      </w:r>
      <w:r w:rsidRPr="00F16E8D">
        <w:rPr>
          <w:rFonts w:ascii="Times New Roman" w:hAnsi="Times New Roman"/>
          <w:sz w:val="20"/>
          <w:szCs w:val="20"/>
          <w:lang w:val="en-GB"/>
        </w:rPr>
        <w:t>).</w:t>
      </w:r>
      <w:r w:rsidR="00592B8A" w:rsidRPr="006A16EC">
        <w:rPr>
          <w:rFonts w:ascii="Times New Roman" w:hAnsi="Times New Roman"/>
          <w:noProof/>
          <w:sz w:val="16"/>
          <w:szCs w:val="16"/>
        </w:rPr>
        <mc:AlternateContent>
          <mc:Choice Requires="wps">
            <w:drawing>
              <wp:anchor distT="45720" distB="45720" distL="114300" distR="114300" simplePos="0" relativeHeight="251667456" behindDoc="0" locked="1" layoutInCell="1" allowOverlap="0" wp14:anchorId="41F8D8C4" wp14:editId="02A0AB34">
                <wp:simplePos x="0" y="0"/>
                <wp:positionH relativeFrom="margin">
                  <wp:align>right</wp:align>
                </wp:positionH>
                <wp:positionV relativeFrom="margin">
                  <wp:posOffset>-635</wp:posOffset>
                </wp:positionV>
                <wp:extent cx="5969000" cy="3971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971925"/>
                        </a:xfrm>
                        <a:prstGeom prst="rect">
                          <a:avLst/>
                        </a:prstGeom>
                        <a:solidFill>
                          <a:srgbClr val="FFFFFF"/>
                        </a:solidFill>
                        <a:ln w="9525">
                          <a:noFill/>
                          <a:miter lim="800000"/>
                          <a:headEnd/>
                          <a:tailEnd/>
                        </a:ln>
                      </wps:spPr>
                      <wps:txbx>
                        <w:txbxContent>
                          <w:p w:rsidR="00CD1B4A" w:rsidRDefault="00CD1B4A" w:rsidP="00592B8A">
                            <w:pPr>
                              <w:keepNext/>
                              <w:jc w:val="center"/>
                            </w:pPr>
                            <w:r>
                              <w:rPr>
                                <w:noProof/>
                              </w:rPr>
                              <w:drawing>
                                <wp:inline distT="0" distB="0" distL="0" distR="0" wp14:anchorId="0916FFB9" wp14:editId="525D23EA">
                                  <wp:extent cx="4118457" cy="3244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ut-RFC-Out_ConfMat-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0621" cy="3246021"/>
                                          </a:xfrm>
                                          <a:prstGeom prst="rect">
                                            <a:avLst/>
                                          </a:prstGeom>
                                        </pic:spPr>
                                      </pic:pic>
                                    </a:graphicData>
                                  </a:graphic>
                                </wp:inline>
                              </w:drawing>
                            </w:r>
                          </w:p>
                          <w:p w:rsidR="00CD1B4A" w:rsidRDefault="00CD1B4A" w:rsidP="00592B8A">
                            <w:pPr>
                              <w:pStyle w:val="Caption"/>
                            </w:pPr>
                            <w:bookmarkStart w:id="4" w:name="_Ref58869470"/>
                            <w:r w:rsidRPr="002770F2">
                              <w:rPr>
                                <w:rFonts w:ascii="Times New Roman" w:hAnsi="Times New Roman"/>
                                <w:sz w:val="16"/>
                                <w:szCs w:val="16"/>
                              </w:rPr>
                              <w:t xml:space="preserve">Figure </w:t>
                            </w:r>
                            <w:r w:rsidRPr="002770F2">
                              <w:rPr>
                                <w:rFonts w:ascii="Times New Roman" w:hAnsi="Times New Roman"/>
                                <w:sz w:val="16"/>
                                <w:szCs w:val="16"/>
                              </w:rPr>
                              <w:fldChar w:fldCharType="begin"/>
                            </w:r>
                            <w:r w:rsidRPr="002770F2">
                              <w:rPr>
                                <w:rFonts w:ascii="Times New Roman" w:hAnsi="Times New Roman"/>
                                <w:sz w:val="16"/>
                                <w:szCs w:val="16"/>
                              </w:rPr>
                              <w:instrText xml:space="preserve"> SEQ Figure \* ARABIC </w:instrText>
                            </w:r>
                            <w:r w:rsidRPr="002770F2">
                              <w:rPr>
                                <w:rFonts w:ascii="Times New Roman" w:hAnsi="Times New Roman"/>
                                <w:sz w:val="16"/>
                                <w:szCs w:val="16"/>
                              </w:rPr>
                              <w:fldChar w:fldCharType="separate"/>
                            </w:r>
                            <w:r w:rsidR="00397734">
                              <w:rPr>
                                <w:rFonts w:ascii="Times New Roman" w:hAnsi="Times New Roman"/>
                                <w:noProof/>
                                <w:sz w:val="16"/>
                                <w:szCs w:val="16"/>
                              </w:rPr>
                              <w:t>2</w:t>
                            </w:r>
                            <w:r w:rsidRPr="002770F2">
                              <w:rPr>
                                <w:rFonts w:ascii="Times New Roman" w:hAnsi="Times New Roman"/>
                                <w:sz w:val="16"/>
                                <w:szCs w:val="16"/>
                              </w:rPr>
                              <w:fldChar w:fldCharType="end"/>
                            </w:r>
                            <w:bookmarkEnd w:id="4"/>
                            <w:r w:rsidRPr="002770F2">
                              <w:rPr>
                                <w:rFonts w:ascii="Times New Roman" w:hAnsi="Times New Roman"/>
                                <w:sz w:val="16"/>
                                <w:szCs w:val="16"/>
                              </w:rPr>
                              <w:t>:</w:t>
                            </w:r>
                            <w:r w:rsidRPr="006A16EC">
                              <w:rPr>
                                <w:rFonts w:ascii="Times New Roman" w:hAnsi="Times New Roman"/>
                                <w:sz w:val="16"/>
                                <w:szCs w:val="16"/>
                              </w:rPr>
                              <w:t xml:space="preserve"> </w:t>
                            </w:r>
                            <w:r w:rsidRPr="54D4B07C">
                              <w:rPr>
                                <w:rFonts w:ascii="Times New Roman" w:hAnsi="Times New Roman"/>
                                <w:sz w:val="16"/>
                                <w:szCs w:val="16"/>
                              </w:rPr>
                              <w:t>Confusion matrix showing classification quality for Training (n=49) and Test (n=6) se</w:t>
                            </w:r>
                            <w:r w:rsidR="002770F2">
                              <w:rPr>
                                <w:rFonts w:ascii="Times New Roman" w:hAnsi="Times New Roman"/>
                                <w:sz w:val="16"/>
                                <w:szCs w:val="16"/>
                              </w:rPr>
                              <w:t>t</w:t>
                            </w:r>
                            <w:r w:rsidRPr="54D4B07C">
                              <w:rPr>
                                <w:rFonts w:ascii="Times New Roman" w:hAnsi="Times New Roman"/>
                                <w:sz w:val="16"/>
                                <w:szCs w:val="16"/>
                              </w:rPr>
                              <w:t>s</w:t>
                            </w:r>
                            <w:r w:rsidR="002770F2">
                              <w:rPr>
                                <w:rFonts w:ascii="Times New Roman" w:hAnsi="Times New Roman"/>
                                <w:sz w:val="16"/>
                                <w:szCs w:val="16"/>
                              </w:rPr>
                              <w:t xml:space="preserve"> (A)</w:t>
                            </w:r>
                            <w:r w:rsidRPr="54D4B07C">
                              <w:rPr>
                                <w:rFonts w:ascii="Times New Roman" w:hAnsi="Times New Roman"/>
                                <w:sz w:val="16"/>
                                <w:szCs w:val="16"/>
                              </w:rPr>
                              <w:t xml:space="preserve">. The classification labels are ‘0’ for low (0.4-18.7 GFP), ‘1’ for medium (18.7-25 GFP), and ‘2’ for strong expression (25-35 GFP) (Data source </w:t>
                            </w:r>
                            <w:proofErr w:type="spellStart"/>
                            <w:r w:rsidRPr="54D4B07C">
                              <w:rPr>
                                <w:rFonts w:ascii="Times New Roman" w:hAnsi="Times New Roman"/>
                                <w:sz w:val="16"/>
                                <w:szCs w:val="16"/>
                              </w:rPr>
                              <w:t>Köbbing</w:t>
                            </w:r>
                            <w:proofErr w:type="spellEnd"/>
                            <w:r w:rsidRPr="54D4B07C">
                              <w:rPr>
                                <w:rFonts w:ascii="Times New Roman" w:hAnsi="Times New Roman"/>
                                <w:sz w:val="16"/>
                                <w:szCs w:val="16"/>
                              </w:rPr>
                              <w:t xml:space="preserve"> et al., 2020).</w:t>
                            </w:r>
                            <w:r w:rsidRPr="00AC37CD">
                              <w:rPr>
                                <w:rFonts w:ascii="Times New Roman" w:hAnsi="Times New Roman"/>
                                <w:sz w:val="16"/>
                                <w:szCs w:val="16"/>
                              </w:rPr>
                              <w:t xml:space="preserve"> </w:t>
                            </w:r>
                            <w:r w:rsidRPr="54D4B07C">
                              <w:rPr>
                                <w:rFonts w:ascii="Times New Roman" w:hAnsi="Times New Roman"/>
                                <w:sz w:val="16"/>
                                <w:szCs w:val="16"/>
                              </w:rPr>
                              <w:t>Sequence logo of positions used by the RF to predict expression activity class</w:t>
                            </w:r>
                            <w:r w:rsidR="002770F2">
                              <w:rPr>
                                <w:rFonts w:ascii="Times New Roman" w:hAnsi="Times New Roman"/>
                                <w:sz w:val="16"/>
                                <w:szCs w:val="16"/>
                              </w:rPr>
                              <w:t xml:space="preserve"> (B)</w:t>
                            </w:r>
                            <w:r w:rsidRPr="54D4B07C">
                              <w:rPr>
                                <w:rFonts w:ascii="Times New Roman" w:hAnsi="Times New Roman"/>
                                <w:sz w:val="16"/>
                                <w:szCs w:val="16"/>
                              </w:rPr>
                              <w:t xml:space="preserve">. The –35 box was dominating the prediction whereas the –10 box </w:t>
                            </w:r>
                            <w:r>
                              <w:rPr>
                                <w:rFonts w:ascii="Times New Roman" w:hAnsi="Times New Roman"/>
                                <w:sz w:val="16"/>
                                <w:szCs w:val="16"/>
                              </w:rPr>
                              <w:t>had lesser importance on prediction</w:t>
                            </w:r>
                            <w:r w:rsidRPr="54D4B07C">
                              <w:rPr>
                                <w:rFonts w:ascii="Times New Roman" w:hAnsi="Times New Roman"/>
                                <w:sz w:val="16"/>
                                <w:szCs w:val="16"/>
                              </w:rPr>
                              <w:t xml:space="preserve"> despite similar high diversity (</w:t>
                            </w:r>
                            <w:r>
                              <w:rPr>
                                <w:rFonts w:ascii="Times New Roman" w:hAnsi="Times New Roman"/>
                                <w:sz w:val="16"/>
                                <w:szCs w:val="16"/>
                              </w:rPr>
                              <w:fldChar w:fldCharType="begin"/>
                            </w:r>
                            <w:r>
                              <w:rPr>
                                <w:rFonts w:ascii="Times New Roman" w:hAnsi="Times New Roman"/>
                                <w:sz w:val="16"/>
                                <w:szCs w:val="16"/>
                              </w:rPr>
                              <w:instrText xml:space="preserve"> REF _Ref58869315 \h </w:instrText>
                            </w:r>
                            <w:r>
                              <w:rPr>
                                <w:rFonts w:ascii="Times New Roman" w:hAnsi="Times New Roman"/>
                                <w:sz w:val="16"/>
                                <w:szCs w:val="16"/>
                              </w:rPr>
                            </w:r>
                            <w:r>
                              <w:rPr>
                                <w:rFonts w:ascii="Times New Roman" w:hAnsi="Times New Roman"/>
                                <w:sz w:val="16"/>
                                <w:szCs w:val="16"/>
                              </w:rPr>
                              <w:fldChar w:fldCharType="separate"/>
                            </w:r>
                            <w:r w:rsidR="00397734" w:rsidRPr="00347EB0">
                              <w:rPr>
                                <w:rFonts w:ascii="Times New Roman" w:hAnsi="Times New Roman"/>
                                <w:sz w:val="16"/>
                                <w:szCs w:val="16"/>
                              </w:rPr>
                              <w:t xml:space="preserve">Figure </w:t>
                            </w:r>
                            <w:r w:rsidR="00397734">
                              <w:rPr>
                                <w:rFonts w:ascii="Times New Roman" w:hAnsi="Times New Roman"/>
                                <w:noProof/>
                                <w:sz w:val="16"/>
                                <w:szCs w:val="16"/>
                              </w:rPr>
                              <w:t>1</w:t>
                            </w:r>
                            <w:r>
                              <w:rPr>
                                <w:rFonts w:ascii="Times New Roman" w:hAnsi="Times New Roman"/>
                                <w:sz w:val="16"/>
                                <w:szCs w:val="16"/>
                              </w:rPr>
                              <w:fldChar w:fldCharType="end"/>
                            </w:r>
                            <w:r w:rsidRPr="54D4B07C">
                              <w:rPr>
                                <w:rFonts w:ascii="Times New Roman" w:hAnsi="Times New Roman"/>
                                <w:sz w:val="16"/>
                                <w:szCs w:val="16"/>
                              </w:rPr>
                              <w:t>)</w:t>
                            </w:r>
                            <w:r>
                              <w:rPr>
                                <w:rFonts w:ascii="Times New Roman" w:hAnsi="Times New Roman"/>
                                <w:sz w:val="16"/>
                                <w:szCs w:val="16"/>
                              </w:rPr>
                              <w:t>.</w:t>
                            </w:r>
                          </w:p>
                          <w:p w:rsidR="00CD1B4A" w:rsidRPr="00311992" w:rsidRDefault="00CD1B4A" w:rsidP="00592B8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8D8C4" id="_x0000_s1028" type="#_x0000_t202" style="position:absolute;left:0;text-align:left;margin-left:418.8pt;margin-top:-.05pt;width:470pt;height:31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" o:allowoverlap="f" stroked="f">
                <v:textbox>
                  <w:txbxContent>
                    <w:p w:rsidR="00CD1B4A" w:rsidRDefault="00CD1B4A" w:rsidP="00592B8A">
                      <w:pPr>
                        <w:keepNext/>
                        <w:jc w:val="center"/>
                      </w:pPr>
                      <w:r>
                        <w:rPr>
                          <w:noProof/>
                        </w:rPr>
                        <w:drawing>
                          <wp:inline distT="0" distB="0" distL="0" distR="0" wp14:anchorId="0916FFB9" wp14:editId="525D23EA">
                            <wp:extent cx="4118457" cy="3244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ut-RFC-Out_ConfMat-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0621" cy="3246021"/>
                                    </a:xfrm>
                                    <a:prstGeom prst="rect">
                                      <a:avLst/>
                                    </a:prstGeom>
                                  </pic:spPr>
                                </pic:pic>
                              </a:graphicData>
                            </a:graphic>
                          </wp:inline>
                        </w:drawing>
                      </w:r>
                    </w:p>
                    <w:p w:rsidR="00CD1B4A" w:rsidRDefault="00CD1B4A" w:rsidP="00592B8A">
                      <w:pPr>
                        <w:pStyle w:val="Caption"/>
                      </w:pPr>
                      <w:bookmarkStart w:id="5" w:name="_Ref58869470"/>
                      <w:r w:rsidRPr="002770F2">
                        <w:rPr>
                          <w:rFonts w:ascii="Times New Roman" w:hAnsi="Times New Roman"/>
                          <w:sz w:val="16"/>
                          <w:szCs w:val="16"/>
                        </w:rPr>
                        <w:t xml:space="preserve">Figure </w:t>
                      </w:r>
                      <w:r w:rsidRPr="002770F2">
                        <w:rPr>
                          <w:rFonts w:ascii="Times New Roman" w:hAnsi="Times New Roman"/>
                          <w:sz w:val="16"/>
                          <w:szCs w:val="16"/>
                        </w:rPr>
                        <w:fldChar w:fldCharType="begin"/>
                      </w:r>
                      <w:r w:rsidRPr="002770F2">
                        <w:rPr>
                          <w:rFonts w:ascii="Times New Roman" w:hAnsi="Times New Roman"/>
                          <w:sz w:val="16"/>
                          <w:szCs w:val="16"/>
                        </w:rPr>
                        <w:instrText xml:space="preserve"> SEQ Figure \* ARABIC </w:instrText>
                      </w:r>
                      <w:r w:rsidRPr="002770F2">
                        <w:rPr>
                          <w:rFonts w:ascii="Times New Roman" w:hAnsi="Times New Roman"/>
                          <w:sz w:val="16"/>
                          <w:szCs w:val="16"/>
                        </w:rPr>
                        <w:fldChar w:fldCharType="separate"/>
                      </w:r>
                      <w:r w:rsidR="00397734">
                        <w:rPr>
                          <w:rFonts w:ascii="Times New Roman" w:hAnsi="Times New Roman"/>
                          <w:noProof/>
                          <w:sz w:val="16"/>
                          <w:szCs w:val="16"/>
                        </w:rPr>
                        <w:t>2</w:t>
                      </w:r>
                      <w:r w:rsidRPr="002770F2">
                        <w:rPr>
                          <w:rFonts w:ascii="Times New Roman" w:hAnsi="Times New Roman"/>
                          <w:sz w:val="16"/>
                          <w:szCs w:val="16"/>
                        </w:rPr>
                        <w:fldChar w:fldCharType="end"/>
                      </w:r>
                      <w:bookmarkEnd w:id="5"/>
                      <w:r w:rsidRPr="002770F2">
                        <w:rPr>
                          <w:rFonts w:ascii="Times New Roman" w:hAnsi="Times New Roman"/>
                          <w:sz w:val="16"/>
                          <w:szCs w:val="16"/>
                        </w:rPr>
                        <w:t>:</w:t>
                      </w:r>
                      <w:r w:rsidRPr="006A16EC">
                        <w:rPr>
                          <w:rFonts w:ascii="Times New Roman" w:hAnsi="Times New Roman"/>
                          <w:sz w:val="16"/>
                          <w:szCs w:val="16"/>
                        </w:rPr>
                        <w:t xml:space="preserve"> </w:t>
                      </w:r>
                      <w:r w:rsidRPr="54D4B07C">
                        <w:rPr>
                          <w:rFonts w:ascii="Times New Roman" w:hAnsi="Times New Roman"/>
                          <w:sz w:val="16"/>
                          <w:szCs w:val="16"/>
                        </w:rPr>
                        <w:t>Confusion matrix showing classification quality for Training (n=49) and Test (n=6) se</w:t>
                      </w:r>
                      <w:r w:rsidR="002770F2">
                        <w:rPr>
                          <w:rFonts w:ascii="Times New Roman" w:hAnsi="Times New Roman"/>
                          <w:sz w:val="16"/>
                          <w:szCs w:val="16"/>
                        </w:rPr>
                        <w:t>t</w:t>
                      </w:r>
                      <w:r w:rsidRPr="54D4B07C">
                        <w:rPr>
                          <w:rFonts w:ascii="Times New Roman" w:hAnsi="Times New Roman"/>
                          <w:sz w:val="16"/>
                          <w:szCs w:val="16"/>
                        </w:rPr>
                        <w:t>s</w:t>
                      </w:r>
                      <w:r w:rsidR="002770F2">
                        <w:rPr>
                          <w:rFonts w:ascii="Times New Roman" w:hAnsi="Times New Roman"/>
                          <w:sz w:val="16"/>
                          <w:szCs w:val="16"/>
                        </w:rPr>
                        <w:t xml:space="preserve"> (A)</w:t>
                      </w:r>
                      <w:r w:rsidRPr="54D4B07C">
                        <w:rPr>
                          <w:rFonts w:ascii="Times New Roman" w:hAnsi="Times New Roman"/>
                          <w:sz w:val="16"/>
                          <w:szCs w:val="16"/>
                        </w:rPr>
                        <w:t xml:space="preserve">. The classification labels are ‘0’ for low (0.4-18.7 GFP), ‘1’ for medium (18.7-25 GFP), and ‘2’ for strong expression (25-35 GFP) (Data source </w:t>
                      </w:r>
                      <w:proofErr w:type="spellStart"/>
                      <w:r w:rsidRPr="54D4B07C">
                        <w:rPr>
                          <w:rFonts w:ascii="Times New Roman" w:hAnsi="Times New Roman"/>
                          <w:sz w:val="16"/>
                          <w:szCs w:val="16"/>
                        </w:rPr>
                        <w:t>Köbbing</w:t>
                      </w:r>
                      <w:proofErr w:type="spellEnd"/>
                      <w:r w:rsidRPr="54D4B07C">
                        <w:rPr>
                          <w:rFonts w:ascii="Times New Roman" w:hAnsi="Times New Roman"/>
                          <w:sz w:val="16"/>
                          <w:szCs w:val="16"/>
                        </w:rPr>
                        <w:t xml:space="preserve"> et al., 2020).</w:t>
                      </w:r>
                      <w:r w:rsidRPr="00AC37CD">
                        <w:rPr>
                          <w:rFonts w:ascii="Times New Roman" w:hAnsi="Times New Roman"/>
                          <w:sz w:val="16"/>
                          <w:szCs w:val="16"/>
                        </w:rPr>
                        <w:t xml:space="preserve"> </w:t>
                      </w:r>
                      <w:r w:rsidRPr="54D4B07C">
                        <w:rPr>
                          <w:rFonts w:ascii="Times New Roman" w:hAnsi="Times New Roman"/>
                          <w:sz w:val="16"/>
                          <w:szCs w:val="16"/>
                        </w:rPr>
                        <w:t>Sequence logo of positions used by the RF to predict expression activity class</w:t>
                      </w:r>
                      <w:r w:rsidR="002770F2">
                        <w:rPr>
                          <w:rFonts w:ascii="Times New Roman" w:hAnsi="Times New Roman"/>
                          <w:sz w:val="16"/>
                          <w:szCs w:val="16"/>
                        </w:rPr>
                        <w:t xml:space="preserve"> (B)</w:t>
                      </w:r>
                      <w:r w:rsidRPr="54D4B07C">
                        <w:rPr>
                          <w:rFonts w:ascii="Times New Roman" w:hAnsi="Times New Roman"/>
                          <w:sz w:val="16"/>
                          <w:szCs w:val="16"/>
                        </w:rPr>
                        <w:t xml:space="preserve">. The –35 box was dominating the prediction whereas the –10 box </w:t>
                      </w:r>
                      <w:r>
                        <w:rPr>
                          <w:rFonts w:ascii="Times New Roman" w:hAnsi="Times New Roman"/>
                          <w:sz w:val="16"/>
                          <w:szCs w:val="16"/>
                        </w:rPr>
                        <w:t>had lesser importance on prediction</w:t>
                      </w:r>
                      <w:r w:rsidRPr="54D4B07C">
                        <w:rPr>
                          <w:rFonts w:ascii="Times New Roman" w:hAnsi="Times New Roman"/>
                          <w:sz w:val="16"/>
                          <w:szCs w:val="16"/>
                        </w:rPr>
                        <w:t xml:space="preserve"> despite similar high diversity (</w:t>
                      </w:r>
                      <w:r>
                        <w:rPr>
                          <w:rFonts w:ascii="Times New Roman" w:hAnsi="Times New Roman"/>
                          <w:sz w:val="16"/>
                          <w:szCs w:val="16"/>
                        </w:rPr>
                        <w:fldChar w:fldCharType="begin"/>
                      </w:r>
                      <w:r>
                        <w:rPr>
                          <w:rFonts w:ascii="Times New Roman" w:hAnsi="Times New Roman"/>
                          <w:sz w:val="16"/>
                          <w:szCs w:val="16"/>
                        </w:rPr>
                        <w:instrText xml:space="preserve"> REF _Ref58869315 \h </w:instrText>
                      </w:r>
                      <w:r>
                        <w:rPr>
                          <w:rFonts w:ascii="Times New Roman" w:hAnsi="Times New Roman"/>
                          <w:sz w:val="16"/>
                          <w:szCs w:val="16"/>
                        </w:rPr>
                      </w:r>
                      <w:r>
                        <w:rPr>
                          <w:rFonts w:ascii="Times New Roman" w:hAnsi="Times New Roman"/>
                          <w:sz w:val="16"/>
                          <w:szCs w:val="16"/>
                        </w:rPr>
                        <w:fldChar w:fldCharType="separate"/>
                      </w:r>
                      <w:r w:rsidR="00397734" w:rsidRPr="00347EB0">
                        <w:rPr>
                          <w:rFonts w:ascii="Times New Roman" w:hAnsi="Times New Roman"/>
                          <w:sz w:val="16"/>
                          <w:szCs w:val="16"/>
                        </w:rPr>
                        <w:t xml:space="preserve">Figure </w:t>
                      </w:r>
                      <w:r w:rsidR="00397734">
                        <w:rPr>
                          <w:rFonts w:ascii="Times New Roman" w:hAnsi="Times New Roman"/>
                          <w:noProof/>
                          <w:sz w:val="16"/>
                          <w:szCs w:val="16"/>
                        </w:rPr>
                        <w:t>1</w:t>
                      </w:r>
                      <w:r>
                        <w:rPr>
                          <w:rFonts w:ascii="Times New Roman" w:hAnsi="Times New Roman"/>
                          <w:sz w:val="16"/>
                          <w:szCs w:val="16"/>
                        </w:rPr>
                        <w:fldChar w:fldCharType="end"/>
                      </w:r>
                      <w:r w:rsidRPr="54D4B07C">
                        <w:rPr>
                          <w:rFonts w:ascii="Times New Roman" w:hAnsi="Times New Roman"/>
                          <w:sz w:val="16"/>
                          <w:szCs w:val="16"/>
                        </w:rPr>
                        <w:t>)</w:t>
                      </w:r>
                      <w:r>
                        <w:rPr>
                          <w:rFonts w:ascii="Times New Roman" w:hAnsi="Times New Roman"/>
                          <w:sz w:val="16"/>
                          <w:szCs w:val="16"/>
                        </w:rPr>
                        <w:t>.</w:t>
                      </w:r>
                    </w:p>
                    <w:p w:rsidR="00CD1B4A" w:rsidRPr="00311992" w:rsidRDefault="00CD1B4A" w:rsidP="00592B8A">
                      <w:pPr>
                        <w:rPr>
                          <w:lang w:val="en-GB"/>
                        </w:rPr>
                      </w:pPr>
                    </w:p>
                  </w:txbxContent>
                </v:textbox>
                <w10:wrap type="topAndBottom" anchorx="margin" anchory="margin"/>
                <w10:anchorlock/>
              </v:shape>
            </w:pict>
          </mc:Fallback>
        </mc:AlternateContent>
      </w:r>
    </w:p>
    <w:p w:rsidR="006E529C" w:rsidRPr="00E054F1" w:rsidRDefault="006E529C" w:rsidP="006E529C">
      <w:pPr>
        <w:pStyle w:val="Heading2"/>
      </w:pPr>
      <w:r>
        <w:t>Cross-library analysis</w:t>
      </w:r>
    </w:p>
    <w:p w:rsidR="006E529C" w:rsidRPr="00EC6F32" w:rsidRDefault="006E529C" w:rsidP="00EC6F32">
      <w:pPr>
        <w:pStyle w:val="para-first"/>
        <w:spacing w:after="240" w:line="276" w:lineRule="auto"/>
        <w:rPr>
          <w:sz w:val="20"/>
          <w:szCs w:val="20"/>
        </w:rPr>
      </w:pPr>
      <w:r w:rsidRPr="001C6717">
        <w:rPr>
          <w:sz w:val="20"/>
          <w:szCs w:val="20"/>
        </w:rPr>
        <w:t xml:space="preserve">In the following, six published bacterial promoter libraries </w:t>
      </w:r>
      <w:r>
        <w:rPr>
          <w:sz w:val="20"/>
          <w:szCs w:val="20"/>
        </w:rPr>
        <w:t xml:space="preserve">were analyzed </w:t>
      </w:r>
      <w:r w:rsidRPr="001C6717">
        <w:rPr>
          <w:sz w:val="20"/>
          <w:szCs w:val="20"/>
        </w:rPr>
        <w:t xml:space="preserve">with the aim to highlight the effect of the library setup on the ML estimation quality. The data is available online in the </w:t>
      </w:r>
      <w:r w:rsidRPr="3044033A">
        <w:rPr>
          <w:i/>
          <w:iCs/>
          <w:sz w:val="20"/>
          <w:szCs w:val="20"/>
        </w:rPr>
        <w:t xml:space="preserve">Exp2Ipynb </w:t>
      </w:r>
      <w:r>
        <w:rPr>
          <w:sz w:val="20"/>
          <w:szCs w:val="20"/>
        </w:rPr>
        <w:t>package at GitHub</w:t>
      </w:r>
      <w:r w:rsidRPr="001C6717">
        <w:rPr>
          <w:sz w:val="20"/>
          <w:szCs w:val="20"/>
        </w:rPr>
        <w:t xml:space="preserve">. The libraries were measured in </w:t>
      </w:r>
      <w:r w:rsidRPr="3044033A">
        <w:rPr>
          <w:i/>
          <w:iCs/>
          <w:sz w:val="20"/>
          <w:szCs w:val="20"/>
        </w:rPr>
        <w:t>E. coli</w:t>
      </w:r>
      <w:r w:rsidRPr="001C6717">
        <w:rPr>
          <w:sz w:val="20"/>
          <w:szCs w:val="20"/>
        </w:rPr>
        <w:t xml:space="preserve">, </w:t>
      </w:r>
      <w:proofErr w:type="spellStart"/>
      <w:r w:rsidRPr="3044033A">
        <w:rPr>
          <w:i/>
          <w:iCs/>
          <w:sz w:val="20"/>
          <w:szCs w:val="20"/>
        </w:rPr>
        <w:t>Geobacter</w:t>
      </w:r>
      <w:proofErr w:type="spellEnd"/>
      <w:r w:rsidRPr="3044033A">
        <w:rPr>
          <w:i/>
          <w:iCs/>
          <w:sz w:val="20"/>
          <w:szCs w:val="20"/>
        </w:rPr>
        <w:t xml:space="preserve"> </w:t>
      </w:r>
      <w:proofErr w:type="spellStart"/>
      <w:r w:rsidRPr="3044033A">
        <w:rPr>
          <w:i/>
          <w:iCs/>
          <w:sz w:val="20"/>
          <w:szCs w:val="20"/>
        </w:rPr>
        <w:t>thermoglucosidasius</w:t>
      </w:r>
      <w:proofErr w:type="spellEnd"/>
      <w:r w:rsidRPr="001C6717">
        <w:rPr>
          <w:sz w:val="20"/>
          <w:szCs w:val="20"/>
        </w:rPr>
        <w:t xml:space="preserve">, and </w:t>
      </w:r>
      <w:r w:rsidRPr="3044033A">
        <w:rPr>
          <w:i/>
          <w:iCs/>
          <w:sz w:val="20"/>
          <w:szCs w:val="20"/>
        </w:rPr>
        <w:t xml:space="preserve">B. subtilis </w:t>
      </w:r>
      <w:r w:rsidRPr="001C6717">
        <w:rPr>
          <w:sz w:val="20"/>
          <w:szCs w:val="20"/>
        </w:rPr>
        <w:t>and were targeted to specific or unknown sigma factors. All libraries differ from each other in terms of combinations of library sample size, tested sequence length and sequence diversity (</w:t>
      </w:r>
      <w:r w:rsidR="00F16E8D">
        <w:rPr>
          <w:sz w:val="20"/>
          <w:szCs w:val="20"/>
        </w:rPr>
        <w:fldChar w:fldCharType="begin"/>
      </w:r>
      <w:r w:rsidR="00F16E8D">
        <w:rPr>
          <w:sz w:val="20"/>
          <w:szCs w:val="20"/>
        </w:rPr>
        <w:instrText xml:space="preserve"> REF _Ref58869565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Table 2</w:t>
      </w:r>
      <w:r w:rsidR="00F16E8D">
        <w:rPr>
          <w:sz w:val="20"/>
          <w:szCs w:val="20"/>
        </w:rPr>
        <w:fldChar w:fldCharType="end"/>
      </w:r>
      <w:r w:rsidRPr="001C6717">
        <w:rPr>
          <w:sz w:val="20"/>
          <w:szCs w:val="20"/>
        </w:rPr>
        <w:t>). We evaluated how each parameter affects estimation quality.</w:t>
      </w:r>
    </w:p>
    <w:p w:rsidR="006E529C" w:rsidRPr="00EC6F32" w:rsidRDefault="006E529C" w:rsidP="00EC6F32">
      <w:pPr>
        <w:pStyle w:val="para-first"/>
        <w:spacing w:after="240" w:line="276" w:lineRule="auto"/>
        <w:ind w:firstLine="170"/>
        <w:rPr>
          <w:sz w:val="20"/>
          <w:szCs w:val="20"/>
        </w:rPr>
      </w:pPr>
      <w:r w:rsidRPr="3044033A">
        <w:rPr>
          <w:sz w:val="20"/>
          <w:szCs w:val="20"/>
        </w:rPr>
        <w:t>Three values are important for analysis of promoter libraries: (</w:t>
      </w:r>
      <w:proofErr w:type="spellStart"/>
      <w:r w:rsidRPr="3044033A">
        <w:rPr>
          <w:sz w:val="20"/>
          <w:szCs w:val="20"/>
        </w:rPr>
        <w:t>i</w:t>
      </w:r>
      <w:proofErr w:type="spellEnd"/>
      <w:r w:rsidRPr="3044033A">
        <w:rPr>
          <w:sz w:val="20"/>
          <w:szCs w:val="20"/>
        </w:rPr>
        <w:t>) the fidelity of gene expression</w:t>
      </w:r>
      <w:r>
        <w:rPr>
          <w:sz w:val="20"/>
          <w:szCs w:val="20"/>
        </w:rPr>
        <w:t xml:space="preserve"> prediction, computed by the F1-</w:t>
      </w:r>
      <w:r w:rsidRPr="3044033A">
        <w:rPr>
          <w:sz w:val="20"/>
          <w:szCs w:val="20"/>
        </w:rPr>
        <w:t xml:space="preserve">score (see methods), (ii) the confidence of the prediction, computed by the coefficient of variation, and (iii) important sequence features for expression, computed by the feature importance of random forest and gradient boosting strategies. The analysis </w:t>
      </w:r>
      <w:r>
        <w:rPr>
          <w:sz w:val="20"/>
          <w:szCs w:val="20"/>
        </w:rPr>
        <w:t>was</w:t>
      </w:r>
      <w:r w:rsidRPr="3044033A">
        <w:rPr>
          <w:sz w:val="20"/>
          <w:szCs w:val="20"/>
        </w:rPr>
        <w:t xml:space="preserve"> based on a classification task with three classes: low (‘1’), medium (‘2’), and high expression (‘3’). The analysis </w:t>
      </w:r>
      <w:r>
        <w:rPr>
          <w:sz w:val="20"/>
          <w:szCs w:val="20"/>
        </w:rPr>
        <w:t>wa</w:t>
      </w:r>
      <w:r w:rsidRPr="3044033A">
        <w:rPr>
          <w:sz w:val="20"/>
          <w:szCs w:val="20"/>
        </w:rPr>
        <w:t xml:space="preserve">s performed on the original data of the promoter libraries </w:t>
      </w:r>
      <w:r w:rsidR="00592B8A">
        <w:rPr>
          <w:noProof/>
          <w:lang w:val="de-DE" w:eastAsia="de-DE"/>
        </w:rPr>
        <w:lastRenderedPageBreak/>
        <mc:AlternateContent>
          <mc:Choice Requires="wps">
            <w:drawing>
              <wp:anchor distT="45720" distB="45720" distL="114300" distR="114300" simplePos="0" relativeHeight="251669504" behindDoc="0" locked="0" layoutInCell="1" allowOverlap="1" wp14:anchorId="3EDA3523" wp14:editId="54355223">
                <wp:simplePos x="0" y="0"/>
                <wp:positionH relativeFrom="margin">
                  <wp:posOffset>-635</wp:posOffset>
                </wp:positionH>
                <wp:positionV relativeFrom="margin">
                  <wp:posOffset>14605</wp:posOffset>
                </wp:positionV>
                <wp:extent cx="5844540" cy="2465070"/>
                <wp:effectExtent l="0" t="0" r="381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465070"/>
                        </a:xfrm>
                        <a:prstGeom prst="rect">
                          <a:avLst/>
                        </a:prstGeom>
                        <a:solidFill>
                          <a:srgbClr val="FFFFFF"/>
                        </a:solidFill>
                        <a:ln w="9525">
                          <a:noFill/>
                          <a:miter lim="800000"/>
                          <a:headEnd/>
                          <a:tailEnd/>
                        </a:ln>
                      </wps:spPr>
                      <wps:txbx>
                        <w:txbxContent>
                          <w:p w:rsidR="00CD1B4A" w:rsidRDefault="00CD1B4A" w:rsidP="00592B8A">
                            <w:pPr>
                              <w:pStyle w:val="Caption"/>
                              <w:keepNext/>
                            </w:pPr>
                            <w:bookmarkStart w:id="6" w:name="_Ref58869565"/>
                            <w:r w:rsidRPr="001C3A58">
                              <w:rPr>
                                <w:rFonts w:ascii="Times New Roman" w:hAnsi="Times New Roman"/>
                                <w:sz w:val="16"/>
                                <w:szCs w:val="16"/>
                              </w:rPr>
                              <w:t xml:space="preserve">Table </w:t>
                            </w:r>
                            <w:r w:rsidRPr="001C3A58">
                              <w:rPr>
                                <w:rFonts w:ascii="Times New Roman" w:hAnsi="Times New Roman"/>
                                <w:sz w:val="16"/>
                                <w:szCs w:val="16"/>
                              </w:rPr>
                              <w:fldChar w:fldCharType="begin"/>
                            </w:r>
                            <w:r w:rsidRPr="001C3A58">
                              <w:rPr>
                                <w:rFonts w:ascii="Times New Roman" w:hAnsi="Times New Roman"/>
                                <w:sz w:val="16"/>
                                <w:szCs w:val="16"/>
                              </w:rPr>
                              <w:instrText xml:space="preserve"> SEQ Table \* ARABIC </w:instrText>
                            </w:r>
                            <w:r w:rsidRPr="001C3A58">
                              <w:rPr>
                                <w:rFonts w:ascii="Times New Roman" w:hAnsi="Times New Roman"/>
                                <w:sz w:val="16"/>
                                <w:szCs w:val="16"/>
                              </w:rPr>
                              <w:fldChar w:fldCharType="separate"/>
                            </w:r>
                            <w:r w:rsidR="00397734">
                              <w:rPr>
                                <w:rFonts w:ascii="Times New Roman" w:hAnsi="Times New Roman"/>
                                <w:noProof/>
                                <w:sz w:val="16"/>
                                <w:szCs w:val="16"/>
                              </w:rPr>
                              <w:t>2</w:t>
                            </w:r>
                            <w:r w:rsidRPr="001C3A58">
                              <w:rPr>
                                <w:rFonts w:ascii="Times New Roman" w:hAnsi="Times New Roman"/>
                                <w:sz w:val="16"/>
                                <w:szCs w:val="16"/>
                              </w:rPr>
                              <w:fldChar w:fldCharType="end"/>
                            </w:r>
                            <w:bookmarkEnd w:id="6"/>
                            <w:r w:rsidRPr="001C3A58">
                              <w:rPr>
                                <w:rFonts w:ascii="Times New Roman" w:hAnsi="Times New Roman"/>
                                <w:sz w:val="16"/>
                                <w:szCs w:val="16"/>
                              </w:rPr>
                              <w:t>:</w:t>
                            </w:r>
                            <w:r w:rsidRPr="007353E8">
                              <w:rPr>
                                <w:rFonts w:ascii="Times New Roman" w:hAnsi="Times New Roman"/>
                                <w:sz w:val="16"/>
                                <w:szCs w:val="16"/>
                              </w:rPr>
                              <w:t xml:space="preserve"> </w:t>
                            </w:r>
                            <w:r w:rsidRPr="54D4B07C">
                              <w:rPr>
                                <w:rFonts w:ascii="Times New Roman" w:hAnsi="Times New Roman"/>
                                <w:sz w:val="16"/>
                                <w:szCs w:val="16"/>
                              </w:rPr>
                              <w:t>Details of the six</w:t>
                            </w:r>
                            <w:r>
                              <w:rPr>
                                <w:rFonts w:ascii="Times New Roman" w:hAnsi="Times New Roman"/>
                                <w:sz w:val="16"/>
                                <w:szCs w:val="16"/>
                              </w:rPr>
                              <w:t xml:space="preserve"> published </w:t>
                            </w:r>
                            <w:r w:rsidRPr="54D4B07C">
                              <w:rPr>
                                <w:rFonts w:ascii="Times New Roman" w:hAnsi="Times New Roman"/>
                                <w:sz w:val="16"/>
                                <w:szCs w:val="16"/>
                              </w:rPr>
                              <w:t xml:space="preserve"> libraries used to compare estimation quality in response to library experimental design.</w:t>
                            </w:r>
                            <w:r>
                              <w:rPr>
                                <w:rFonts w:ascii="Times New Roman" w:hAnsi="Times New Roman"/>
                                <w:sz w:val="16"/>
                                <w:szCs w:val="16"/>
                              </w:rPr>
                              <w:t xml:space="preserve"> The ‘</w:t>
                            </w:r>
                            <w:proofErr w:type="spellStart"/>
                            <w:proofErr w:type="gramStart"/>
                            <w:r>
                              <w:rPr>
                                <w:rFonts w:ascii="Times New Roman" w:hAnsi="Times New Roman"/>
                                <w:sz w:val="16"/>
                                <w:szCs w:val="16"/>
                              </w:rPr>
                              <w:t>Avg.Seq.Dist</w:t>
                            </w:r>
                            <w:proofErr w:type="spellEnd"/>
                            <w:proofErr w:type="gramEnd"/>
                            <w:r>
                              <w:rPr>
                                <w:rFonts w:ascii="Times New Roman" w:hAnsi="Times New Roman"/>
                                <w:sz w:val="16"/>
                                <w:szCs w:val="16"/>
                              </w:rPr>
                              <w:t>’ represents the average distance of all sequences to a reference sequence that is composed of the most common nucleotide at each position..</w:t>
                            </w:r>
                          </w:p>
                          <w:tbl>
                            <w:tblPr>
                              <w:tblStyle w:val="TableGrid"/>
                              <w:tblW w:w="0" w:type="auto"/>
                              <w:tblInd w:w="-5" w:type="dxa"/>
                              <w:tblLayout w:type="fixed"/>
                              <w:tblLook w:val="06A0" w:firstRow="1" w:lastRow="0" w:firstColumn="1" w:lastColumn="0" w:noHBand="1" w:noVBand="1"/>
                            </w:tblPr>
                            <w:tblGrid>
                              <w:gridCol w:w="1134"/>
                              <w:gridCol w:w="426"/>
                              <w:gridCol w:w="1134"/>
                              <w:gridCol w:w="850"/>
                              <w:gridCol w:w="992"/>
                              <w:gridCol w:w="993"/>
                              <w:gridCol w:w="992"/>
                              <w:gridCol w:w="992"/>
                              <w:gridCol w:w="1276"/>
                            </w:tblGrid>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Reference</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ID</w:t>
                                  </w:r>
                                </w:p>
                              </w:tc>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Organism</w:t>
                                  </w:r>
                                </w:p>
                              </w:tc>
                              <w:tc>
                                <w:tcPr>
                                  <w:tcW w:w="850"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Transcr</w:t>
                                  </w:r>
                                  <w:proofErr w:type="spellEnd"/>
                                  <w:r w:rsidRPr="009B347F">
                                    <w:rPr>
                                      <w:rFonts w:ascii="Arial" w:eastAsia="Arial" w:hAnsi="Arial" w:cs="Arial"/>
                                      <w:sz w:val="16"/>
                                      <w:szCs w:val="16"/>
                                    </w:rPr>
                                    <w:t>. Factor</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Reporter</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Run-Time (s)</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 Samples</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 Features</w:t>
                                  </w:r>
                                </w:p>
                              </w:tc>
                              <w:tc>
                                <w:tcPr>
                                  <w:tcW w:w="1276"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Avg</w:t>
                                  </w:r>
                                  <w:r>
                                    <w:rPr>
                                      <w:rFonts w:ascii="Arial" w:eastAsia="Arial" w:hAnsi="Arial" w:cs="Arial"/>
                                      <w:sz w:val="16"/>
                                      <w:szCs w:val="16"/>
                                    </w:rPr>
                                    <w:t>.</w:t>
                                  </w:r>
                                  <w:r w:rsidRPr="009B347F">
                                    <w:rPr>
                                      <w:rFonts w:ascii="Arial" w:eastAsia="Arial" w:hAnsi="Arial" w:cs="Arial"/>
                                      <w:sz w:val="16"/>
                                      <w:szCs w:val="16"/>
                                    </w:rPr>
                                    <w:t>Seq</w:t>
                                  </w:r>
                                  <w:r>
                                    <w:rPr>
                                      <w:rFonts w:ascii="Arial" w:eastAsia="Arial" w:hAnsi="Arial" w:cs="Arial"/>
                                      <w:sz w:val="16"/>
                                      <w:szCs w:val="16"/>
                                    </w:rPr>
                                    <w:t>.</w:t>
                                  </w:r>
                                  <w:r w:rsidRPr="009B347F">
                                    <w:rPr>
                                      <w:rFonts w:ascii="Arial" w:eastAsia="Arial" w:hAnsi="Arial" w:cs="Arial"/>
                                      <w:sz w:val="16"/>
                                      <w:szCs w:val="16"/>
                                    </w:rPr>
                                    <w:t>Dist</w:t>
                                  </w:r>
                                  <w:proofErr w:type="spellEnd"/>
                                  <w:r>
                                    <w:rPr>
                                      <w:rFonts w:ascii="Arial" w:eastAsia="Arial" w:hAnsi="Arial" w:cs="Arial"/>
                                      <w:sz w:val="16"/>
                                      <w:szCs w:val="16"/>
                                    </w:rPr>
                                    <w:t>.</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This Work</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a</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P. putida</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63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61</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0.06</w:t>
                                  </w:r>
                                </w:p>
                              </w:tc>
                            </w:tr>
                            <w:tr w:rsidR="00CD1B4A" w:rsidRPr="009B347F" w:rsidTr="00592B8A">
                              <w:tc>
                                <w:tcPr>
                                  <w:tcW w:w="1134" w:type="dxa"/>
                                </w:tcPr>
                                <w:p w:rsidR="00CD1B4A" w:rsidRPr="009B347F" w:rsidRDefault="00CD1B4A" w:rsidP="00CD1B4A">
                                  <w:pPr>
                                    <w:rPr>
                                      <w:rFonts w:ascii="Arial" w:eastAsia="Arial" w:hAnsi="Arial" w:cs="Arial"/>
                                      <w:sz w:val="16"/>
                                      <w:szCs w:val="16"/>
                                    </w:rPr>
                                  </w:pPr>
                                  <w:proofErr w:type="spellStart"/>
                                  <w:r>
                                    <w:rPr>
                                      <w:rFonts w:ascii="Arial" w:eastAsia="Arial" w:hAnsi="Arial" w:cs="Arial"/>
                                      <w:sz w:val="16"/>
                                      <w:szCs w:val="16"/>
                                    </w:rPr>
                                    <w:t>Rhodius</w:t>
                                  </w:r>
                                  <w:proofErr w:type="spellEnd"/>
                                  <w:r w:rsidRPr="009B347F">
                                    <w:rPr>
                                      <w:rFonts w:ascii="Arial" w:eastAsia="Arial" w:hAnsi="Arial" w:cs="Arial"/>
                                      <w:sz w:val="16"/>
                                      <w:szCs w:val="16"/>
                                    </w:rPr>
                                    <w:t xml:space="preserve"> et al. (2010)</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b</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Pr>
                                      <w:rFonts w:ascii="Arial" w:eastAsia="Arial" w:hAnsi="Arial" w:cs="Arial"/>
                                      <w:sz w:val="16"/>
                                      <w:szCs w:val="16"/>
                                      <w:vertAlign w:val="superscript"/>
                                    </w:rPr>
                                    <w:t>E</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various</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134</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59</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121</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0.61</w:t>
                                  </w:r>
                                </w:p>
                              </w:tc>
                            </w:tr>
                            <w:tr w:rsidR="00CD1B4A" w:rsidRPr="009B347F" w:rsidTr="00592B8A">
                              <w:tc>
                                <w:tcPr>
                                  <w:tcW w:w="1134"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Meng</w:t>
                                  </w:r>
                                  <w:proofErr w:type="spellEnd"/>
                                  <w:r w:rsidRPr="009B347F">
                                    <w:rPr>
                                      <w:rFonts w:ascii="Arial" w:eastAsia="Arial" w:hAnsi="Arial" w:cs="Arial"/>
                                      <w:sz w:val="16"/>
                                      <w:szCs w:val="16"/>
                                    </w:rPr>
                                    <w:t xml:space="preserve"> et al. (2013)</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c</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98</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409</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0.16</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Zhao et al. (2020)</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d</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476</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3543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289</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0.09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Gilman et al. (2019)</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e</w:t>
                                  </w:r>
                                </w:p>
                              </w:tc>
                              <w:tc>
                                <w:tcPr>
                                  <w:tcW w:w="1134" w:type="dxa"/>
                                </w:tcPr>
                                <w:p w:rsidR="00CD1B4A" w:rsidRPr="009B347F" w:rsidRDefault="00CD1B4A" w:rsidP="00592B8A">
                                  <w:pPr>
                                    <w:rPr>
                                      <w:rFonts w:ascii="Arial" w:eastAsia="Arial" w:hAnsi="Arial" w:cs="Arial"/>
                                      <w:i/>
                                      <w:sz w:val="16"/>
                                      <w:szCs w:val="16"/>
                                    </w:rPr>
                                  </w:pPr>
                                  <w:r w:rsidRPr="009B347F">
                                    <w:rPr>
                                      <w:rFonts w:ascii="Arial" w:eastAsia="Arial" w:hAnsi="Arial" w:cs="Arial"/>
                                      <w:i/>
                                      <w:sz w:val="16"/>
                                      <w:szCs w:val="16"/>
                                    </w:rPr>
                                    <w:t>G. therm</w:t>
                                  </w:r>
                                  <w:r>
                                    <w:rPr>
                                      <w:rFonts w:ascii="Arial" w:eastAsia="Arial" w:hAnsi="Arial" w:cs="Arial"/>
                                      <w:i/>
                                      <w:sz w:val="16"/>
                                      <w:szCs w:val="16"/>
                                    </w:rPr>
                                    <w:t>.</w:t>
                                  </w:r>
                                </w:p>
                              </w:tc>
                              <w:tc>
                                <w:tcPr>
                                  <w:tcW w:w="850"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N.A.</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138</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81</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397</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Gilman et al. (2019)</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F</w:t>
                                  </w:r>
                                </w:p>
                              </w:tc>
                              <w:tc>
                                <w:tcPr>
                                  <w:tcW w:w="1134" w:type="dxa"/>
                                </w:tcPr>
                                <w:p w:rsidR="00CD1B4A" w:rsidRPr="009B347F" w:rsidRDefault="00CD1B4A" w:rsidP="00592B8A">
                                  <w:pPr>
                                    <w:rPr>
                                      <w:rFonts w:ascii="Arial" w:eastAsia="Arial" w:hAnsi="Arial" w:cs="Arial"/>
                                      <w:sz w:val="16"/>
                                      <w:szCs w:val="16"/>
                                    </w:rPr>
                                  </w:pPr>
                                  <w:r w:rsidRPr="009B347F">
                                    <w:rPr>
                                      <w:rFonts w:ascii="Arial" w:eastAsia="Arial" w:hAnsi="Arial" w:cs="Arial"/>
                                      <w:i/>
                                      <w:sz w:val="16"/>
                                      <w:szCs w:val="16"/>
                                    </w:rPr>
                                    <w:t>G. therm</w:t>
                                  </w:r>
                                  <w:r>
                                    <w:rPr>
                                      <w:rFonts w:ascii="Arial" w:eastAsia="Arial" w:hAnsi="Arial" w:cs="Arial"/>
                                      <w:i/>
                                      <w:sz w:val="16"/>
                                      <w:szCs w:val="16"/>
                                    </w:rPr>
                                    <w:t>.</w:t>
                                  </w:r>
                                </w:p>
                              </w:tc>
                              <w:tc>
                                <w:tcPr>
                                  <w:tcW w:w="850"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N.A.</w:t>
                                  </w:r>
                                </w:p>
                              </w:tc>
                              <w:tc>
                                <w:tcPr>
                                  <w:tcW w:w="992"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mOrange</w:t>
                                  </w:r>
                                  <w:proofErr w:type="spellEnd"/>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145</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81</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397</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Liu et al. (2018)</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B. subtilis</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Pr>
                                      <w:rFonts w:ascii="Arial" w:eastAsia="Arial" w:hAnsi="Arial" w:cs="Arial"/>
                                      <w:sz w:val="16"/>
                                      <w:szCs w:val="16"/>
                                      <w:vertAlign w:val="superscript"/>
                                    </w:rPr>
                                    <w:t>A</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144</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206</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105</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0.35</w:t>
                                  </w:r>
                                </w:p>
                              </w:tc>
                            </w:tr>
                          </w:tbl>
                          <w:p w:rsidR="00CD1B4A" w:rsidRDefault="00CD1B4A" w:rsidP="00592B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A3523" id="_x0000_s1029" type="#_x0000_t202" style="position:absolute;left:0;text-align:left;margin-left:-.05pt;margin-top:1.15pt;width:460.2pt;height:194.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" stroked="f">
                <v:textbox>
                  <w:txbxContent>
                    <w:p w:rsidR="00CD1B4A" w:rsidRDefault="00CD1B4A" w:rsidP="00592B8A">
                      <w:pPr>
                        <w:pStyle w:val="Caption"/>
                        <w:keepNext/>
                      </w:pPr>
                      <w:bookmarkStart w:id="7" w:name="_Ref58869565"/>
                      <w:r w:rsidRPr="001C3A58">
                        <w:rPr>
                          <w:rFonts w:ascii="Times New Roman" w:hAnsi="Times New Roman"/>
                          <w:sz w:val="16"/>
                          <w:szCs w:val="16"/>
                        </w:rPr>
                        <w:t xml:space="preserve">Table </w:t>
                      </w:r>
                      <w:r w:rsidRPr="001C3A58">
                        <w:rPr>
                          <w:rFonts w:ascii="Times New Roman" w:hAnsi="Times New Roman"/>
                          <w:sz w:val="16"/>
                          <w:szCs w:val="16"/>
                        </w:rPr>
                        <w:fldChar w:fldCharType="begin"/>
                      </w:r>
                      <w:r w:rsidRPr="001C3A58">
                        <w:rPr>
                          <w:rFonts w:ascii="Times New Roman" w:hAnsi="Times New Roman"/>
                          <w:sz w:val="16"/>
                          <w:szCs w:val="16"/>
                        </w:rPr>
                        <w:instrText xml:space="preserve"> SEQ Table \* ARABIC </w:instrText>
                      </w:r>
                      <w:r w:rsidRPr="001C3A58">
                        <w:rPr>
                          <w:rFonts w:ascii="Times New Roman" w:hAnsi="Times New Roman"/>
                          <w:sz w:val="16"/>
                          <w:szCs w:val="16"/>
                        </w:rPr>
                        <w:fldChar w:fldCharType="separate"/>
                      </w:r>
                      <w:r w:rsidR="00397734">
                        <w:rPr>
                          <w:rFonts w:ascii="Times New Roman" w:hAnsi="Times New Roman"/>
                          <w:noProof/>
                          <w:sz w:val="16"/>
                          <w:szCs w:val="16"/>
                        </w:rPr>
                        <w:t>2</w:t>
                      </w:r>
                      <w:r w:rsidRPr="001C3A58">
                        <w:rPr>
                          <w:rFonts w:ascii="Times New Roman" w:hAnsi="Times New Roman"/>
                          <w:sz w:val="16"/>
                          <w:szCs w:val="16"/>
                        </w:rPr>
                        <w:fldChar w:fldCharType="end"/>
                      </w:r>
                      <w:bookmarkEnd w:id="7"/>
                      <w:r w:rsidRPr="001C3A58">
                        <w:rPr>
                          <w:rFonts w:ascii="Times New Roman" w:hAnsi="Times New Roman"/>
                          <w:sz w:val="16"/>
                          <w:szCs w:val="16"/>
                        </w:rPr>
                        <w:t>:</w:t>
                      </w:r>
                      <w:r w:rsidRPr="007353E8">
                        <w:rPr>
                          <w:rFonts w:ascii="Times New Roman" w:hAnsi="Times New Roman"/>
                          <w:sz w:val="16"/>
                          <w:szCs w:val="16"/>
                        </w:rPr>
                        <w:t xml:space="preserve"> </w:t>
                      </w:r>
                      <w:r w:rsidRPr="54D4B07C">
                        <w:rPr>
                          <w:rFonts w:ascii="Times New Roman" w:hAnsi="Times New Roman"/>
                          <w:sz w:val="16"/>
                          <w:szCs w:val="16"/>
                        </w:rPr>
                        <w:t>Details of the six</w:t>
                      </w:r>
                      <w:r>
                        <w:rPr>
                          <w:rFonts w:ascii="Times New Roman" w:hAnsi="Times New Roman"/>
                          <w:sz w:val="16"/>
                          <w:szCs w:val="16"/>
                        </w:rPr>
                        <w:t xml:space="preserve"> published </w:t>
                      </w:r>
                      <w:r w:rsidRPr="54D4B07C">
                        <w:rPr>
                          <w:rFonts w:ascii="Times New Roman" w:hAnsi="Times New Roman"/>
                          <w:sz w:val="16"/>
                          <w:szCs w:val="16"/>
                        </w:rPr>
                        <w:t xml:space="preserve"> libraries used to compare estimation quality in response to library experimental design.</w:t>
                      </w:r>
                      <w:r>
                        <w:rPr>
                          <w:rFonts w:ascii="Times New Roman" w:hAnsi="Times New Roman"/>
                          <w:sz w:val="16"/>
                          <w:szCs w:val="16"/>
                        </w:rPr>
                        <w:t xml:space="preserve"> The ‘</w:t>
                      </w:r>
                      <w:proofErr w:type="spellStart"/>
                      <w:proofErr w:type="gramStart"/>
                      <w:r>
                        <w:rPr>
                          <w:rFonts w:ascii="Times New Roman" w:hAnsi="Times New Roman"/>
                          <w:sz w:val="16"/>
                          <w:szCs w:val="16"/>
                        </w:rPr>
                        <w:t>Avg.Seq.Dist</w:t>
                      </w:r>
                      <w:proofErr w:type="spellEnd"/>
                      <w:proofErr w:type="gramEnd"/>
                      <w:r>
                        <w:rPr>
                          <w:rFonts w:ascii="Times New Roman" w:hAnsi="Times New Roman"/>
                          <w:sz w:val="16"/>
                          <w:szCs w:val="16"/>
                        </w:rPr>
                        <w:t>’ represents the average distance of all sequences to a reference sequence that is composed of the most common nucleotide at each position..</w:t>
                      </w:r>
                    </w:p>
                    <w:tbl>
                      <w:tblPr>
                        <w:tblStyle w:val="TableGrid"/>
                        <w:tblW w:w="0" w:type="auto"/>
                        <w:tblInd w:w="-5" w:type="dxa"/>
                        <w:tblLayout w:type="fixed"/>
                        <w:tblLook w:val="06A0" w:firstRow="1" w:lastRow="0" w:firstColumn="1" w:lastColumn="0" w:noHBand="1" w:noVBand="1"/>
                      </w:tblPr>
                      <w:tblGrid>
                        <w:gridCol w:w="1134"/>
                        <w:gridCol w:w="426"/>
                        <w:gridCol w:w="1134"/>
                        <w:gridCol w:w="850"/>
                        <w:gridCol w:w="992"/>
                        <w:gridCol w:w="993"/>
                        <w:gridCol w:w="992"/>
                        <w:gridCol w:w="992"/>
                        <w:gridCol w:w="1276"/>
                      </w:tblGrid>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Reference</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ID</w:t>
                            </w:r>
                          </w:p>
                        </w:tc>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Organism</w:t>
                            </w:r>
                          </w:p>
                        </w:tc>
                        <w:tc>
                          <w:tcPr>
                            <w:tcW w:w="850"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Transcr</w:t>
                            </w:r>
                            <w:proofErr w:type="spellEnd"/>
                            <w:r w:rsidRPr="009B347F">
                              <w:rPr>
                                <w:rFonts w:ascii="Arial" w:eastAsia="Arial" w:hAnsi="Arial" w:cs="Arial"/>
                                <w:sz w:val="16"/>
                                <w:szCs w:val="16"/>
                              </w:rPr>
                              <w:t>. Factor</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Reporter</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Run-Time (s)</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 Samples</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 Features</w:t>
                            </w:r>
                          </w:p>
                        </w:tc>
                        <w:tc>
                          <w:tcPr>
                            <w:tcW w:w="1276"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Avg</w:t>
                            </w:r>
                            <w:r>
                              <w:rPr>
                                <w:rFonts w:ascii="Arial" w:eastAsia="Arial" w:hAnsi="Arial" w:cs="Arial"/>
                                <w:sz w:val="16"/>
                                <w:szCs w:val="16"/>
                              </w:rPr>
                              <w:t>.</w:t>
                            </w:r>
                            <w:r w:rsidRPr="009B347F">
                              <w:rPr>
                                <w:rFonts w:ascii="Arial" w:eastAsia="Arial" w:hAnsi="Arial" w:cs="Arial"/>
                                <w:sz w:val="16"/>
                                <w:szCs w:val="16"/>
                              </w:rPr>
                              <w:t>Seq</w:t>
                            </w:r>
                            <w:r>
                              <w:rPr>
                                <w:rFonts w:ascii="Arial" w:eastAsia="Arial" w:hAnsi="Arial" w:cs="Arial"/>
                                <w:sz w:val="16"/>
                                <w:szCs w:val="16"/>
                              </w:rPr>
                              <w:t>.</w:t>
                            </w:r>
                            <w:r w:rsidRPr="009B347F">
                              <w:rPr>
                                <w:rFonts w:ascii="Arial" w:eastAsia="Arial" w:hAnsi="Arial" w:cs="Arial"/>
                                <w:sz w:val="16"/>
                                <w:szCs w:val="16"/>
                              </w:rPr>
                              <w:t>Dist</w:t>
                            </w:r>
                            <w:proofErr w:type="spellEnd"/>
                            <w:r>
                              <w:rPr>
                                <w:rFonts w:ascii="Arial" w:eastAsia="Arial" w:hAnsi="Arial" w:cs="Arial"/>
                                <w:sz w:val="16"/>
                                <w:szCs w:val="16"/>
                              </w:rPr>
                              <w:t>.</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This Work</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a</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P. putida</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63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61</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0.06</w:t>
                            </w:r>
                          </w:p>
                        </w:tc>
                      </w:tr>
                      <w:tr w:rsidR="00CD1B4A" w:rsidRPr="009B347F" w:rsidTr="00592B8A">
                        <w:tc>
                          <w:tcPr>
                            <w:tcW w:w="1134" w:type="dxa"/>
                          </w:tcPr>
                          <w:p w:rsidR="00CD1B4A" w:rsidRPr="009B347F" w:rsidRDefault="00CD1B4A" w:rsidP="00CD1B4A">
                            <w:pPr>
                              <w:rPr>
                                <w:rFonts w:ascii="Arial" w:eastAsia="Arial" w:hAnsi="Arial" w:cs="Arial"/>
                                <w:sz w:val="16"/>
                                <w:szCs w:val="16"/>
                              </w:rPr>
                            </w:pPr>
                            <w:proofErr w:type="spellStart"/>
                            <w:r>
                              <w:rPr>
                                <w:rFonts w:ascii="Arial" w:eastAsia="Arial" w:hAnsi="Arial" w:cs="Arial"/>
                                <w:sz w:val="16"/>
                                <w:szCs w:val="16"/>
                              </w:rPr>
                              <w:t>Rhodius</w:t>
                            </w:r>
                            <w:proofErr w:type="spellEnd"/>
                            <w:r w:rsidRPr="009B347F">
                              <w:rPr>
                                <w:rFonts w:ascii="Arial" w:eastAsia="Arial" w:hAnsi="Arial" w:cs="Arial"/>
                                <w:sz w:val="16"/>
                                <w:szCs w:val="16"/>
                              </w:rPr>
                              <w:t xml:space="preserve"> et al. (2010)</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b</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Pr>
                                <w:rFonts w:ascii="Arial" w:eastAsia="Arial" w:hAnsi="Arial" w:cs="Arial"/>
                                <w:sz w:val="16"/>
                                <w:szCs w:val="16"/>
                                <w:vertAlign w:val="superscript"/>
                              </w:rPr>
                              <w:t>E</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various</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134</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59</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121</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0.61</w:t>
                            </w:r>
                          </w:p>
                        </w:tc>
                      </w:tr>
                      <w:tr w:rsidR="00CD1B4A" w:rsidRPr="009B347F" w:rsidTr="00592B8A">
                        <w:tc>
                          <w:tcPr>
                            <w:tcW w:w="1134"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Meng</w:t>
                            </w:r>
                            <w:proofErr w:type="spellEnd"/>
                            <w:r w:rsidRPr="009B347F">
                              <w:rPr>
                                <w:rFonts w:ascii="Arial" w:eastAsia="Arial" w:hAnsi="Arial" w:cs="Arial"/>
                                <w:sz w:val="16"/>
                                <w:szCs w:val="16"/>
                              </w:rPr>
                              <w:t xml:space="preserve"> et al. (2013)</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c</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98</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409</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0.16</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Zhao et al. (2020)</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d</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E. coli</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sidRPr="00E054F1">
                              <w:rPr>
                                <w:rFonts w:ascii="Arial" w:eastAsia="Arial" w:hAnsi="Arial" w:cs="Arial"/>
                                <w:sz w:val="16"/>
                                <w:szCs w:val="16"/>
                                <w:vertAlign w:val="superscript"/>
                              </w:rPr>
                              <w:t>70</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476</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3543</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289</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0.09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Gilman et al. (2019)</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e</w:t>
                            </w:r>
                          </w:p>
                        </w:tc>
                        <w:tc>
                          <w:tcPr>
                            <w:tcW w:w="1134" w:type="dxa"/>
                          </w:tcPr>
                          <w:p w:rsidR="00CD1B4A" w:rsidRPr="009B347F" w:rsidRDefault="00CD1B4A" w:rsidP="00592B8A">
                            <w:pPr>
                              <w:rPr>
                                <w:rFonts w:ascii="Arial" w:eastAsia="Arial" w:hAnsi="Arial" w:cs="Arial"/>
                                <w:i/>
                                <w:sz w:val="16"/>
                                <w:szCs w:val="16"/>
                              </w:rPr>
                            </w:pPr>
                            <w:r w:rsidRPr="009B347F">
                              <w:rPr>
                                <w:rFonts w:ascii="Arial" w:eastAsia="Arial" w:hAnsi="Arial" w:cs="Arial"/>
                                <w:i/>
                                <w:sz w:val="16"/>
                                <w:szCs w:val="16"/>
                              </w:rPr>
                              <w:t>G. therm</w:t>
                            </w:r>
                            <w:r>
                              <w:rPr>
                                <w:rFonts w:ascii="Arial" w:eastAsia="Arial" w:hAnsi="Arial" w:cs="Arial"/>
                                <w:i/>
                                <w:sz w:val="16"/>
                                <w:szCs w:val="16"/>
                              </w:rPr>
                              <w:t>.</w:t>
                            </w:r>
                          </w:p>
                        </w:tc>
                        <w:tc>
                          <w:tcPr>
                            <w:tcW w:w="850"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N.A.</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138</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81</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397</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Gilman et al. (2019)</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F</w:t>
                            </w:r>
                          </w:p>
                        </w:tc>
                        <w:tc>
                          <w:tcPr>
                            <w:tcW w:w="1134" w:type="dxa"/>
                          </w:tcPr>
                          <w:p w:rsidR="00CD1B4A" w:rsidRPr="009B347F" w:rsidRDefault="00CD1B4A" w:rsidP="00592B8A">
                            <w:pPr>
                              <w:rPr>
                                <w:rFonts w:ascii="Arial" w:eastAsia="Arial" w:hAnsi="Arial" w:cs="Arial"/>
                                <w:sz w:val="16"/>
                                <w:szCs w:val="16"/>
                              </w:rPr>
                            </w:pPr>
                            <w:r w:rsidRPr="009B347F">
                              <w:rPr>
                                <w:rFonts w:ascii="Arial" w:eastAsia="Arial" w:hAnsi="Arial" w:cs="Arial"/>
                                <w:i/>
                                <w:sz w:val="16"/>
                                <w:szCs w:val="16"/>
                              </w:rPr>
                              <w:t>G. therm</w:t>
                            </w:r>
                            <w:r>
                              <w:rPr>
                                <w:rFonts w:ascii="Arial" w:eastAsia="Arial" w:hAnsi="Arial" w:cs="Arial"/>
                                <w:i/>
                                <w:sz w:val="16"/>
                                <w:szCs w:val="16"/>
                              </w:rPr>
                              <w:t>.</w:t>
                            </w:r>
                          </w:p>
                        </w:tc>
                        <w:tc>
                          <w:tcPr>
                            <w:tcW w:w="850"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N.A.</w:t>
                            </w:r>
                          </w:p>
                        </w:tc>
                        <w:tc>
                          <w:tcPr>
                            <w:tcW w:w="992" w:type="dxa"/>
                          </w:tcPr>
                          <w:p w:rsidR="00CD1B4A" w:rsidRPr="009B347F" w:rsidRDefault="00CD1B4A" w:rsidP="00CD1B4A">
                            <w:pPr>
                              <w:rPr>
                                <w:rFonts w:ascii="Arial" w:eastAsia="Arial" w:hAnsi="Arial" w:cs="Arial"/>
                                <w:sz w:val="16"/>
                                <w:szCs w:val="16"/>
                              </w:rPr>
                            </w:pPr>
                            <w:proofErr w:type="spellStart"/>
                            <w:r w:rsidRPr="009B347F">
                              <w:rPr>
                                <w:rFonts w:ascii="Arial" w:eastAsia="Arial" w:hAnsi="Arial" w:cs="Arial"/>
                                <w:sz w:val="16"/>
                                <w:szCs w:val="16"/>
                              </w:rPr>
                              <w:t>mOrange</w:t>
                            </w:r>
                            <w:proofErr w:type="spellEnd"/>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145</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81</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397</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0.69</w:t>
                            </w:r>
                          </w:p>
                        </w:tc>
                      </w:tr>
                      <w:tr w:rsidR="00CD1B4A" w:rsidRPr="009B347F" w:rsidTr="00592B8A">
                        <w:tc>
                          <w:tcPr>
                            <w:tcW w:w="1134"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Liu et al. (2018)</w:t>
                            </w:r>
                          </w:p>
                        </w:tc>
                        <w:tc>
                          <w:tcPr>
                            <w:tcW w:w="42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w:t>
                            </w:r>
                          </w:p>
                        </w:tc>
                        <w:tc>
                          <w:tcPr>
                            <w:tcW w:w="1134" w:type="dxa"/>
                          </w:tcPr>
                          <w:p w:rsidR="00CD1B4A" w:rsidRPr="009B347F" w:rsidRDefault="00CD1B4A" w:rsidP="00CD1B4A">
                            <w:pPr>
                              <w:rPr>
                                <w:rFonts w:ascii="Arial" w:eastAsia="Arial" w:hAnsi="Arial" w:cs="Arial"/>
                                <w:i/>
                                <w:sz w:val="16"/>
                                <w:szCs w:val="16"/>
                              </w:rPr>
                            </w:pPr>
                            <w:r w:rsidRPr="009B347F">
                              <w:rPr>
                                <w:rFonts w:ascii="Arial" w:eastAsia="Arial" w:hAnsi="Arial" w:cs="Arial"/>
                                <w:i/>
                                <w:sz w:val="16"/>
                                <w:szCs w:val="16"/>
                              </w:rPr>
                              <w:t>B. subtilis</w:t>
                            </w:r>
                          </w:p>
                        </w:tc>
                        <w:tc>
                          <w:tcPr>
                            <w:tcW w:w="850" w:type="dxa"/>
                          </w:tcPr>
                          <w:p w:rsidR="00CD1B4A" w:rsidRPr="009B347F" w:rsidRDefault="00CD1B4A" w:rsidP="00CD1B4A">
                            <w:pPr>
                              <w:rPr>
                                <w:rFonts w:ascii="Arial" w:eastAsia="Arial" w:hAnsi="Arial" w:cs="Arial"/>
                                <w:sz w:val="16"/>
                                <w:szCs w:val="16"/>
                              </w:rPr>
                            </w:pPr>
                            <w:r w:rsidRPr="00E054F1">
                              <w:rPr>
                                <w:rFonts w:ascii="Symbol" w:eastAsia="Arial" w:hAnsi="Symbol" w:cs="Arial"/>
                                <w:sz w:val="16"/>
                                <w:szCs w:val="16"/>
                              </w:rPr>
                              <w:t></w:t>
                            </w:r>
                            <w:r>
                              <w:rPr>
                                <w:rFonts w:ascii="Arial" w:eastAsia="Arial" w:hAnsi="Arial" w:cs="Arial"/>
                                <w:sz w:val="16"/>
                                <w:szCs w:val="16"/>
                                <w:vertAlign w:val="superscript"/>
                              </w:rPr>
                              <w:t>A</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GFP</w:t>
                            </w:r>
                          </w:p>
                        </w:tc>
                        <w:tc>
                          <w:tcPr>
                            <w:tcW w:w="993"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144</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206</w:t>
                            </w:r>
                          </w:p>
                        </w:tc>
                        <w:tc>
                          <w:tcPr>
                            <w:tcW w:w="992"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105</w:t>
                            </w:r>
                          </w:p>
                        </w:tc>
                        <w:tc>
                          <w:tcPr>
                            <w:tcW w:w="1276" w:type="dxa"/>
                          </w:tcPr>
                          <w:p w:rsidR="00CD1B4A" w:rsidRPr="009B347F" w:rsidRDefault="00CD1B4A" w:rsidP="00CD1B4A">
                            <w:pPr>
                              <w:rPr>
                                <w:rFonts w:ascii="Arial" w:eastAsia="Arial" w:hAnsi="Arial" w:cs="Arial"/>
                                <w:sz w:val="16"/>
                                <w:szCs w:val="16"/>
                              </w:rPr>
                            </w:pPr>
                            <w:r w:rsidRPr="009B347F">
                              <w:rPr>
                                <w:rFonts w:ascii="Arial" w:eastAsia="Arial" w:hAnsi="Arial" w:cs="Arial"/>
                                <w:sz w:val="16"/>
                                <w:szCs w:val="16"/>
                              </w:rPr>
                              <w:t>0.35</w:t>
                            </w:r>
                          </w:p>
                        </w:tc>
                      </w:tr>
                    </w:tbl>
                    <w:p w:rsidR="00CD1B4A" w:rsidRDefault="00CD1B4A" w:rsidP="00592B8A"/>
                  </w:txbxContent>
                </v:textbox>
                <w10:wrap type="topAndBottom" anchorx="margin" anchory="margin"/>
              </v:shape>
            </w:pict>
          </mc:Fallback>
        </mc:AlternateContent>
      </w:r>
      <w:r w:rsidRPr="3044033A">
        <w:rPr>
          <w:sz w:val="20"/>
          <w:szCs w:val="20"/>
        </w:rPr>
        <w:t>without detailed processing. For quality assessment, we generated three additionally data</w:t>
      </w:r>
      <w:r>
        <w:rPr>
          <w:sz w:val="20"/>
          <w:szCs w:val="20"/>
        </w:rPr>
        <w:t xml:space="preserve"> </w:t>
      </w:r>
      <w:r w:rsidRPr="3044033A">
        <w:rPr>
          <w:sz w:val="20"/>
          <w:szCs w:val="20"/>
        </w:rPr>
        <w:t xml:space="preserve">sets based on partitioned sequence regions from the </w:t>
      </w:r>
      <w:proofErr w:type="spellStart"/>
      <w:r w:rsidRPr="3044033A">
        <w:rPr>
          <w:sz w:val="20"/>
          <w:szCs w:val="20"/>
        </w:rPr>
        <w:t>Meng</w:t>
      </w:r>
      <w:proofErr w:type="spellEnd"/>
      <w:r w:rsidRPr="3044033A">
        <w:rPr>
          <w:sz w:val="20"/>
          <w:szCs w:val="20"/>
        </w:rPr>
        <w:t xml:space="preserve"> </w:t>
      </w:r>
      <w:r w:rsidRPr="00DC4A8A">
        <w:rPr>
          <w:i/>
          <w:sz w:val="20"/>
          <w:szCs w:val="20"/>
        </w:rPr>
        <w:t>et al.</w:t>
      </w:r>
      <w:r w:rsidRPr="3044033A">
        <w:rPr>
          <w:sz w:val="20"/>
          <w:szCs w:val="20"/>
        </w:rPr>
        <w:t xml:space="preserve"> </w:t>
      </w:r>
      <w:r>
        <w:rPr>
          <w:sz w:val="20"/>
          <w:szCs w:val="20"/>
        </w:rPr>
        <w:fldChar w:fldCharType="begin" w:fldLock="1"/>
      </w:r>
      <w:r>
        <w:rPr>
          <w:sz w:val="20"/>
          <w:szCs w:val="20"/>
        </w:rPr>
        <w:instrText>ADDIN CSL_CITATION {"citationItems":[{"id":"ITEM-1","itemData":{"DOI":"10.1371/journal.pone.0060288","ISSN":"1932-6203","abstract":"Accurate and controllable regulatory elements such as promoters and ribosome binding sites (RBSs) are indispensable tools to quantitatively regulate gene expression for rational pathway engineering. Therefore, de novo designing regulatory elements is brought back to the forefront of synthetic biology research. Here we developed a quantitative design method for regulatory elements based on strength prediction using artificial neural network (ANN). One hundred mutated Trc promoter &amp; RBS sequences, which were finely characterized with a strength distribution from 0 to 3.559 (relative to the strength of the original sequence which was defined as 1), were used for model training and test. A precise strength prediction model, NET90_19_576, was finally constructed with high regression correlation coefficients of 0.98 for both model training and test. Sixteen artificial elements were in silico designed using this model. All of them were proved to have good consistency between the measured strength and our desired strength. The functional reliability of the designed elements was validated in two different genetic contexts. The designed parts were successfully utilized to improve the expression of BmK1 peptide toxin and fine-tune deoxy-xylulose phosphate pathway in Escherichia coli. Our results demonstrate that the methodology based on ANN model can de novo and quantitatively design regulatory elements with desired strengths, which are of great importance for synthetic biology applications.","author":[{"dropping-particle":"","family":"Meng","given":"Hailin","non-dropping-particle":"","parse-names":false,"suffix":""},{"dropping-particle":"","family":"Wang","given":"Jianfeng","non-dropping-particle":"","parse-names":false,"suffix":""},{"dropping-particle":"","family":"Xiong","given":"Zhiqiang","non-dropping-particle":"","parse-names":false,"suffix":""},{"dropping-particle":"","family":"Xu","given":"Feng","non-dropping-particle":"","parse-names":false,"suffix":""},{"dropping-particle":"","family":"Zhao","given":"Guoping","non-dropping-particle":"","parse-names":false,"suffix":""},{"dropping-particle":"","family":"Wang","given":"Yong","non-dropping-particle":"","parse-names":false,"suffix":""}],"container-title":"PLoS ONE","editor":[{"dropping-particle":"","family":"Semsey","given":"Szabolcs","non-dropping-particle":"","parse-names":false,"suffix":""}],"id":"ITEM-1","issue":"4","issued":{"date-parts":[["2013","4","1"]]},"page":"e60288","publisher":"Public Library of Science","title":"Quantitative Design of Regulatory Elements Based on High-Precision Strength Prediction Using Artificial Neural Network","type":"article-journal","volume":"8"},"suppress-author":1,"uris":["http://www.mendeley.com/documents/?uuid=703bd0d6-4a22-3ad8-80b4-348741edc9ac"]}],"mendeley":{"formattedCitation":"(2013)","plainTextFormattedCitation":"(2013)","previouslyFormattedCitation":"(2013)"},"properties":{"noteIndex":0},"schema":"https://github.com/citation-style-language/schema/raw/master/csl-citation.json"}</w:instrText>
      </w:r>
      <w:r>
        <w:rPr>
          <w:sz w:val="20"/>
          <w:szCs w:val="20"/>
        </w:rPr>
        <w:fldChar w:fldCharType="separate"/>
      </w:r>
      <w:r w:rsidRPr="006B271A">
        <w:rPr>
          <w:noProof/>
          <w:sz w:val="20"/>
          <w:szCs w:val="20"/>
        </w:rPr>
        <w:t>(2013)</w:t>
      </w:r>
      <w:r>
        <w:rPr>
          <w:sz w:val="20"/>
          <w:szCs w:val="20"/>
        </w:rPr>
        <w:fldChar w:fldCharType="end"/>
      </w:r>
      <w:r>
        <w:rPr>
          <w:sz w:val="20"/>
          <w:szCs w:val="20"/>
        </w:rPr>
        <w:t xml:space="preserve"> </w:t>
      </w:r>
      <w:r w:rsidRPr="3044033A">
        <w:rPr>
          <w:sz w:val="20"/>
          <w:szCs w:val="20"/>
        </w:rPr>
        <w:t xml:space="preserve">and the Zhao </w:t>
      </w:r>
      <w:r w:rsidRPr="00DC4A8A">
        <w:rPr>
          <w:i/>
          <w:sz w:val="20"/>
          <w:szCs w:val="20"/>
        </w:rPr>
        <w:t>et al</w:t>
      </w:r>
      <w:r w:rsidRPr="3044033A">
        <w:rPr>
          <w:sz w:val="20"/>
          <w:szCs w:val="20"/>
        </w:rPr>
        <w:t>.</w:t>
      </w:r>
      <w:r>
        <w:rPr>
          <w:sz w:val="20"/>
          <w:szCs w:val="20"/>
        </w:rPr>
        <w:t xml:space="preserve"> </w:t>
      </w:r>
      <w:r>
        <w:rPr>
          <w:sz w:val="20"/>
          <w:szCs w:val="20"/>
        </w:rPr>
        <w:fldChar w:fldCharType="begin" w:fldLock="1"/>
      </w:r>
      <w:r>
        <w:rPr>
          <w:sz w:val="20"/>
          <w:szCs w:val="20"/>
        </w:rPr>
        <w:instrText>ADDIN CSL_CITATION {"citationItems":[{"id":"ITEM-1","itemData":{"DOI":"10.1101/2020.06.25.170365","abstract":"Promoters are one of the most critical regulatory elements controlling metabolic pathways. However, in recent years, researchers have simply perfected promoter strength, but ignored the relationship between the internal sequences and promoter strength. In this context, we constructed and characterized a mutant promoter library of Ptrc through dozens of mutation-construction-screening-characterization engineering cycles. After excluding invalid mutation sites, we established a synthetic promoter library, which consisted of 3665 different variants, displaying an intensity range of more than two orders of magnitude. The strongest variant was 1.52-fold stronger than a 1 mM isopropyl-β-D-thiogalactoside driven PT7 promoter. Our synthetic promoter library exhibited superior applicability when expressing different reporters, in both plasmids and the genome. Different machine learning models were built and optimized to explore relationships between the promoter sequences and transcriptional strength. Finally, our XgBoost model exhibited optimal performance, and we utilized this approach to precisely predict the strength of artificially designed promoter sequences. Our work provides a powerful platform that enables the predictable tuning of promoters to achieve the optimal transcriptional strength.Competing Interest StatementThe authors have declared no competing interest.","author":[{"dropping-particle":"","family":"Zhao","given":"Mei","non-dropping-particle":"","parse-names":false,"suffix":""},{"dropping-particle":"","family":"Zhou","given":"Shenghu","non-dropping-particle":"","parse-names":false,"suffix":""},{"dropping-particle":"","family":"Wu","given":"Longtao","non-dropping-particle":"","parse-names":false,"suffix":""},{"dropping-particle":"","family":"Deng","given":"Yu","non-dropping-particle":"","parse-names":false,"suffix":""}],"container-title":"bioRxiv","id":"ITEM-1","issued":{"date-parts":[["2020","1","1"]]},"page":"2020.06.25.170365","title":"Machine learning-based promoter strength prediction derived from a fine-tuned synthetic promoter library in &amp;lt;em&amp;gt;Escherichia coli&amp;lt;/em&amp;gt;","type":"article-journal"},"suppress-author":1,"uris":["http://www.mendeley.com/documents/?uuid=dbec943e-edfb-4e88-8a3a-3ab3a175784c"]}],"mendeley":{"formattedCitation":"(2020)","plainTextFormattedCitation":"(2020)","previouslyFormattedCitation":"(2020)"},"properties":{"noteIndex":0},"schema":"https://github.com/citation-style-language/schema/raw/master/csl-citation.json"}</w:instrText>
      </w:r>
      <w:r>
        <w:rPr>
          <w:sz w:val="20"/>
          <w:szCs w:val="20"/>
        </w:rPr>
        <w:fldChar w:fldCharType="separate"/>
      </w:r>
      <w:r w:rsidRPr="006B271A">
        <w:rPr>
          <w:noProof/>
          <w:sz w:val="20"/>
          <w:szCs w:val="20"/>
        </w:rPr>
        <w:t>(2020)</w:t>
      </w:r>
      <w:r>
        <w:rPr>
          <w:sz w:val="20"/>
          <w:szCs w:val="20"/>
        </w:rPr>
        <w:fldChar w:fldCharType="end"/>
      </w:r>
      <w:r w:rsidRPr="3044033A">
        <w:rPr>
          <w:sz w:val="20"/>
          <w:szCs w:val="20"/>
        </w:rPr>
        <w:t xml:space="preserve"> data</w:t>
      </w:r>
      <w:r>
        <w:rPr>
          <w:sz w:val="20"/>
          <w:szCs w:val="20"/>
        </w:rPr>
        <w:t xml:space="preserve"> sets</w:t>
      </w:r>
      <w:r w:rsidRPr="3044033A">
        <w:rPr>
          <w:sz w:val="20"/>
          <w:szCs w:val="20"/>
        </w:rPr>
        <w:t xml:space="preserve">. The original sequence from </w:t>
      </w:r>
      <w:proofErr w:type="spellStart"/>
      <w:r w:rsidRPr="3044033A">
        <w:rPr>
          <w:sz w:val="20"/>
          <w:szCs w:val="20"/>
        </w:rPr>
        <w:t>Meng</w:t>
      </w:r>
      <w:proofErr w:type="spellEnd"/>
      <w:r w:rsidRPr="3044033A">
        <w:rPr>
          <w:sz w:val="20"/>
          <w:szCs w:val="20"/>
        </w:rPr>
        <w:t xml:space="preserve"> </w:t>
      </w:r>
      <w:r w:rsidRPr="00DC4A8A">
        <w:rPr>
          <w:i/>
          <w:sz w:val="20"/>
          <w:szCs w:val="20"/>
        </w:rPr>
        <w:t>et al</w:t>
      </w:r>
      <w:r w:rsidRPr="3044033A">
        <w:rPr>
          <w:sz w:val="20"/>
          <w:szCs w:val="20"/>
        </w:rPr>
        <w:t>. (2013) is 224 nucleotides (</w:t>
      </w:r>
      <w:proofErr w:type="spellStart"/>
      <w:r w:rsidRPr="3044033A">
        <w:rPr>
          <w:sz w:val="20"/>
          <w:szCs w:val="20"/>
        </w:rPr>
        <w:t>nt</w:t>
      </w:r>
      <w:proofErr w:type="spellEnd"/>
      <w:r w:rsidRPr="3044033A">
        <w:rPr>
          <w:sz w:val="20"/>
          <w:szCs w:val="20"/>
        </w:rPr>
        <w:t xml:space="preserve">) long and we extracted the starting 40 </w:t>
      </w:r>
      <w:proofErr w:type="spellStart"/>
      <w:r w:rsidRPr="3044033A">
        <w:rPr>
          <w:sz w:val="20"/>
          <w:szCs w:val="20"/>
        </w:rPr>
        <w:t>nt</w:t>
      </w:r>
      <w:proofErr w:type="spellEnd"/>
      <w:r w:rsidRPr="3044033A">
        <w:rPr>
          <w:sz w:val="20"/>
          <w:szCs w:val="20"/>
        </w:rPr>
        <w:t xml:space="preserve"> (‘h’) and last 40 </w:t>
      </w:r>
      <w:proofErr w:type="spellStart"/>
      <w:r w:rsidRPr="3044033A">
        <w:rPr>
          <w:sz w:val="20"/>
          <w:szCs w:val="20"/>
        </w:rPr>
        <w:t>nt</w:t>
      </w:r>
      <w:proofErr w:type="spellEnd"/>
      <w:r w:rsidRPr="3044033A">
        <w:rPr>
          <w:sz w:val="20"/>
          <w:szCs w:val="20"/>
        </w:rPr>
        <w:t xml:space="preserve"> (‘</w:t>
      </w:r>
      <w:proofErr w:type="spellStart"/>
      <w:r w:rsidRPr="3044033A">
        <w:rPr>
          <w:sz w:val="20"/>
          <w:szCs w:val="20"/>
        </w:rPr>
        <w:t>i</w:t>
      </w:r>
      <w:proofErr w:type="spellEnd"/>
      <w:r w:rsidRPr="3044033A">
        <w:rPr>
          <w:sz w:val="20"/>
          <w:szCs w:val="20"/>
        </w:rPr>
        <w:t xml:space="preserve">’), assuming that few predictive positions are contained in the new sequences. Zhao </w:t>
      </w:r>
      <w:r w:rsidRPr="00DC4A8A">
        <w:rPr>
          <w:i/>
          <w:sz w:val="20"/>
          <w:szCs w:val="20"/>
        </w:rPr>
        <w:t>et al</w:t>
      </w:r>
      <w:r w:rsidRPr="3044033A">
        <w:rPr>
          <w:sz w:val="20"/>
          <w:szCs w:val="20"/>
        </w:rPr>
        <w:t xml:space="preserve">. (2020) tested 113 </w:t>
      </w:r>
      <w:proofErr w:type="spellStart"/>
      <w:r w:rsidRPr="3044033A">
        <w:rPr>
          <w:sz w:val="20"/>
          <w:szCs w:val="20"/>
        </w:rPr>
        <w:t>nt</w:t>
      </w:r>
      <w:proofErr w:type="spellEnd"/>
      <w:r w:rsidRPr="3044033A">
        <w:rPr>
          <w:sz w:val="20"/>
          <w:szCs w:val="20"/>
        </w:rPr>
        <w:t xml:space="preserve"> ranging from upstream regulating elements down to the coding sequence. </w:t>
      </w:r>
      <w:r>
        <w:rPr>
          <w:sz w:val="20"/>
          <w:szCs w:val="20"/>
        </w:rPr>
        <w:t>A</w:t>
      </w:r>
      <w:r w:rsidRPr="3044033A">
        <w:rPr>
          <w:sz w:val="20"/>
          <w:szCs w:val="20"/>
        </w:rPr>
        <w:t xml:space="preserve">gain the first 40 </w:t>
      </w:r>
      <w:proofErr w:type="spellStart"/>
      <w:r w:rsidRPr="3044033A">
        <w:rPr>
          <w:sz w:val="20"/>
          <w:szCs w:val="20"/>
        </w:rPr>
        <w:t>nt</w:t>
      </w:r>
      <w:proofErr w:type="spellEnd"/>
      <w:r w:rsidRPr="3044033A">
        <w:rPr>
          <w:sz w:val="20"/>
          <w:szCs w:val="20"/>
        </w:rPr>
        <w:t xml:space="preserve"> (‘k’) </w:t>
      </w:r>
      <w:r>
        <w:rPr>
          <w:sz w:val="20"/>
          <w:szCs w:val="20"/>
        </w:rPr>
        <w:t xml:space="preserve">were extracted, corresponding to </w:t>
      </w:r>
      <w:r w:rsidRPr="3044033A">
        <w:rPr>
          <w:sz w:val="20"/>
          <w:szCs w:val="20"/>
        </w:rPr>
        <w:t>the upstream regulating element.</w:t>
      </w:r>
    </w:p>
    <w:p w:rsidR="006E529C" w:rsidRPr="00EC6F32" w:rsidRDefault="006E529C" w:rsidP="00EC6F32">
      <w:pPr>
        <w:pStyle w:val="para-first"/>
        <w:spacing w:after="240" w:line="276" w:lineRule="auto"/>
        <w:ind w:firstLine="170"/>
        <w:rPr>
          <w:sz w:val="20"/>
          <w:szCs w:val="20"/>
        </w:rPr>
      </w:pPr>
      <w:r w:rsidRPr="001C6717">
        <w:rPr>
          <w:sz w:val="20"/>
          <w:szCs w:val="20"/>
        </w:rPr>
        <w:t>The predictions were generally weak even with large</w:t>
      </w:r>
      <w:r>
        <w:rPr>
          <w:sz w:val="20"/>
          <w:szCs w:val="20"/>
        </w:rPr>
        <w:t xml:space="preserve"> data sets</w:t>
      </w:r>
      <w:r w:rsidRPr="001C6717">
        <w:rPr>
          <w:sz w:val="20"/>
          <w:szCs w:val="20"/>
        </w:rPr>
        <w:t>. The best predictive quality was achieved by the promoter library with more than 3500 sequences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(A), library ‘d’). However, the high prediction quality is based on a low sequence diversity with 0.1 (see methods). The F1</w:t>
      </w:r>
      <w:r>
        <w:rPr>
          <w:sz w:val="20"/>
          <w:szCs w:val="20"/>
        </w:rPr>
        <w:t>-</w:t>
      </w:r>
      <w:r w:rsidRPr="001C6717">
        <w:rPr>
          <w:sz w:val="20"/>
          <w:szCs w:val="20"/>
        </w:rPr>
        <w:t>score is independent of the number of tested input features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xml:space="preserve"> (A)). It is important to judge the stability of the predictions via cross validation as determined with the coefficient of variation of the weighted F1</w:t>
      </w:r>
      <w:r>
        <w:rPr>
          <w:sz w:val="20"/>
          <w:szCs w:val="20"/>
        </w:rPr>
        <w:t>-</w:t>
      </w:r>
      <w:r w:rsidRPr="001C6717">
        <w:rPr>
          <w:sz w:val="20"/>
          <w:szCs w:val="20"/>
        </w:rPr>
        <w:t>score (F1-CoV). The training sample size has a hyperbolic decreasing effect on the F1</w:t>
      </w:r>
      <w:r>
        <w:rPr>
          <w:sz w:val="20"/>
          <w:szCs w:val="20"/>
        </w:rPr>
        <w:t>-</w:t>
      </w:r>
      <w:r w:rsidRPr="001C6717">
        <w:rPr>
          <w:sz w:val="20"/>
          <w:szCs w:val="20"/>
        </w:rPr>
        <w:t>CoV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xml:space="preserve"> (C)): below 500 samples the F1</w:t>
      </w:r>
      <w:r>
        <w:rPr>
          <w:sz w:val="20"/>
          <w:szCs w:val="20"/>
        </w:rPr>
        <w:t>-</w:t>
      </w:r>
      <w:r w:rsidRPr="001C6717">
        <w:rPr>
          <w:sz w:val="20"/>
          <w:szCs w:val="20"/>
        </w:rPr>
        <w:t>score depends on sample composition and is predicted unreliably (‘a’, ‘b’, ‘c’ and ‘e’, ‘f’, ‘g’). As expected, the higher the sequence diversity, the more variable was the F1</w:t>
      </w:r>
      <w:r>
        <w:rPr>
          <w:sz w:val="20"/>
          <w:szCs w:val="20"/>
        </w:rPr>
        <w:t>-</w:t>
      </w:r>
      <w:r w:rsidRPr="001C6717">
        <w:rPr>
          <w:sz w:val="20"/>
          <w:szCs w:val="20"/>
        </w:rPr>
        <w:t>score, again strongly depending on sample composition (‘b’ and ‘e’, ‘f’)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xml:space="preserve"> (D)). Libraries ‘a’ and ‘c’ display a notable position with a high F1</w:t>
      </w:r>
      <w:r>
        <w:rPr>
          <w:sz w:val="20"/>
          <w:szCs w:val="20"/>
        </w:rPr>
        <w:t>-</w:t>
      </w:r>
      <w:r w:rsidRPr="001C6717">
        <w:rPr>
          <w:sz w:val="20"/>
          <w:szCs w:val="20"/>
        </w:rPr>
        <w:t xml:space="preserve">CoV despite low sequence diversity, caused by low promoter library size. An important information is the feature importance that informs about critical drivers of expression.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xml:space="preserve"> (B) indicates how the number of features affects the sum of the three top important features derived from the RF. The top-three feature importance sum decreases linearly with increasing numbers of features.</w:t>
      </w:r>
    </w:p>
    <w:p w:rsidR="00D354A6" w:rsidRPr="001C6717" w:rsidRDefault="006E529C" w:rsidP="00EC6F32">
      <w:pPr>
        <w:pStyle w:val="para-first"/>
        <w:spacing w:line="276" w:lineRule="auto"/>
        <w:ind w:firstLine="170"/>
        <w:rPr>
          <w:sz w:val="20"/>
          <w:szCs w:val="20"/>
        </w:rPr>
      </w:pPr>
      <w:r w:rsidRPr="001C6717">
        <w:rPr>
          <w:sz w:val="20"/>
          <w:szCs w:val="20"/>
        </w:rPr>
        <w:t xml:space="preserve">We were interested to examine how the performance is affected when subsequences were extracted from libraries. We chose the libraries from </w:t>
      </w:r>
      <w:proofErr w:type="spellStart"/>
      <w:r w:rsidRPr="001C6717">
        <w:rPr>
          <w:sz w:val="20"/>
          <w:szCs w:val="20"/>
        </w:rPr>
        <w:t>Meng</w:t>
      </w:r>
      <w:proofErr w:type="spellEnd"/>
      <w:r w:rsidRPr="001C6717">
        <w:rPr>
          <w:sz w:val="20"/>
          <w:szCs w:val="20"/>
        </w:rPr>
        <w:t xml:space="preserve"> </w:t>
      </w:r>
      <w:r w:rsidRPr="00206756">
        <w:rPr>
          <w:i/>
          <w:sz w:val="20"/>
          <w:szCs w:val="20"/>
        </w:rPr>
        <w:t>et al.</w:t>
      </w:r>
      <w:r w:rsidRPr="001C6717">
        <w:rPr>
          <w:sz w:val="20"/>
          <w:szCs w:val="20"/>
        </w:rPr>
        <w:t xml:space="preserve"> (2013) and Zhao </w:t>
      </w:r>
      <w:r w:rsidRPr="00206756">
        <w:rPr>
          <w:i/>
          <w:sz w:val="20"/>
          <w:szCs w:val="20"/>
        </w:rPr>
        <w:t>et al</w:t>
      </w:r>
      <w:r w:rsidRPr="001C6717">
        <w:rPr>
          <w:sz w:val="20"/>
          <w:szCs w:val="20"/>
        </w:rPr>
        <w:t>. (2020) because they report high feature number with low sequence diversity. The starting (‘h’) and ending (‘</w:t>
      </w:r>
      <w:proofErr w:type="spellStart"/>
      <w:r w:rsidRPr="001C6717">
        <w:rPr>
          <w:sz w:val="20"/>
          <w:szCs w:val="20"/>
        </w:rPr>
        <w:t>i</w:t>
      </w:r>
      <w:proofErr w:type="spellEnd"/>
      <w:r w:rsidRPr="001C6717">
        <w:rPr>
          <w:sz w:val="20"/>
          <w:szCs w:val="20"/>
        </w:rPr>
        <w:t xml:space="preserve">’) 40 </w:t>
      </w:r>
      <w:proofErr w:type="spellStart"/>
      <w:r w:rsidRPr="001C6717">
        <w:rPr>
          <w:sz w:val="20"/>
          <w:szCs w:val="20"/>
        </w:rPr>
        <w:t>nt</w:t>
      </w:r>
      <w:proofErr w:type="spellEnd"/>
      <w:r w:rsidRPr="001C6717">
        <w:rPr>
          <w:sz w:val="20"/>
          <w:szCs w:val="20"/>
        </w:rPr>
        <w:t xml:space="preserve"> were extracted from the promoter sequence in </w:t>
      </w:r>
      <w:proofErr w:type="spellStart"/>
      <w:r w:rsidRPr="001C6717">
        <w:rPr>
          <w:sz w:val="20"/>
          <w:szCs w:val="20"/>
        </w:rPr>
        <w:t>Meng</w:t>
      </w:r>
      <w:proofErr w:type="spellEnd"/>
      <w:r w:rsidRPr="001C6717">
        <w:rPr>
          <w:sz w:val="20"/>
          <w:szCs w:val="20"/>
        </w:rPr>
        <w:t xml:space="preserve"> </w:t>
      </w:r>
      <w:r w:rsidRPr="00206756">
        <w:rPr>
          <w:i/>
          <w:sz w:val="20"/>
          <w:szCs w:val="20"/>
        </w:rPr>
        <w:t>et al</w:t>
      </w:r>
      <w:r w:rsidRPr="001C6717">
        <w:rPr>
          <w:sz w:val="20"/>
          <w:szCs w:val="20"/>
        </w:rPr>
        <w:t xml:space="preserve">. (2013), which had low features with importance. The rational to use the starting 40 </w:t>
      </w:r>
      <w:proofErr w:type="spellStart"/>
      <w:r w:rsidRPr="001C6717">
        <w:rPr>
          <w:sz w:val="20"/>
          <w:szCs w:val="20"/>
        </w:rPr>
        <w:t>nt</w:t>
      </w:r>
      <w:proofErr w:type="spellEnd"/>
      <w:r w:rsidRPr="001C6717">
        <w:rPr>
          <w:sz w:val="20"/>
          <w:szCs w:val="20"/>
        </w:rPr>
        <w:t xml:space="preserve"> from Zhao </w:t>
      </w:r>
      <w:r w:rsidRPr="00206756">
        <w:rPr>
          <w:i/>
          <w:sz w:val="20"/>
          <w:szCs w:val="20"/>
        </w:rPr>
        <w:t>et al</w:t>
      </w:r>
      <w:r w:rsidRPr="001C6717">
        <w:rPr>
          <w:sz w:val="20"/>
          <w:szCs w:val="20"/>
        </w:rPr>
        <w:t xml:space="preserve">. (2020) (‘k’) is that they contained the upstream promoting element. The sequence extraction reduces the sample size because more redundant sequences are generated, and sequence diversity increased because nucleotide diversity covers a shorter sequence. </w:t>
      </w:r>
      <w:r w:rsidR="00F16E8D">
        <w:rPr>
          <w:sz w:val="20"/>
          <w:szCs w:val="20"/>
        </w:rPr>
        <w:fldChar w:fldCharType="begin"/>
      </w:r>
      <w:r w:rsidR="00F16E8D">
        <w:rPr>
          <w:sz w:val="20"/>
          <w:szCs w:val="20"/>
        </w:rPr>
        <w:instrText xml:space="preserve"> REF _Ref58869600 \h </w:instrText>
      </w:r>
      <w:r w:rsidR="00F16E8D">
        <w:rPr>
          <w:sz w:val="20"/>
          <w:szCs w:val="20"/>
        </w:rPr>
      </w:r>
      <w:r w:rsidR="00F16E8D">
        <w:rPr>
          <w:sz w:val="20"/>
          <w:szCs w:val="20"/>
        </w:rPr>
        <w:fldChar w:fldCharType="separate"/>
      </w:r>
      <w:r w:rsidR="00397734">
        <w:t xml:space="preserve">Figure </w:t>
      </w:r>
      <w:r w:rsidR="00397734">
        <w:rPr>
          <w:noProof/>
        </w:rPr>
        <w:t>3</w:t>
      </w:r>
      <w:r w:rsidR="00F16E8D">
        <w:rPr>
          <w:sz w:val="20"/>
          <w:szCs w:val="20"/>
        </w:rPr>
        <w:fldChar w:fldCharType="end"/>
      </w:r>
      <w:r w:rsidR="00F16E8D">
        <w:rPr>
          <w:sz w:val="20"/>
          <w:szCs w:val="20"/>
        </w:rPr>
        <w:t xml:space="preserve"> </w:t>
      </w:r>
      <w:r w:rsidRPr="001C6717">
        <w:rPr>
          <w:sz w:val="20"/>
          <w:szCs w:val="20"/>
        </w:rPr>
        <w:t xml:space="preserve">shows that the partitioned dataset ‘k’ (from Zhao </w:t>
      </w:r>
      <w:r w:rsidRPr="00206756">
        <w:rPr>
          <w:i/>
          <w:sz w:val="20"/>
          <w:szCs w:val="20"/>
        </w:rPr>
        <w:t>et al</w:t>
      </w:r>
      <w:r w:rsidRPr="001C6717">
        <w:rPr>
          <w:sz w:val="20"/>
          <w:szCs w:val="20"/>
        </w:rPr>
        <w:t>. (2020)) maintained the quality of prediction from the original dataset: the F1</w:t>
      </w:r>
      <w:r>
        <w:rPr>
          <w:sz w:val="20"/>
          <w:szCs w:val="20"/>
        </w:rPr>
        <w:t>-</w:t>
      </w:r>
      <w:r w:rsidRPr="001C6717">
        <w:rPr>
          <w:sz w:val="20"/>
          <w:szCs w:val="20"/>
        </w:rPr>
        <w:t xml:space="preserve">CoV and top three feature contribution increased proportionally to the original data (B, C and D). This proportional movement was not </w:t>
      </w:r>
      <w:r w:rsidR="001C3A58">
        <w:rPr>
          <w:sz w:val="20"/>
          <w:szCs w:val="20"/>
        </w:rPr>
        <w:t>displayed</w:t>
      </w:r>
      <w:r w:rsidRPr="001C6717">
        <w:rPr>
          <w:sz w:val="20"/>
          <w:szCs w:val="20"/>
        </w:rPr>
        <w:t xml:space="preserve"> </w:t>
      </w:r>
      <w:r w:rsidR="001C3A58">
        <w:rPr>
          <w:sz w:val="20"/>
          <w:szCs w:val="20"/>
        </w:rPr>
        <w:t xml:space="preserve">by </w:t>
      </w:r>
      <w:r w:rsidRPr="001C6717">
        <w:rPr>
          <w:sz w:val="20"/>
          <w:szCs w:val="20"/>
        </w:rPr>
        <w:t>the extracted sequences (‘h’, ‘</w:t>
      </w:r>
      <w:proofErr w:type="spellStart"/>
      <w:r w:rsidRPr="001C6717">
        <w:rPr>
          <w:sz w:val="20"/>
          <w:szCs w:val="20"/>
        </w:rPr>
        <w:t>i</w:t>
      </w:r>
      <w:proofErr w:type="spellEnd"/>
      <w:r w:rsidRPr="001C6717">
        <w:rPr>
          <w:sz w:val="20"/>
          <w:szCs w:val="20"/>
        </w:rPr>
        <w:t xml:space="preserve">’) from </w:t>
      </w:r>
      <w:proofErr w:type="spellStart"/>
      <w:r w:rsidRPr="001C6717">
        <w:rPr>
          <w:sz w:val="20"/>
          <w:szCs w:val="20"/>
        </w:rPr>
        <w:t>Meng</w:t>
      </w:r>
      <w:proofErr w:type="spellEnd"/>
      <w:r w:rsidRPr="001C6717">
        <w:rPr>
          <w:sz w:val="20"/>
          <w:szCs w:val="20"/>
        </w:rPr>
        <w:t xml:space="preserve"> </w:t>
      </w:r>
      <w:r w:rsidRPr="00206756">
        <w:rPr>
          <w:i/>
          <w:sz w:val="20"/>
          <w:szCs w:val="20"/>
        </w:rPr>
        <w:t>et al</w:t>
      </w:r>
      <w:r w:rsidRPr="001C6717">
        <w:rPr>
          <w:sz w:val="20"/>
          <w:szCs w:val="20"/>
        </w:rPr>
        <w:t xml:space="preserve">. (2013). Thus, sequence position impacting expression were identified in the upstream regulating elements of Zhao </w:t>
      </w:r>
      <w:r w:rsidRPr="00206756">
        <w:rPr>
          <w:i/>
          <w:sz w:val="20"/>
          <w:szCs w:val="20"/>
        </w:rPr>
        <w:t>et al</w:t>
      </w:r>
      <w:r w:rsidRPr="001C6717">
        <w:rPr>
          <w:sz w:val="20"/>
          <w:szCs w:val="20"/>
        </w:rPr>
        <w:t xml:space="preserve">. (2020), but not in the first and last 40 </w:t>
      </w:r>
      <w:proofErr w:type="spellStart"/>
      <w:r w:rsidRPr="001C6717">
        <w:rPr>
          <w:sz w:val="20"/>
          <w:szCs w:val="20"/>
        </w:rPr>
        <w:t>nt</w:t>
      </w:r>
      <w:proofErr w:type="spellEnd"/>
      <w:r w:rsidRPr="001C6717">
        <w:rPr>
          <w:sz w:val="20"/>
          <w:szCs w:val="20"/>
        </w:rPr>
        <w:t xml:space="preserve"> of the sequences of </w:t>
      </w:r>
      <w:proofErr w:type="spellStart"/>
      <w:r w:rsidRPr="001C6717">
        <w:rPr>
          <w:sz w:val="20"/>
          <w:szCs w:val="20"/>
        </w:rPr>
        <w:t>Meng</w:t>
      </w:r>
      <w:proofErr w:type="spellEnd"/>
      <w:r w:rsidRPr="001C6717">
        <w:rPr>
          <w:sz w:val="20"/>
          <w:szCs w:val="20"/>
        </w:rPr>
        <w:t xml:space="preserve"> </w:t>
      </w:r>
      <w:r w:rsidRPr="00206756">
        <w:rPr>
          <w:i/>
          <w:sz w:val="20"/>
          <w:szCs w:val="20"/>
        </w:rPr>
        <w:t>et al</w:t>
      </w:r>
      <w:r w:rsidRPr="001C6717">
        <w:rPr>
          <w:sz w:val="20"/>
          <w:szCs w:val="20"/>
        </w:rPr>
        <w:t>. (2013). The examined libraries form a triangle in prediction reproducibility versus sequence diversity graph (</w:t>
      </w:r>
      <w:r w:rsidR="00F16E8D">
        <w:rPr>
          <w:sz w:val="20"/>
          <w:szCs w:val="20"/>
        </w:rPr>
        <w:fldChar w:fldCharType="begin"/>
      </w:r>
      <w:r w:rsidR="00F16E8D">
        <w:rPr>
          <w:sz w:val="20"/>
          <w:szCs w:val="20"/>
        </w:rPr>
        <w:instrText xml:space="preserve"> REF _Ref58869600 \h </w:instrText>
      </w:r>
      <w:r w:rsidR="00F16E8D">
        <w:rPr>
          <w:sz w:val="20"/>
          <w:szCs w:val="20"/>
        </w:rPr>
      </w:r>
      <w:r w:rsidR="001C3A58">
        <w:rPr>
          <w:sz w:val="20"/>
          <w:szCs w:val="20"/>
        </w:rPr>
        <w:instrText xml:space="preserve"> \* MERGEFORMAT </w:instrText>
      </w:r>
      <w:r w:rsidR="00F16E8D">
        <w:rPr>
          <w:sz w:val="20"/>
          <w:szCs w:val="20"/>
        </w:rPr>
        <w:fldChar w:fldCharType="separate"/>
      </w:r>
      <w:r w:rsidR="00397734" w:rsidRPr="00397734">
        <w:rPr>
          <w:sz w:val="20"/>
          <w:szCs w:val="20"/>
        </w:rPr>
        <w:t>Figure 3</w:t>
      </w:r>
      <w:r w:rsidR="00F16E8D">
        <w:rPr>
          <w:sz w:val="20"/>
          <w:szCs w:val="20"/>
        </w:rPr>
        <w:fldChar w:fldCharType="end"/>
      </w:r>
      <w:r w:rsidRPr="001C6717">
        <w:rPr>
          <w:sz w:val="20"/>
          <w:szCs w:val="20"/>
        </w:rPr>
        <w:t xml:space="preserve"> (C)): increase of sequence diversity directly reduced prediction reproducibility, unless the sample size was critically reduced (data sets ‘</w:t>
      </w:r>
      <w:proofErr w:type="spellStart"/>
      <w:r w:rsidRPr="001C6717">
        <w:rPr>
          <w:sz w:val="20"/>
          <w:szCs w:val="20"/>
        </w:rPr>
        <w:t>a’+’c</w:t>
      </w:r>
      <w:proofErr w:type="spellEnd"/>
      <w:r w:rsidRPr="001C6717">
        <w:rPr>
          <w:sz w:val="20"/>
          <w:szCs w:val="20"/>
        </w:rPr>
        <w:t xml:space="preserve">’). We estimated the critical data set </w:t>
      </w:r>
      <w:r w:rsidRPr="001C6717">
        <w:rPr>
          <w:sz w:val="20"/>
          <w:szCs w:val="20"/>
        </w:rPr>
        <w:lastRenderedPageBreak/>
        <w:t xml:space="preserve">size based on the synthetic data set ‘k’: with 800 samples on a </w:t>
      </w:r>
      <w:r w:rsidR="00D354A6">
        <w:rPr>
          <w:noProof/>
          <w:lang w:val="de-DE" w:eastAsia="de-DE"/>
        </w:rPr>
        <mc:AlternateContent>
          <mc:Choice Requires="wps">
            <w:drawing>
              <wp:anchor distT="45720" distB="45720" distL="114300" distR="114300" simplePos="0" relativeHeight="251671552" behindDoc="0" locked="0" layoutInCell="1" allowOverlap="1" wp14:anchorId="7CA97A93" wp14:editId="0CD046F3">
                <wp:simplePos x="0" y="0"/>
                <wp:positionH relativeFrom="margin">
                  <wp:posOffset>-635</wp:posOffset>
                </wp:positionH>
                <wp:positionV relativeFrom="paragraph">
                  <wp:posOffset>0</wp:posOffset>
                </wp:positionV>
                <wp:extent cx="6167120" cy="51130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120" cy="5113020"/>
                        </a:xfrm>
                        <a:prstGeom prst="rect">
                          <a:avLst/>
                        </a:prstGeom>
                        <a:solidFill>
                          <a:srgbClr val="FFFFFF"/>
                        </a:solidFill>
                        <a:ln w="9525">
                          <a:noFill/>
                          <a:miter lim="800000"/>
                          <a:headEnd/>
                          <a:tailEnd/>
                        </a:ln>
                      </wps:spPr>
                      <wps:txbx>
                        <w:txbxContent>
                          <w:p w:rsidR="00CD1B4A" w:rsidRDefault="00CD1B4A" w:rsidP="00D354A6">
                            <w:pPr>
                              <w:keepNext/>
                              <w:jc w:val="center"/>
                            </w:pPr>
                            <w:r>
                              <w:rPr>
                                <w:noProof/>
                              </w:rPr>
                              <w:drawing>
                                <wp:inline distT="0" distB="0" distL="0" distR="0" wp14:anchorId="767BB00C" wp14:editId="021DB3E0">
                                  <wp:extent cx="5693434" cy="4171511"/>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nalysisLibraries.png"/>
                                          <pic:cNvPicPr/>
                                        </pic:nvPicPr>
                                        <pic:blipFill>
                                          <a:blip r:embed="rId14">
                                            <a:extLst>
                                              <a:ext uri="{28A0092B-C50C-407E-A947-70E740481C1C}">
                                                <a14:useLocalDpi xmlns:a14="http://schemas.microsoft.com/office/drawing/2010/main" val="0"/>
                                              </a:ext>
                                            </a:extLst>
                                          </a:blip>
                                          <a:stretch>
                                            <a:fillRect/>
                                          </a:stretch>
                                        </pic:blipFill>
                                        <pic:spPr>
                                          <a:xfrm>
                                            <a:off x="0" y="0"/>
                                            <a:ext cx="5703779" cy="4179090"/>
                                          </a:xfrm>
                                          <a:prstGeom prst="rect">
                                            <a:avLst/>
                                          </a:prstGeom>
                                        </pic:spPr>
                                      </pic:pic>
                                    </a:graphicData>
                                  </a:graphic>
                                </wp:inline>
                              </w:drawing>
                            </w:r>
                          </w:p>
                          <w:p w:rsidR="00CD1B4A" w:rsidRPr="00D354A6" w:rsidRDefault="00CD1B4A" w:rsidP="00731172">
                            <w:pPr>
                              <w:pStyle w:val="Caption"/>
                              <w:rPr>
                                <w:lang w:val="en-GB"/>
                              </w:rPr>
                            </w:pPr>
                            <w:bookmarkStart w:id="8" w:name="_Ref58869600"/>
                            <w:r>
                              <w:t xml:space="preserve">Figure </w:t>
                            </w:r>
                            <w:r>
                              <w:fldChar w:fldCharType="begin"/>
                            </w:r>
                            <w:r>
                              <w:instrText xml:space="preserve"> SEQ Figure \* ARABIC </w:instrText>
                            </w:r>
                            <w:r>
                              <w:fldChar w:fldCharType="separate"/>
                            </w:r>
                            <w:r w:rsidR="00397734">
                              <w:rPr>
                                <w:noProof/>
                              </w:rPr>
                              <w:t>3</w:t>
                            </w:r>
                            <w:r>
                              <w:fldChar w:fldCharType="end"/>
                            </w:r>
                            <w:bookmarkEnd w:id="8"/>
                            <w:r>
                              <w:t>:Comparison of library properties on classification quality parameters for an estimation using RF. The estimations were performed on the training set of each library with 9:1 cross validation. The seven full length promote</w:t>
                            </w:r>
                            <w:r w:rsidR="001C3A58">
                              <w:t xml:space="preserve">r libraries are listed in </w:t>
                            </w:r>
                            <w:r w:rsidR="001C3A58">
                              <w:fldChar w:fldCharType="begin"/>
                            </w:r>
                            <w:r w:rsidR="001C3A58">
                              <w:instrText xml:space="preserve"> REF _Ref58869565 \h </w:instrText>
                            </w:r>
                            <w:r w:rsidR="001C3A58">
                              <w:instrText xml:space="preserve"> \* MERGEFORMAT </w:instrText>
                            </w:r>
                            <w:r w:rsidR="001C3A58">
                              <w:fldChar w:fldCharType="separate"/>
                            </w:r>
                            <w:r w:rsidR="00397734" w:rsidRPr="00397734">
                              <w:t>Table 2</w:t>
                            </w:r>
                            <w:r w:rsidR="001C3A58">
                              <w:fldChar w:fldCharType="end"/>
                            </w:r>
                            <w:r>
                              <w:t>. Moreover, sub-sequences of 40nt were extracted from the promoter start (‘h’) and end (‘</w:t>
                            </w:r>
                            <w:proofErr w:type="spellStart"/>
                            <w:r>
                              <w:t>i</w:t>
                            </w:r>
                            <w:proofErr w:type="spellEnd"/>
                            <w:r>
                              <w:t xml:space="preserve">’) of </w:t>
                            </w:r>
                            <w:proofErr w:type="spellStart"/>
                            <w:r>
                              <w:t>Meng</w:t>
                            </w:r>
                            <w:proofErr w:type="spellEnd"/>
                            <w:r>
                              <w:t xml:space="preserve"> et al. (2013) (‘c’) and start (‘k’) of Zhao et al. (2020) (‘d’). F1-score (A) and the sum of the top three features (B) in response to the feature number. The coefficient of variation of the F1-scores in response to sequence diversity (C), and number of training samples</w:t>
                            </w:r>
                            <w:r w:rsidR="001C3A58">
                              <w:t xml:space="preserve"> (D)</w:t>
                            </w:r>
                            <w:r>
                              <w:t>.</w:t>
                            </w:r>
                          </w:p>
                          <w:p w:rsidR="00CD1B4A" w:rsidRPr="00D354A6" w:rsidRDefault="00CD1B4A" w:rsidP="00D354A6">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97A93" id="_x0000_s1030" type="#_x0000_t202" style="position:absolute;left:0;text-align:left;margin-left:-.05pt;margin-top:0;width:485.6pt;height:402.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" stroked="f">
                <v:textbox>
                  <w:txbxContent>
                    <w:p w:rsidR="00CD1B4A" w:rsidRDefault="00CD1B4A" w:rsidP="00D354A6">
                      <w:pPr>
                        <w:keepNext/>
                        <w:jc w:val="center"/>
                      </w:pPr>
                      <w:r>
                        <w:rPr>
                          <w:noProof/>
                        </w:rPr>
                        <w:drawing>
                          <wp:inline distT="0" distB="0" distL="0" distR="0" wp14:anchorId="767BB00C" wp14:editId="021DB3E0">
                            <wp:extent cx="5693434" cy="4171511"/>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nalysisLibraries.png"/>
                                    <pic:cNvPicPr/>
                                  </pic:nvPicPr>
                                  <pic:blipFill>
                                    <a:blip r:embed="rId14">
                                      <a:extLst>
                                        <a:ext uri="{28A0092B-C50C-407E-A947-70E740481C1C}">
                                          <a14:useLocalDpi xmlns:a14="http://schemas.microsoft.com/office/drawing/2010/main" val="0"/>
                                        </a:ext>
                                      </a:extLst>
                                    </a:blip>
                                    <a:stretch>
                                      <a:fillRect/>
                                    </a:stretch>
                                  </pic:blipFill>
                                  <pic:spPr>
                                    <a:xfrm>
                                      <a:off x="0" y="0"/>
                                      <a:ext cx="5703779" cy="4179090"/>
                                    </a:xfrm>
                                    <a:prstGeom prst="rect">
                                      <a:avLst/>
                                    </a:prstGeom>
                                  </pic:spPr>
                                </pic:pic>
                              </a:graphicData>
                            </a:graphic>
                          </wp:inline>
                        </w:drawing>
                      </w:r>
                    </w:p>
                    <w:p w:rsidR="00CD1B4A" w:rsidRPr="00D354A6" w:rsidRDefault="00CD1B4A" w:rsidP="00731172">
                      <w:pPr>
                        <w:pStyle w:val="Caption"/>
                        <w:rPr>
                          <w:lang w:val="en-GB"/>
                        </w:rPr>
                      </w:pPr>
                      <w:bookmarkStart w:id="9" w:name="_Ref58869600"/>
                      <w:r>
                        <w:t xml:space="preserve">Figure </w:t>
                      </w:r>
                      <w:r>
                        <w:fldChar w:fldCharType="begin"/>
                      </w:r>
                      <w:r>
                        <w:instrText xml:space="preserve"> SEQ Figure \* ARABIC </w:instrText>
                      </w:r>
                      <w:r>
                        <w:fldChar w:fldCharType="separate"/>
                      </w:r>
                      <w:r w:rsidR="00397734">
                        <w:rPr>
                          <w:noProof/>
                        </w:rPr>
                        <w:t>3</w:t>
                      </w:r>
                      <w:r>
                        <w:fldChar w:fldCharType="end"/>
                      </w:r>
                      <w:bookmarkEnd w:id="9"/>
                      <w:r>
                        <w:t>:Comparison of library properties on classification quality parameters for an estimation using RF. The estimations were performed on the training set of each library with 9:1 cross validation. The seven full length promote</w:t>
                      </w:r>
                      <w:r w:rsidR="001C3A58">
                        <w:t xml:space="preserve">r libraries are listed in </w:t>
                      </w:r>
                      <w:r w:rsidR="001C3A58">
                        <w:fldChar w:fldCharType="begin"/>
                      </w:r>
                      <w:r w:rsidR="001C3A58">
                        <w:instrText xml:space="preserve"> REF _Ref58869565 \h </w:instrText>
                      </w:r>
                      <w:r w:rsidR="001C3A58">
                        <w:instrText xml:space="preserve"> \* MERGEFORMAT </w:instrText>
                      </w:r>
                      <w:r w:rsidR="001C3A58">
                        <w:fldChar w:fldCharType="separate"/>
                      </w:r>
                      <w:r w:rsidR="00397734" w:rsidRPr="00397734">
                        <w:t>Table 2</w:t>
                      </w:r>
                      <w:r w:rsidR="001C3A58">
                        <w:fldChar w:fldCharType="end"/>
                      </w:r>
                      <w:r>
                        <w:t>. Moreover, sub-sequences of 40nt were extracted from the promoter start (‘h’) and end (‘</w:t>
                      </w:r>
                      <w:proofErr w:type="spellStart"/>
                      <w:r>
                        <w:t>i</w:t>
                      </w:r>
                      <w:proofErr w:type="spellEnd"/>
                      <w:r>
                        <w:t xml:space="preserve">’) of </w:t>
                      </w:r>
                      <w:proofErr w:type="spellStart"/>
                      <w:r>
                        <w:t>Meng</w:t>
                      </w:r>
                      <w:proofErr w:type="spellEnd"/>
                      <w:r>
                        <w:t xml:space="preserve"> et al. (2013) (‘c’) and start (‘k’) of Zhao et al. (2020) (‘d’). F1-score (A) and the sum of the top three features (B) in response to the feature number. The coefficient of variation of the F1-scores in response to sequence diversity (C), and number of training samples</w:t>
                      </w:r>
                      <w:r w:rsidR="001C3A58">
                        <w:t xml:space="preserve"> (D)</w:t>
                      </w:r>
                      <w:r>
                        <w:t>.</w:t>
                      </w:r>
                    </w:p>
                    <w:p w:rsidR="00CD1B4A" w:rsidRPr="00D354A6" w:rsidRDefault="00CD1B4A" w:rsidP="00D354A6">
                      <w:pPr>
                        <w:rPr>
                          <w:lang w:val="en-GB"/>
                        </w:rPr>
                      </w:pPr>
                    </w:p>
                  </w:txbxContent>
                </v:textbox>
                <w10:wrap type="square" anchorx="margin"/>
              </v:shape>
            </w:pict>
          </mc:Fallback>
        </mc:AlternateContent>
      </w:r>
      <w:r w:rsidRPr="001C6717">
        <w:rPr>
          <w:sz w:val="20"/>
          <w:szCs w:val="20"/>
        </w:rPr>
        <w:t>diversity of 0.2, the sample size was still saturated, and the prediction reproducibility depended directly on the sequence diversity.</w:t>
      </w:r>
    </w:p>
    <w:p w:rsidR="006E529C" w:rsidRDefault="006E529C" w:rsidP="006E529C">
      <w:pPr>
        <w:pStyle w:val="Heading1"/>
      </w:pPr>
      <w:r>
        <w:t>Discussion and conclusion</w:t>
      </w:r>
    </w:p>
    <w:p w:rsidR="006E529C" w:rsidRPr="00EC6F32" w:rsidRDefault="006E529C" w:rsidP="00EC6F32">
      <w:pPr>
        <w:pStyle w:val="para-first"/>
        <w:spacing w:after="240" w:line="276" w:lineRule="auto"/>
        <w:rPr>
          <w:sz w:val="20"/>
          <w:szCs w:val="20"/>
        </w:rPr>
      </w:pPr>
      <w:r w:rsidRPr="3044033A">
        <w:rPr>
          <w:sz w:val="20"/>
          <w:szCs w:val="20"/>
        </w:rPr>
        <w:t xml:space="preserve">Synthetic promoter libraries are increasingly constructed to facilitate promoter selection with defined activities. The </w:t>
      </w:r>
      <w:r w:rsidRPr="3044033A">
        <w:rPr>
          <w:i/>
          <w:iCs/>
          <w:sz w:val="20"/>
          <w:szCs w:val="20"/>
        </w:rPr>
        <w:t xml:space="preserve">Exp2Ipynb </w:t>
      </w:r>
      <w:r w:rsidRPr="3044033A">
        <w:rPr>
          <w:sz w:val="20"/>
          <w:szCs w:val="20"/>
        </w:rPr>
        <w:t>workflow supports the analysis of promoter libraries to identify the sequence information that determines expression strength. The identification is based on statistical analysis of the average nucleotide-position associated expression</w:t>
      </w:r>
      <w:r w:rsidR="001C3A58">
        <w:rPr>
          <w:sz w:val="20"/>
          <w:szCs w:val="20"/>
        </w:rPr>
        <w:t>,</w:t>
      </w:r>
      <w:r w:rsidRPr="3044033A">
        <w:rPr>
          <w:sz w:val="20"/>
          <w:szCs w:val="20"/>
        </w:rPr>
        <w:t xml:space="preserve"> as well as the training of different machine learning algorithms. Moreover, the analysis of more complex libraries with multiple readouts, like two reporter proteins, transcript and protein level, or cross host expression can be analyzed. The tool facilitates data exploration by providing a workflow from data preparation, regressor training and performance evaluation</w:t>
      </w:r>
      <w:r>
        <w:rPr>
          <w:sz w:val="20"/>
          <w:szCs w:val="20"/>
        </w:rPr>
        <w:t>,</w:t>
      </w:r>
      <w:r w:rsidRPr="3044033A">
        <w:rPr>
          <w:sz w:val="20"/>
          <w:szCs w:val="20"/>
        </w:rPr>
        <w:t xml:space="preserve"> and testing of novel sequences within the </w:t>
      </w:r>
      <w:r>
        <w:rPr>
          <w:sz w:val="20"/>
          <w:szCs w:val="20"/>
        </w:rPr>
        <w:t xml:space="preserve">DNA sequence </w:t>
      </w:r>
      <w:r w:rsidRPr="3044033A">
        <w:rPr>
          <w:sz w:val="20"/>
          <w:szCs w:val="20"/>
        </w:rPr>
        <w:t xml:space="preserve">exploration space. The implementation in a Jupyter notebook facilitates rapid implementation and the low-level scripting allows for direct adaptation of </w:t>
      </w:r>
      <w:r w:rsidR="00EC6F32">
        <w:rPr>
          <w:sz w:val="20"/>
          <w:szCs w:val="20"/>
        </w:rPr>
        <w:t>the workflow to specific needs.</w:t>
      </w:r>
    </w:p>
    <w:p w:rsidR="006E529C" w:rsidRPr="00EC6F32" w:rsidRDefault="006E529C" w:rsidP="00EC6F32">
      <w:pPr>
        <w:pStyle w:val="para-first"/>
        <w:spacing w:after="240" w:line="276" w:lineRule="auto"/>
        <w:ind w:firstLine="170"/>
        <w:rPr>
          <w:sz w:val="20"/>
          <w:szCs w:val="20"/>
        </w:rPr>
      </w:pPr>
      <w:r w:rsidRPr="3044033A">
        <w:rPr>
          <w:sz w:val="20"/>
          <w:szCs w:val="20"/>
        </w:rPr>
        <w:t xml:space="preserve">We analyzed an expression library in </w:t>
      </w:r>
      <w:r w:rsidRPr="3044033A">
        <w:rPr>
          <w:i/>
          <w:iCs/>
          <w:sz w:val="20"/>
          <w:szCs w:val="20"/>
        </w:rPr>
        <w:t xml:space="preserve">P. putida </w:t>
      </w:r>
      <w:r w:rsidRPr="000E6973">
        <w:rPr>
          <w:sz w:val="20"/>
          <w:szCs w:val="20"/>
        </w:rPr>
        <w:t xml:space="preserve">KT2440 </w:t>
      </w:r>
      <w:r w:rsidRPr="3044033A">
        <w:rPr>
          <w:sz w:val="20"/>
          <w:szCs w:val="20"/>
        </w:rPr>
        <w:t>previously published (</w:t>
      </w:r>
      <w:proofErr w:type="spellStart"/>
      <w:r w:rsidRPr="3044033A">
        <w:rPr>
          <w:sz w:val="20"/>
          <w:szCs w:val="20"/>
        </w:rPr>
        <w:t>Köbbing</w:t>
      </w:r>
      <w:proofErr w:type="spellEnd"/>
      <w:r w:rsidRPr="3044033A">
        <w:rPr>
          <w:sz w:val="20"/>
          <w:szCs w:val="20"/>
        </w:rPr>
        <w:t xml:space="preserve"> et al., 2020) and amended with additional data points. The diver</w:t>
      </w:r>
      <w:r>
        <w:rPr>
          <w:sz w:val="20"/>
          <w:szCs w:val="20"/>
        </w:rPr>
        <w:t>sity was generated based on a o</w:t>
      </w:r>
      <w:r w:rsidRPr="3044033A">
        <w:rPr>
          <w:sz w:val="20"/>
          <w:szCs w:val="20"/>
        </w:rPr>
        <w:t>ne-</w:t>
      </w:r>
      <w:r>
        <w:rPr>
          <w:sz w:val="20"/>
          <w:szCs w:val="20"/>
        </w:rPr>
        <w:t>f</w:t>
      </w:r>
      <w:r w:rsidRPr="3044033A">
        <w:rPr>
          <w:sz w:val="20"/>
          <w:szCs w:val="20"/>
        </w:rPr>
        <w:t>actor</w:t>
      </w:r>
      <w:r>
        <w:rPr>
          <w:sz w:val="20"/>
          <w:szCs w:val="20"/>
        </w:rPr>
        <w:t>-at-a-t</w:t>
      </w:r>
      <w:r w:rsidRPr="3044033A">
        <w:rPr>
          <w:sz w:val="20"/>
          <w:szCs w:val="20"/>
        </w:rPr>
        <w:t>ime approach to economically identify nucleotide-sequence effects on expression (</w:t>
      </w:r>
      <w:proofErr w:type="spellStart"/>
      <w:r w:rsidRPr="3044033A">
        <w:rPr>
          <w:sz w:val="20"/>
          <w:szCs w:val="20"/>
        </w:rPr>
        <w:t>Czitrom</w:t>
      </w:r>
      <w:proofErr w:type="spellEnd"/>
      <w:r w:rsidRPr="3044033A">
        <w:rPr>
          <w:sz w:val="20"/>
          <w:szCs w:val="20"/>
        </w:rPr>
        <w:t>, 1999). The strong impact of the positions –35 and –34 and the lower impact of the last half of the -10 box (TA</w:t>
      </w:r>
      <w:r w:rsidRPr="3044033A">
        <w:rPr>
          <w:b/>
          <w:bCs/>
          <w:sz w:val="20"/>
          <w:szCs w:val="20"/>
        </w:rPr>
        <w:t>TAA</w:t>
      </w:r>
      <w:r w:rsidRPr="3044033A">
        <w:rPr>
          <w:sz w:val="20"/>
          <w:szCs w:val="20"/>
        </w:rPr>
        <w:t>T, -10, -9, -8) confirmed results in the original article (</w:t>
      </w:r>
      <w:proofErr w:type="spellStart"/>
      <w:r w:rsidRPr="3044033A">
        <w:rPr>
          <w:sz w:val="20"/>
          <w:szCs w:val="20"/>
        </w:rPr>
        <w:t>Köbbing</w:t>
      </w:r>
      <w:proofErr w:type="spellEnd"/>
      <w:r w:rsidRPr="3044033A">
        <w:rPr>
          <w:sz w:val="20"/>
          <w:szCs w:val="20"/>
        </w:rPr>
        <w:t xml:space="preserve"> et al., 2020, Figure 4). We could not reproduce the strong effect of the first part of the -10 box (T</w:t>
      </w:r>
      <w:r w:rsidRPr="3044033A">
        <w:rPr>
          <w:b/>
          <w:bCs/>
          <w:sz w:val="20"/>
          <w:szCs w:val="20"/>
        </w:rPr>
        <w:t>A</w:t>
      </w:r>
      <w:r w:rsidRPr="3044033A">
        <w:rPr>
          <w:sz w:val="20"/>
          <w:szCs w:val="20"/>
        </w:rPr>
        <w:t xml:space="preserve">TAAT, -11) because the position was sampled below the entropy cutoff and was neglected in the analysis. The ML analysis of low diversity and low sample size data sets did not add more information than a </w:t>
      </w:r>
      <w:r w:rsidRPr="3044033A">
        <w:rPr>
          <w:sz w:val="20"/>
          <w:szCs w:val="20"/>
        </w:rPr>
        <w:lastRenderedPageBreak/>
        <w:t>thorough statistical analysis. To identify the magnitude of diversity and sample size libraries necessary, we conducted a cross library analysis.</w:t>
      </w:r>
    </w:p>
    <w:p w:rsidR="00592B8A" w:rsidRPr="001C6717" w:rsidRDefault="006E529C" w:rsidP="00EC6F32">
      <w:pPr>
        <w:pStyle w:val="para-first"/>
        <w:spacing w:after="240" w:line="276" w:lineRule="auto"/>
        <w:ind w:firstLine="170"/>
        <w:rPr>
          <w:sz w:val="20"/>
          <w:szCs w:val="20"/>
        </w:rPr>
      </w:pPr>
      <w:r w:rsidRPr="3044033A">
        <w:rPr>
          <w:sz w:val="20"/>
          <w:szCs w:val="20"/>
        </w:rPr>
        <w:t>An important question for the ML-based analysis of expression libraries is: how much samples are necessary to achieve a targeted prediction uncertainty? We identified two factors that affect</w:t>
      </w:r>
      <w:r w:rsidR="001C3A58">
        <w:rPr>
          <w:sz w:val="20"/>
          <w:szCs w:val="20"/>
        </w:rPr>
        <w:t>ed</w:t>
      </w:r>
      <w:r w:rsidRPr="3044033A">
        <w:rPr>
          <w:sz w:val="20"/>
          <w:szCs w:val="20"/>
        </w:rPr>
        <w:t xml:space="preserve"> prediction uncertainty: sample size and sequence diversity. A higher sequence diversity requires more samples to reduce prediction uncertainty. Two libraries in the collection were limited by sample size (‘</w:t>
      </w:r>
      <w:proofErr w:type="spellStart"/>
      <w:r w:rsidRPr="3044033A">
        <w:rPr>
          <w:sz w:val="20"/>
          <w:szCs w:val="20"/>
        </w:rPr>
        <w:t>a’+’c</w:t>
      </w:r>
      <w:proofErr w:type="spellEnd"/>
      <w:r w:rsidRPr="3044033A">
        <w:rPr>
          <w:sz w:val="20"/>
          <w:szCs w:val="20"/>
        </w:rPr>
        <w:t>’) whereas five libraries were limited by sequence diversity (‘</w:t>
      </w:r>
      <w:proofErr w:type="spellStart"/>
      <w:r w:rsidRPr="3044033A">
        <w:rPr>
          <w:sz w:val="20"/>
          <w:szCs w:val="20"/>
        </w:rPr>
        <w:t>b’,’d’,’e’,’f</w:t>
      </w:r>
      <w:proofErr w:type="spellEnd"/>
      <w:r w:rsidRPr="3044033A">
        <w:rPr>
          <w:sz w:val="20"/>
          <w:szCs w:val="20"/>
        </w:rPr>
        <w:t xml:space="preserve">’). We found that 100 samples still resulted in a high uncertainty for sequences with an average of 20% nucleotide difference (‘a’, ‘c’), whereas 800 samples proved sufficient (‘k’). With higher nucleotide differences of 35%, 200 samples were insufficient to cover the diversity (‘g’). Other factors confounding the sequence diversity-sample size relation are effects from the heterogeneous reporter system (‘b’), or unknown sigma factor specificity (‘e’, ‘f’). More libraries are necessary to narrow the required sample size over the whole sequence diversity spectrum. Particularly libraries were missing with high sequence diversity and high sample size </w:t>
      </w:r>
      <w:r>
        <w:rPr>
          <w:sz w:val="20"/>
          <w:szCs w:val="20"/>
        </w:rPr>
        <w:fldChar w:fldCharType="begin" w:fldLock="1"/>
      </w:r>
      <w:r>
        <w:rPr>
          <w:sz w:val="20"/>
          <w:szCs w:val="20"/>
        </w:rPr>
        <w:instrText>ADDIN CSL_CITATION {"citationItems":[{"id":"ITEM-1","itemData":{"DOI":"10.1038/nbt.4238","ISSN":"1087-0156","abstract":"Comparative analyses of natural and mutated sequences have been used to probe mechanisms of gene expression, but small sample sizes may produce biased outcomes. We applied an unbiased design-of-experiments approach to disentangle factors suspected to affect translation efficiency in E. coli. We precisely designed 244,000 DNA sequences implementing 56 replicates of a full factorial design to evaluate nucleotide, secondary structure, codon and amino acid properties in combination. For each sequence, we measured reporter transcript abundance and decay, polysome profiles, protein production and growth rates. Associations between designed sequences properties and these consequent phenotypes were dominated by secondary structures and their interactions within transcripts. We confirmed that transcript structure generally limits translation initiation and demonstrated its physiological cost using an epigenetic assay. Codon composition has a sizable impact on translatability, but only in comparatively rare elongation-limited transcripts. We propose a set of design principles to improve translation efficiency that would benefit from more accurate prediction of secondary structures in vivo.","author":[{"dropping-particle":"","family":"Cambray","given":"Guillaume","non-dropping-particle":"","parse-names":false,"suffix":""},{"dropping-particle":"","family":"Guimaraes","given":"Joao C","non-dropping-particle":"","parse-names":false,"suffix":""},{"dropping-particle":"","family":"Arkin","given":"Adam Paul","non-dropping-particle":"","parse-names":false,"suffix":""}],"container-title":"Nature Biotechnology","id":"ITEM-1","issue":"10","issued":{"date-parts":[["2018","11","24"]]},"page":"1005-1015","publisher":"Nature Publishing Group","title":"Evaluation of 244,000 synthetic sequences reveals design principles to optimize translation in Escherichia coli","type":"article-journal","volume":"36"},"uris":["http://www.mendeley.com/documents/?uuid=f3796822-8c34-3245-b3af-2bc9d3ff2a5d"]},{"id":"ITEM-2","itemData":{"DOI":"10.1101/gr.224964.117","ISSN":"1088-9051","abstract":"Our ability to predict protein expression from DNA sequence alone remains poor, reflecting our limited understanding of cis-regulatory grammar and hampering the design of engineered genes for synthetic biology applications. Here, we generate a model that predicts the protein expression of the 5′ untranslated region (UTR) of mRNAs in the yeast Saccharomyces cerevisiae. We constructed a library of half a million 50-nucleotide-long random 5′ UTRs and assayed their activity in a massively parallel growth selection experiment. The resulting data allow us to quantify the impact on protein expression of Kozak sequence composition, upstream open reading frames (uORFs), and secondary structure. We trained a convolutional neural network (CNN) on the random library and showed that it performs well at predicting the protein expression of both a held-out set of the random 5′ UTRs as well as native S. cerevisiae 5′ UTRs. The model additionally was used to computationally evolve highly active 5′ UTRs. We confirmed experimentally that the great majority of the evolved sequences led to higher protein expression rates than the starting sequences, demonstrating the predictive power of this model.","author":[{"dropping-particle":"","family":"Cuperus","given":"Josh T","non-dropping-particle":"","parse-names":false,"suffix":""},{"dropping-particle":"","family":"Groves","given":"Benjamin","non-dropping-particle":"","parse-names":false,"suffix":""},{"dropping-particle":"","family":"Kuchina","given":"Anna","non-dropping-particle":"","parse-names":false,"suffix":""},{"dropping-particle":"","family":"Rosenberg","given":"Alexander B","non-dropping-particle":"","parse-names":false,"suffix":""},{"dropping-particle":"","family":"Jojic","given":"Nebojsa","non-dropping-particle":"","parse-names":false,"suffix":""},{"dropping-particle":"","family":"Fields","given":"Stanley","non-dropping-particle":"","parse-names":false,"suffix":""},{"dropping-particle":"","family":"Seelig","given":"Georg","non-dropping-particle":"","parse-names":false,"suffix":""}],"container-title":"Genome Research","id":"ITEM-2","issue":"12","issued":{"date-parts":[["2017","12"]]},"page":"2015-2024","publisher":"Cold Spring Harbor Lab","title":"Deep learning of the regulatory grammar of yeast 5′ untranslated regions from 500,000 random sequences","type":"article-journal","volume":"27"},"uris":["http://www.mendeley.com/documents/?uuid=52dbb332-f252-310f-81bd-66fa02011f49"]}],"mendeley":{"formattedCitation":"(Cambray &lt;i&gt;et al.&lt;/i&gt;, 2018; Cuperus &lt;i&gt;et al.&lt;/i&gt;, 2017)","plainTextFormattedCitation":"(Cambray et al., 2018; Cuperus et al., 2017)","previouslyFormattedCitation":"(Cambray &lt;i&gt;et al.&lt;/i&gt;, 2018; Cuperus &lt;i&gt;et al.&lt;/i&gt;, 2017)"},"properties":{"noteIndex":0},"schema":"https://github.com/citation-style-language/schema/raw/master/csl-citation.json"}</w:instrText>
      </w:r>
      <w:r>
        <w:rPr>
          <w:sz w:val="20"/>
          <w:szCs w:val="20"/>
        </w:rPr>
        <w:fldChar w:fldCharType="separate"/>
      </w:r>
      <w:r w:rsidRPr="006B271A">
        <w:rPr>
          <w:noProof/>
          <w:sz w:val="20"/>
          <w:szCs w:val="20"/>
        </w:rPr>
        <w:t xml:space="preserve">(Cambray </w:t>
      </w:r>
      <w:r w:rsidRPr="006B271A">
        <w:rPr>
          <w:i/>
          <w:noProof/>
          <w:sz w:val="20"/>
          <w:szCs w:val="20"/>
        </w:rPr>
        <w:t>et al.</w:t>
      </w:r>
      <w:r w:rsidRPr="006B271A">
        <w:rPr>
          <w:noProof/>
          <w:sz w:val="20"/>
          <w:szCs w:val="20"/>
        </w:rPr>
        <w:t xml:space="preserve">, 2018; Cuperus </w:t>
      </w:r>
      <w:r w:rsidRPr="006B271A">
        <w:rPr>
          <w:i/>
          <w:noProof/>
          <w:sz w:val="20"/>
          <w:szCs w:val="20"/>
        </w:rPr>
        <w:t>et al.</w:t>
      </w:r>
      <w:r w:rsidRPr="006B271A">
        <w:rPr>
          <w:noProof/>
          <w:sz w:val="20"/>
          <w:szCs w:val="20"/>
        </w:rPr>
        <w:t>, 2017)</w:t>
      </w:r>
      <w:r>
        <w:rPr>
          <w:sz w:val="20"/>
          <w:szCs w:val="20"/>
        </w:rPr>
        <w:fldChar w:fldCharType="end"/>
      </w:r>
      <w:r w:rsidRPr="3044033A">
        <w:rPr>
          <w:sz w:val="20"/>
          <w:szCs w:val="20"/>
        </w:rPr>
        <w:t>.</w:t>
      </w:r>
    </w:p>
    <w:p w:rsidR="006E529C" w:rsidRPr="00EC6F32" w:rsidRDefault="006E529C" w:rsidP="00EC6F32">
      <w:pPr>
        <w:pStyle w:val="para-first"/>
        <w:spacing w:after="240" w:line="276" w:lineRule="auto"/>
        <w:ind w:firstLine="170"/>
        <w:rPr>
          <w:sz w:val="20"/>
          <w:szCs w:val="20"/>
        </w:rPr>
      </w:pPr>
      <w:r w:rsidRPr="3044033A">
        <w:rPr>
          <w:sz w:val="20"/>
          <w:szCs w:val="20"/>
        </w:rPr>
        <w:t>The test sets had a low weighted F1</w:t>
      </w:r>
      <w:r>
        <w:rPr>
          <w:sz w:val="20"/>
          <w:szCs w:val="20"/>
        </w:rPr>
        <w:t>-</w:t>
      </w:r>
      <w:r w:rsidRPr="3044033A">
        <w:rPr>
          <w:sz w:val="20"/>
          <w:szCs w:val="20"/>
        </w:rPr>
        <w:t xml:space="preserve">score in the cross-validation prediction of the classification ML-estimator. The machine learning analysis approaches of the </w:t>
      </w:r>
      <w:r w:rsidR="001C3A58">
        <w:rPr>
          <w:sz w:val="20"/>
          <w:szCs w:val="20"/>
        </w:rPr>
        <w:t xml:space="preserve">published </w:t>
      </w:r>
      <w:r w:rsidRPr="3044033A">
        <w:rPr>
          <w:sz w:val="20"/>
          <w:szCs w:val="20"/>
        </w:rPr>
        <w:t xml:space="preserve">libraries used optimized train-test set partitions for evaluation and do not report prediction uncertainty based on cross validation. Gilman et al. calculate at a stronger correlation for their model, but </w:t>
      </w:r>
      <w:r w:rsidR="001C3A58">
        <w:rPr>
          <w:sz w:val="20"/>
          <w:szCs w:val="20"/>
        </w:rPr>
        <w:t xml:space="preserve">when the authors tested </w:t>
      </w:r>
      <w:r w:rsidRPr="3044033A">
        <w:rPr>
          <w:sz w:val="20"/>
          <w:szCs w:val="20"/>
        </w:rPr>
        <w:t>new data</w:t>
      </w:r>
      <w:r w:rsidR="001C3A58">
        <w:rPr>
          <w:sz w:val="20"/>
          <w:szCs w:val="20"/>
        </w:rPr>
        <w:t>, the</w:t>
      </w:r>
      <w:r w:rsidRPr="3044033A">
        <w:rPr>
          <w:sz w:val="20"/>
          <w:szCs w:val="20"/>
        </w:rPr>
        <w:t xml:space="preserve"> prediction qualities </w:t>
      </w:r>
      <w:r w:rsidR="001C3A58">
        <w:rPr>
          <w:sz w:val="20"/>
          <w:szCs w:val="20"/>
        </w:rPr>
        <w:t xml:space="preserve">were </w:t>
      </w:r>
      <w:r w:rsidRPr="3044033A">
        <w:rPr>
          <w:sz w:val="20"/>
          <w:szCs w:val="20"/>
        </w:rPr>
        <w:t>si</w:t>
      </w:r>
      <w:bookmarkStart w:id="10" w:name="_GoBack"/>
      <w:bookmarkEnd w:id="10"/>
      <w:r w:rsidRPr="3044033A">
        <w:rPr>
          <w:sz w:val="20"/>
          <w:szCs w:val="20"/>
        </w:rPr>
        <w:t xml:space="preserve">milar to those we observed. Also, the convolutional neural net trained with 500,000 sequences by </w:t>
      </w:r>
      <w:proofErr w:type="spellStart"/>
      <w:r w:rsidRPr="3044033A">
        <w:rPr>
          <w:sz w:val="20"/>
          <w:szCs w:val="20"/>
        </w:rPr>
        <w:t>Cuperus</w:t>
      </w:r>
      <w:proofErr w:type="spellEnd"/>
      <w:r w:rsidRPr="3044033A">
        <w:rPr>
          <w:sz w:val="20"/>
          <w:szCs w:val="20"/>
        </w:rPr>
        <w:t xml:space="preserve"> et al. </w:t>
      </w:r>
      <w:r>
        <w:rPr>
          <w:sz w:val="20"/>
          <w:szCs w:val="20"/>
        </w:rPr>
        <w:fldChar w:fldCharType="begin" w:fldLock="1"/>
      </w:r>
      <w:r>
        <w:rPr>
          <w:sz w:val="20"/>
          <w:szCs w:val="20"/>
        </w:rPr>
        <w:instrText>ADDIN CSL_CITATION {"citationItems":[{"id":"ITEM-1","itemData":{"DOI":"10.1101/gr.224964.117","ISSN":"1088-9051","abstract":"Our ability to predict protein expression from DNA sequence alone remains poor, reflecting our limited understanding of cis-regulatory grammar and hampering the design of engineered genes for synthetic biology applications. Here, we generate a model that predicts the protein expression of the 5′ untranslated region (UTR) of mRNAs in the yeast Saccharomyces cerevisiae. We constructed a library of half a million 50-nucleotide-long random 5′ UTRs and assayed their activity in a massively parallel growth selection experiment. The resulting data allow us to quantify the impact on protein expression of Kozak sequence composition, upstream open reading frames (uORFs), and secondary structure. We trained a convolutional neural network (CNN) on the random library and showed that it performs well at predicting the protein expression of both a held-out set of the random 5′ UTRs as well as native S. cerevisiae 5′ UTRs. The model additionally was used to computationally evolve highly active 5′ UTRs. We confirmed experimentally that the great majority of the evolved sequences led to higher protein expression rates than the starting sequences, demonstrating the predictive power of this model.","author":[{"dropping-particle":"","family":"Cuperus","given":"Josh T","non-dropping-particle":"","parse-names":false,"suffix":""},{"dropping-particle":"","family":"Groves","given":"Benjamin","non-dropping-particle":"","parse-names":false,"suffix":""},{"dropping-particle":"","family":"Kuchina","given":"Anna","non-dropping-particle":"","parse-names":false,"suffix":""},{"dropping-particle":"","family":"Rosenberg","given":"Alexander B","non-dropping-particle":"","parse-names":false,"suffix":""},{"dropping-particle":"","family":"Jojic","given":"Nebojsa","non-dropping-particle":"","parse-names":false,"suffix":""},{"dropping-particle":"","family":"Fields","given":"Stanley","non-dropping-particle":"","parse-names":false,"suffix":""},{"dropping-particle":"","family":"Seelig","given":"Georg","non-dropping-particle":"","parse-names":false,"suffix":""}],"container-title":"Genome Research","id":"ITEM-1","issue":"12","issued":{"date-parts":[["2017","12"]]},"page":"2015-2024","publisher":"Cold Spring Harbor Lab","title":"Deep learning of the regulatory grammar of yeast 5′ untranslated regions from 500,000 random sequences","type":"article-journal","volume":"27"},"suppress-author":1,"uris":["http://www.mendeley.com/documents/?uuid=52dbb332-f252-310f-81bd-66fa02011f49"]}],"mendeley":{"formattedCitation":"(2017)","plainTextFormattedCitation":"(2017)","previouslyFormattedCitation":"(2017)"},"properties":{"noteIndex":0},"schema":"https://github.com/citation-style-language/schema/raw/master/csl-citation.json"}</w:instrText>
      </w:r>
      <w:r>
        <w:rPr>
          <w:sz w:val="20"/>
          <w:szCs w:val="20"/>
        </w:rPr>
        <w:fldChar w:fldCharType="separate"/>
      </w:r>
      <w:r w:rsidRPr="006B271A">
        <w:rPr>
          <w:noProof/>
          <w:sz w:val="20"/>
          <w:szCs w:val="20"/>
        </w:rPr>
        <w:t>(2017)</w:t>
      </w:r>
      <w:r>
        <w:rPr>
          <w:sz w:val="20"/>
          <w:szCs w:val="20"/>
        </w:rPr>
        <w:fldChar w:fldCharType="end"/>
      </w:r>
      <w:r>
        <w:rPr>
          <w:sz w:val="20"/>
          <w:szCs w:val="20"/>
        </w:rPr>
        <w:t xml:space="preserve"> </w:t>
      </w:r>
      <w:r w:rsidRPr="3044033A">
        <w:rPr>
          <w:sz w:val="20"/>
          <w:szCs w:val="20"/>
        </w:rPr>
        <w:t xml:space="preserve">achieves </w:t>
      </w:r>
      <w:r w:rsidR="001C3A58">
        <w:rPr>
          <w:sz w:val="20"/>
          <w:szCs w:val="20"/>
        </w:rPr>
        <w:t xml:space="preserve">correlation coefficients </w:t>
      </w:r>
      <w:r w:rsidRPr="3044033A">
        <w:rPr>
          <w:sz w:val="20"/>
          <w:szCs w:val="20"/>
        </w:rPr>
        <w:t>of 0.62. The regulation of gene expression is controlled by multiple factors. Additional feature engineering can be used to increase predictability: GC-moving window, secondary structure for UTR. However, because gene expression relies on various mechanisms, there will be no single machine learning tool to fit all: machine-learning ensembles are needed, composed of different approaches tailored to the various mechanisms.</w:t>
      </w:r>
    </w:p>
    <w:p w:rsidR="006E529C" w:rsidRDefault="006E529C" w:rsidP="00592B8A">
      <w:pPr>
        <w:pStyle w:val="para-first"/>
        <w:spacing w:line="276" w:lineRule="auto"/>
        <w:ind w:firstLine="170"/>
        <w:rPr>
          <w:sz w:val="20"/>
          <w:szCs w:val="20"/>
        </w:rPr>
      </w:pPr>
      <w:r w:rsidRPr="3044033A">
        <w:rPr>
          <w:sz w:val="20"/>
          <w:szCs w:val="20"/>
        </w:rPr>
        <w:t xml:space="preserve">So far, the analysis of promoter libraries was conducted with scripts tailored to the data, obfuscating reproducibility and interpretability. The </w:t>
      </w:r>
      <w:r w:rsidRPr="3044033A">
        <w:rPr>
          <w:i/>
          <w:iCs/>
          <w:sz w:val="20"/>
          <w:szCs w:val="20"/>
        </w:rPr>
        <w:t xml:space="preserve">Exp2Ipynb </w:t>
      </w:r>
      <w:r w:rsidRPr="3044033A">
        <w:rPr>
          <w:sz w:val="20"/>
          <w:szCs w:val="20"/>
        </w:rPr>
        <w:t xml:space="preserve">is a contribution to harmonize analytical workflows and to enable an easy start for new groups with promoter libraries. Other toolboxes exist to support machine learning like </w:t>
      </w:r>
      <w:proofErr w:type="spellStart"/>
      <w:r w:rsidRPr="3044033A">
        <w:rPr>
          <w:i/>
          <w:iCs/>
          <w:sz w:val="20"/>
          <w:szCs w:val="20"/>
        </w:rPr>
        <w:t>tpot</w:t>
      </w:r>
      <w:proofErr w:type="spellEnd"/>
      <w:r w:rsidRPr="3044033A">
        <w:rPr>
          <w:sz w:val="20"/>
          <w:szCs w:val="20"/>
        </w:rPr>
        <w:t xml:space="preserve">, GAMA, or H2O </w:t>
      </w:r>
      <w:r>
        <w:rPr>
          <w:sz w:val="20"/>
          <w:szCs w:val="20"/>
        </w:rPr>
        <w:fldChar w:fldCharType="begin" w:fldLock="1"/>
      </w:r>
      <w:r>
        <w:rPr>
          <w:sz w:val="20"/>
          <w:szCs w:val="20"/>
        </w:rPr>
        <w:instrText>ADDIN CSL_CITATION {"citationItems":[{"id":"ITEM-1","itemData":{"DOI":"10.1109/ICTAI.2019.00209","ISBN":"9781728137988","ISSN":"10823409","abstract":"There has been considerable growth and interest in industrial applications of machine learning (ML) in recent years. ML engineers, as a consequence, are in high demand across the industry, yet improving the efficiency of ML engineers remains a fundamental challenge. Automated machine learning (AutoML) has emerged as a way to save time and effort on repetitive tasks in ML pipelines, such as data pre-processing, feature engineering, model selection, hyperparameter optimization, and prediction result analysis. In this paper, we investigate the current state of AutoML tools aiming to automate these tasks. We conduct various evaluations of the tools on many datasets, in different data segments, to examine their performance, and compare their advantages and disadvantages on different test cases.","author":[{"dropping-particle":"","family":"Truong","given":"Anh","non-dropping-particle":"","parse-names":false,"suffix":""},{"dropping-particle":"","family":"Walters","given":"Austin","non-dropping-particle":"","parse-names":false,"suffix":""},{"dropping-particle":"","family":"Goodsitt","given":"Jeremy","non-dropping-particle":"","parse-names":false,"suffix":""},{"dropping-particle":"","family":"Hines","given":"Keegan","non-dropping-particle":"","parse-names":false,"suffix":""},{"dropping-particle":"","family":"Bruss","given":"C. Bayan","non-dropping-particle":"","parse-names":false,"suffix":""},{"dropping-particle":"","family":"Farivar","given":"Reza","non-dropping-particle":"","parse-names":false,"suffix":""}],"container-title":"Proceedings - International Conference on Tools with Artificial Intelligence, ICTAI","id":"ITEM-1","issued":{"date-parts":[["2019","11","1"]]},"page":"1471-1479","publisher":"IEEE Computer Society","title":"Towards automated machine learning: Evaluation and comparison of AutoML approaches and tools","type":"paper-conference","volume":"2019-November"},"uris":["http://www.mendeley.com/documents/?uuid=2b0aa2cb-c2b6-3b8f-a578-6d562f96b34d"]}],"mendeley":{"formattedCitation":"(Truong &lt;i&gt;et al.&lt;/i&gt;, 2019)","plainTextFormattedCitation":"(Truong et al., 2019)","previouslyFormattedCitation":"(Truong &lt;i&gt;et al.&lt;/i&gt;, 2019)"},"properties":{"noteIndex":0},"schema":"https://github.com/citation-style-language/schema/raw/master/csl-citation.json"}</w:instrText>
      </w:r>
      <w:r>
        <w:rPr>
          <w:sz w:val="20"/>
          <w:szCs w:val="20"/>
        </w:rPr>
        <w:fldChar w:fldCharType="separate"/>
      </w:r>
      <w:r w:rsidRPr="006B271A">
        <w:rPr>
          <w:noProof/>
          <w:sz w:val="20"/>
          <w:szCs w:val="20"/>
        </w:rPr>
        <w:t xml:space="preserve">(Truong </w:t>
      </w:r>
      <w:r w:rsidRPr="006B271A">
        <w:rPr>
          <w:i/>
          <w:noProof/>
          <w:sz w:val="20"/>
          <w:szCs w:val="20"/>
        </w:rPr>
        <w:t>et al.</w:t>
      </w:r>
      <w:r w:rsidRPr="006B271A">
        <w:rPr>
          <w:noProof/>
          <w:sz w:val="20"/>
          <w:szCs w:val="20"/>
        </w:rPr>
        <w:t>, 2019)</w:t>
      </w:r>
      <w:r>
        <w:rPr>
          <w:sz w:val="20"/>
          <w:szCs w:val="20"/>
        </w:rPr>
        <w:fldChar w:fldCharType="end"/>
      </w:r>
      <w:r w:rsidRPr="3044033A">
        <w:rPr>
          <w:sz w:val="20"/>
          <w:szCs w:val="20"/>
        </w:rPr>
        <w:t xml:space="preserve"> and more oriented towards biological data analysis like </w:t>
      </w:r>
      <w:r w:rsidRPr="3044033A">
        <w:rPr>
          <w:i/>
          <w:iCs/>
          <w:sz w:val="20"/>
          <w:szCs w:val="20"/>
        </w:rPr>
        <w:t>JADBIO</w:t>
      </w:r>
      <w:r w:rsidRPr="3044033A">
        <w:rPr>
          <w:sz w:val="20"/>
          <w:szCs w:val="20"/>
        </w:rPr>
        <w:t xml:space="preserve"> </w:t>
      </w:r>
      <w:r w:rsidRPr="3044033A">
        <w:rPr>
          <w:sz w:val="20"/>
          <w:szCs w:val="20"/>
        </w:rPr>
        <w:fldChar w:fldCharType="begin" w:fldLock="1"/>
      </w:r>
      <w:r w:rsidRPr="3044033A">
        <w:rPr>
          <w:sz w:val="20"/>
          <w:szCs w:val="20"/>
        </w:rPr>
        <w:instrText>ADDIN CSL_CITATION {"citationItems":[{"id":"ITEM-1","itemData":{"DOI":"10.1101/2020.05.04.075747","abstract":"Fully automated machine learning, statistical modelling, and artificial intelligence for predictive modeling is becoming a reality, giving rise to the field of Automated Machine Learning (Au-toML). AutoML systems promise to democratize data analysis to non-experts, drastically in-crease productivity, improve replicability of the statistical analysis, facilitate the interpretation of results, and shield against common methodological analysis pitfalls. We present the basic ideas and principles of Just Add Data Bio (JADBIO), an AutoML technology applicable to the low-sample, high-dimensional omics data that arise in translational medicine and bioinformatics appli-cations. In addition to predictive and diagnostic models ready for clinical use, JADBIO also re-turns the corresponding biosignatures, i.e., minimal-size subsets of biomarkers that are jointly predictive of the outcome of interest. A use-case on thymic epithelial tumors is presented, along with an extensive evaluation on 374 public biological datasets. Results show that long-standing challenges with overfitting and overestimation of complex non-linear machine learning pipelines on high-dimensional, low small sample data can be overcome.Competing Interest StatementCompeting interests: IT, PC, GB, HJ, and VL are or were directly or indirectly affiliated with Gnosis Data Analysis that offers the JADBIO service commercially.","author":[{"dropping-particle":"","family":"Tsamardinos","given":"Ioannis","non-dropping-particle":"","parse-names":false,"suffix":""},{"dropping-particle":"","family":"Charonyktakis","given":"Pavlos","non-dropping-particle":"","parse-names":false,"suffix":""},{"dropping-particle":"","family":"Lakiotaki","given":"Kleanthi","non-dropping-particle":"","parse-names":false,"suffix":""},{"dropping-particle":"","family":"Borboudakis","given":"Giorgos","non-dropping-particle":"","parse-names":false,"suffix":""},{"dropping-particle":"","family":"Zenklusen","given":"Jean Claude","non-dropping-particle":"","parse-names":false,"suffix":""},{"dropping-particle":"","family":"Juhl","given":"Hartmut","non-dropping-particle":"","parse-names":false,"suffix":""},{"dropping-particle":"","family":"Chatzaki","given":"Ekaterini","non-dropping-particle":"","parse-names":false,"suffix":""},{"dropping-particle":"","family":"Lagani","given":"Vincenzo","non-dropping-particle":"","parse-names":false,"suffix":""}],"container-title":"bioRxiv","id":"ITEM-1","issued":{"date-parts":[["2020"]]},"publisher":"Cold Spring Harbor Laboratory","title":"Just Add Data: Automated Predictive Modeling and BioSignature Discovery","type":"article-journal"},"uris":["http://www.mendeley.com/documents/?uuid=a9d63286-de32-3067-a636-2c2ec6ede56b"]}],"mendeley":{"formattedCitation":"(Tsamardinos &lt;i&gt;et al.&lt;/i&gt;, 2020)","plainTextFormattedCitation":"(Tsamardinos et al., 2020)","previouslyFormattedCitation":"(Tsamardinos &lt;i&gt;et al.&lt;/i&gt;, 2020)"},"properties":{"noteIndex":0},"schema":"https://github.com/citation-style-language/schema/raw/master/csl-citation.json"}</w:instrText>
      </w:r>
      <w:r w:rsidRPr="3044033A">
        <w:rPr>
          <w:sz w:val="20"/>
          <w:szCs w:val="20"/>
        </w:rPr>
        <w:fldChar w:fldCharType="separate"/>
      </w:r>
      <w:r w:rsidRPr="3044033A">
        <w:rPr>
          <w:noProof/>
          <w:sz w:val="20"/>
          <w:szCs w:val="20"/>
        </w:rPr>
        <w:t xml:space="preserve">(Tsamardinos </w:t>
      </w:r>
      <w:r w:rsidRPr="3044033A">
        <w:rPr>
          <w:i/>
          <w:iCs/>
          <w:noProof/>
          <w:sz w:val="20"/>
          <w:szCs w:val="20"/>
        </w:rPr>
        <w:t>et al.</w:t>
      </w:r>
      <w:r w:rsidRPr="3044033A">
        <w:rPr>
          <w:noProof/>
          <w:sz w:val="20"/>
          <w:szCs w:val="20"/>
        </w:rPr>
        <w:t>, 2020)</w:t>
      </w:r>
      <w:r w:rsidRPr="3044033A">
        <w:rPr>
          <w:sz w:val="20"/>
          <w:szCs w:val="20"/>
        </w:rPr>
        <w:fldChar w:fldCharType="end"/>
      </w:r>
      <w:r w:rsidRPr="3044033A">
        <w:rPr>
          <w:sz w:val="20"/>
          <w:szCs w:val="20"/>
        </w:rPr>
        <w:t xml:space="preserve">. The advantage of the </w:t>
      </w:r>
      <w:r w:rsidRPr="3044033A">
        <w:rPr>
          <w:i/>
          <w:iCs/>
          <w:sz w:val="20"/>
          <w:szCs w:val="20"/>
        </w:rPr>
        <w:t>Exp2Ipynb</w:t>
      </w:r>
      <w:r w:rsidRPr="3044033A">
        <w:rPr>
          <w:sz w:val="20"/>
          <w:szCs w:val="20"/>
        </w:rPr>
        <w:t xml:space="preserve"> is to be general enough to be used across different data sets in expression studies, but remaining domain specific to facilitate simple data integration.</w:t>
      </w:r>
    </w:p>
    <w:p w:rsidR="006E529C" w:rsidRDefault="006E529C" w:rsidP="006E529C">
      <w:pPr>
        <w:pStyle w:val="AckHead"/>
      </w:pPr>
      <w:r>
        <w:t>Additional Material</w:t>
      </w:r>
    </w:p>
    <w:p w:rsidR="006E529C" w:rsidRDefault="006E529C" w:rsidP="006E529C">
      <w:pPr>
        <w:pStyle w:val="para-first"/>
      </w:pPr>
      <w:r>
        <w:t>The workflow can be downloaded from the GitHub repository:</w:t>
      </w:r>
    </w:p>
    <w:p w:rsidR="006E529C" w:rsidRDefault="006E529C" w:rsidP="006E529C">
      <w:pPr>
        <w:pStyle w:val="para-first"/>
      </w:pPr>
      <w:hyperlink r:id="rId15" w:history="1">
        <w:r w:rsidRPr="0030256D">
          <w:rPr>
            <w:rStyle w:val="Hyperlink"/>
          </w:rPr>
          <w:t>https://github.com/iAMB-RWTH-Aachen/Exp2Ipynb</w:t>
        </w:r>
      </w:hyperlink>
    </w:p>
    <w:p w:rsidR="006E529C" w:rsidRPr="001C6717" w:rsidRDefault="006E529C" w:rsidP="006E529C">
      <w:pPr>
        <w:pStyle w:val="para-first"/>
        <w:rPr>
          <w:sz w:val="20"/>
          <w:szCs w:val="20"/>
        </w:rPr>
      </w:pPr>
      <w:r>
        <w:t>The repository contains all data sets used in this work.</w:t>
      </w:r>
    </w:p>
    <w:p w:rsidR="006E529C" w:rsidRDefault="006E529C" w:rsidP="006E529C">
      <w:pPr>
        <w:pStyle w:val="AckHead"/>
      </w:pPr>
      <w:r>
        <w:t>Acknowledgements</w:t>
      </w:r>
    </w:p>
    <w:p w:rsidR="006E529C" w:rsidRPr="00366351" w:rsidRDefault="006E529C" w:rsidP="006E529C">
      <w:pPr>
        <w:pStyle w:val="AckText"/>
        <w:rPr>
          <w:sz w:val="16"/>
          <w:szCs w:val="16"/>
        </w:rPr>
      </w:pPr>
      <w:r w:rsidRPr="3044033A">
        <w:rPr>
          <w:sz w:val="16"/>
          <w:szCs w:val="16"/>
        </w:rPr>
        <w:t xml:space="preserve">The authors thank Salome </w:t>
      </w:r>
      <w:proofErr w:type="spellStart"/>
      <w:r w:rsidRPr="3044033A">
        <w:rPr>
          <w:sz w:val="16"/>
          <w:szCs w:val="16"/>
        </w:rPr>
        <w:t>Nies</w:t>
      </w:r>
      <w:proofErr w:type="spellEnd"/>
      <w:r w:rsidRPr="3044033A">
        <w:rPr>
          <w:sz w:val="16"/>
          <w:szCs w:val="16"/>
        </w:rPr>
        <w:t xml:space="preserve"> and Dario </w:t>
      </w:r>
      <w:proofErr w:type="spellStart"/>
      <w:r w:rsidRPr="3044033A">
        <w:rPr>
          <w:sz w:val="16"/>
          <w:szCs w:val="16"/>
        </w:rPr>
        <w:t>Neves</w:t>
      </w:r>
      <w:proofErr w:type="spellEnd"/>
      <w:r w:rsidRPr="3044033A">
        <w:rPr>
          <w:sz w:val="16"/>
          <w:szCs w:val="16"/>
        </w:rPr>
        <w:t xml:space="preserve"> for promoter library data</w:t>
      </w:r>
      <w:r>
        <w:rPr>
          <w:sz w:val="16"/>
          <w:szCs w:val="16"/>
        </w:rPr>
        <w:t xml:space="preserve"> during initial tests</w:t>
      </w:r>
      <w:r w:rsidRPr="3044033A">
        <w:rPr>
          <w:sz w:val="16"/>
          <w:szCs w:val="16"/>
        </w:rPr>
        <w:t xml:space="preserve">. The authors are grateful for discussions with </w:t>
      </w:r>
      <w:proofErr w:type="spellStart"/>
      <w:r w:rsidRPr="3044033A">
        <w:rPr>
          <w:sz w:val="16"/>
          <w:szCs w:val="16"/>
        </w:rPr>
        <w:t>Birgitta</w:t>
      </w:r>
      <w:proofErr w:type="spellEnd"/>
      <w:r w:rsidRPr="3044033A">
        <w:rPr>
          <w:sz w:val="16"/>
          <w:szCs w:val="16"/>
        </w:rPr>
        <w:t xml:space="preserve"> Ebert, Tobias Alter and Bastian </w:t>
      </w:r>
      <w:proofErr w:type="spellStart"/>
      <w:r w:rsidRPr="3044033A">
        <w:rPr>
          <w:sz w:val="16"/>
          <w:szCs w:val="16"/>
        </w:rPr>
        <w:t>Kister</w:t>
      </w:r>
      <w:proofErr w:type="spellEnd"/>
      <w:r w:rsidRPr="3044033A">
        <w:rPr>
          <w:sz w:val="16"/>
          <w:szCs w:val="16"/>
        </w:rPr>
        <w:t>.</w:t>
      </w:r>
    </w:p>
    <w:p w:rsidR="006E529C" w:rsidRPr="00366351" w:rsidRDefault="006E529C" w:rsidP="006E529C">
      <w:pPr>
        <w:pStyle w:val="RefHead"/>
        <w:rPr>
          <w:caps/>
        </w:rPr>
      </w:pPr>
      <w:r w:rsidRPr="00366351">
        <w:t>Funding</w:t>
      </w:r>
    </w:p>
    <w:p w:rsidR="006E529C" w:rsidRPr="001A4BD6" w:rsidRDefault="006E529C" w:rsidP="006E529C">
      <w:pPr>
        <w:pStyle w:val="AckText"/>
        <w:rPr>
          <w:sz w:val="16"/>
          <w:szCs w:val="16"/>
          <w:lang w:val="en-GB" w:eastAsia="en-IN"/>
        </w:rPr>
      </w:pPr>
      <w:r w:rsidRPr="3044033A">
        <w:rPr>
          <w:sz w:val="16"/>
          <w:szCs w:val="16"/>
          <w:lang w:val="en-GB" w:eastAsia="en-IN"/>
        </w:rPr>
        <w:t>U.W.L. received funding by the Excellence Initiative of the German federal and state governments ((DE-</w:t>
      </w:r>
      <w:proofErr w:type="gramStart"/>
      <w:r w:rsidRPr="3044033A">
        <w:rPr>
          <w:sz w:val="16"/>
          <w:szCs w:val="16"/>
          <w:lang w:val="en-GB" w:eastAsia="en-IN"/>
        </w:rPr>
        <w:t>82)EXS</w:t>
      </w:r>
      <w:proofErr w:type="gramEnd"/>
      <w:r w:rsidRPr="3044033A">
        <w:rPr>
          <w:sz w:val="16"/>
          <w:szCs w:val="16"/>
          <w:lang w:val="en-GB" w:eastAsia="en-IN"/>
        </w:rPr>
        <w:t xml:space="preserve">-PF-PFSDS015). The laboratory of L.M.B. is partially funded by the Deutsche </w:t>
      </w:r>
      <w:proofErr w:type="spellStart"/>
      <w:r w:rsidRPr="3044033A">
        <w:rPr>
          <w:sz w:val="16"/>
          <w:szCs w:val="16"/>
          <w:lang w:val="en-GB" w:eastAsia="en-IN"/>
        </w:rPr>
        <w:t>Forschungsgemeinschaft</w:t>
      </w:r>
      <w:proofErr w:type="spellEnd"/>
      <w:r w:rsidRPr="3044033A">
        <w:rPr>
          <w:sz w:val="16"/>
          <w:szCs w:val="16"/>
          <w:lang w:val="en-GB" w:eastAsia="en-IN"/>
        </w:rPr>
        <w:t xml:space="preserve"> (DFG, German Research Foundation) under Germany’s Excellence Strategy—</w:t>
      </w:r>
      <w:proofErr w:type="spellStart"/>
      <w:r w:rsidRPr="3044033A">
        <w:rPr>
          <w:sz w:val="16"/>
          <w:szCs w:val="16"/>
          <w:lang w:val="en-GB" w:eastAsia="en-IN"/>
        </w:rPr>
        <w:t>Exzellenzcluster</w:t>
      </w:r>
      <w:proofErr w:type="spellEnd"/>
      <w:r w:rsidRPr="3044033A">
        <w:rPr>
          <w:sz w:val="16"/>
          <w:szCs w:val="16"/>
          <w:lang w:val="en-GB" w:eastAsia="en-IN"/>
        </w:rPr>
        <w:t xml:space="preserve"> 2186, ‘The Fuel Science </w:t>
      </w:r>
      <w:proofErr w:type="spellStart"/>
      <w:r w:rsidRPr="3044033A">
        <w:rPr>
          <w:sz w:val="16"/>
          <w:szCs w:val="16"/>
          <w:lang w:val="en-GB" w:eastAsia="en-IN"/>
        </w:rPr>
        <w:t>Center</w:t>
      </w:r>
      <w:proofErr w:type="spellEnd"/>
      <w:r w:rsidRPr="3044033A">
        <w:rPr>
          <w:sz w:val="16"/>
          <w:szCs w:val="16"/>
          <w:lang w:val="en-GB" w:eastAsia="en-IN"/>
        </w:rPr>
        <w:t xml:space="preserve"> ID: 390919832.’</w:t>
      </w:r>
    </w:p>
    <w:p w:rsidR="006E529C" w:rsidRPr="00366351" w:rsidRDefault="006E529C" w:rsidP="006E529C">
      <w:pPr>
        <w:pStyle w:val="AckText"/>
        <w:rPr>
          <w:sz w:val="16"/>
          <w:szCs w:val="16"/>
        </w:rPr>
      </w:pPr>
      <w:r w:rsidRPr="3044033A">
        <w:rPr>
          <w:i/>
          <w:iCs/>
          <w:sz w:val="16"/>
          <w:szCs w:val="16"/>
          <w:lang w:val="en-GB" w:eastAsia="en-IN"/>
        </w:rPr>
        <w:t>Conflict of Interest:</w:t>
      </w:r>
      <w:r w:rsidRPr="3044033A">
        <w:rPr>
          <w:sz w:val="16"/>
          <w:szCs w:val="16"/>
          <w:lang w:val="en-GB" w:eastAsia="en-IN"/>
        </w:rPr>
        <w:t xml:space="preserve"> none declared.</w:t>
      </w:r>
    </w:p>
    <w:p w:rsidR="006E529C" w:rsidRPr="00366351" w:rsidRDefault="006E529C" w:rsidP="006E529C">
      <w:pPr>
        <w:pStyle w:val="RefHead"/>
      </w:pPr>
      <w:r w:rsidRPr="00366351">
        <w:t>References</w:t>
      </w:r>
    </w:p>
    <w:p w:rsidR="006E529C" w:rsidRDefault="006E529C" w:rsidP="006E529C">
      <w:pPr>
        <w:pStyle w:val="RefText"/>
        <w:rPr>
          <w:szCs w:val="14"/>
        </w:rPr>
      </w:pP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Pr>
          <w:rFonts w:ascii="Times" w:hAnsi="Times"/>
          <w:sz w:val="20"/>
          <w:szCs w:val="14"/>
        </w:rPr>
        <w:fldChar w:fldCharType="begin" w:fldLock="1"/>
      </w:r>
      <w:r w:rsidRPr="006E529C">
        <w:rPr>
          <w:szCs w:val="14"/>
          <w:lang w:val="en-GB"/>
        </w:rPr>
        <w:instrText xml:space="preserve">ADDIN Mendeley Bibliography CSL_BIBLIOGRAPHY </w:instrText>
      </w:r>
      <w:r>
        <w:rPr>
          <w:rFonts w:ascii="Times" w:hAnsi="Times"/>
          <w:sz w:val="20"/>
          <w:szCs w:val="14"/>
        </w:rPr>
        <w:fldChar w:fldCharType="separate"/>
      </w:r>
      <w:r w:rsidRPr="006E529C">
        <w:rPr>
          <w:rFonts w:ascii="Times New Roman" w:hAnsi="Times New Roman" w:cs="Times New Roman"/>
          <w:noProof/>
          <w:sz w:val="14"/>
          <w:szCs w:val="24"/>
          <w:lang w:val="en-GB"/>
        </w:rPr>
        <w:t xml:space="preserve">Alper,H.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(2005) Tuning genetic control through promoter engineering. </w:t>
      </w:r>
      <w:r w:rsidRPr="006E529C">
        <w:rPr>
          <w:rFonts w:ascii="Times New Roman" w:hAnsi="Times New Roman" w:cs="Times New Roman"/>
          <w:i/>
          <w:iCs/>
          <w:noProof/>
          <w:sz w:val="14"/>
          <w:szCs w:val="24"/>
          <w:lang w:val="en-GB"/>
        </w:rPr>
        <w:t>Proc. Natl. Acad. Sci.</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102</w:t>
      </w:r>
      <w:r w:rsidRPr="006E529C">
        <w:rPr>
          <w:rFonts w:ascii="Times New Roman" w:hAnsi="Times New Roman" w:cs="Times New Roman"/>
          <w:noProof/>
          <w:sz w:val="14"/>
          <w:szCs w:val="24"/>
          <w:lang w:val="en-GB"/>
        </w:rPr>
        <w:t>, 12678–12683.</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Balzer,S.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(2013) A comparative analysis of the properties of regulated promoter systems commonly used for recombinant gene expression in Escherichia coli. </w:t>
      </w:r>
      <w:r w:rsidRPr="006E529C">
        <w:rPr>
          <w:rFonts w:ascii="Times New Roman" w:hAnsi="Times New Roman" w:cs="Times New Roman"/>
          <w:i/>
          <w:iCs/>
          <w:noProof/>
          <w:sz w:val="14"/>
          <w:szCs w:val="24"/>
          <w:lang w:val="en-GB"/>
        </w:rPr>
        <w:t>Microb. Cell Fact.</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12</w:t>
      </w:r>
      <w:r w:rsidRPr="006E529C">
        <w:rPr>
          <w:rFonts w:ascii="Times New Roman" w:hAnsi="Times New Roman" w:cs="Times New Roman"/>
          <w:noProof/>
          <w:sz w:val="14"/>
          <w:szCs w:val="24"/>
          <w:lang w:val="en-GB"/>
        </w:rPr>
        <w:t>, 26.</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Boel,G.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(2016) Codon influence on protein expression in E. coli correlates with mRNA levels. </w:t>
      </w:r>
      <w:r w:rsidRPr="006E529C">
        <w:rPr>
          <w:rFonts w:ascii="Times New Roman" w:hAnsi="Times New Roman" w:cs="Times New Roman"/>
          <w:i/>
          <w:iCs/>
          <w:noProof/>
          <w:sz w:val="14"/>
          <w:szCs w:val="24"/>
          <w:lang w:val="en-GB"/>
        </w:rPr>
        <w:t>Nature</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529</w:t>
      </w:r>
      <w:r w:rsidRPr="006E529C">
        <w:rPr>
          <w:rFonts w:ascii="Times New Roman" w:hAnsi="Times New Roman" w:cs="Times New Roman"/>
          <w:noProof/>
          <w:sz w:val="14"/>
          <w:szCs w:val="24"/>
          <w:lang w:val="en-GB"/>
        </w:rPr>
        <w:t>, 358â€“363.</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lastRenderedPageBreak/>
        <w:t xml:space="preserve">Cambray,G.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(2018) Evaluation of 244,000 synthetic sequences reveals design principles to optimize translation in Escherichia coli. </w:t>
      </w:r>
      <w:r w:rsidRPr="006E529C">
        <w:rPr>
          <w:rFonts w:ascii="Times New Roman" w:hAnsi="Times New Roman" w:cs="Times New Roman"/>
          <w:i/>
          <w:iCs/>
          <w:noProof/>
          <w:sz w:val="14"/>
          <w:szCs w:val="24"/>
          <w:lang w:val="en-GB"/>
        </w:rPr>
        <w:t>Nat. Biotechnol.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36</w:t>
      </w:r>
      <w:r w:rsidRPr="006E529C">
        <w:rPr>
          <w:rFonts w:ascii="Times New Roman" w:hAnsi="Times New Roman" w:cs="Times New Roman"/>
          <w:noProof/>
          <w:sz w:val="14"/>
          <w:szCs w:val="24"/>
          <w:lang w:val="en-GB"/>
        </w:rPr>
        <w:t>, 1005–1015.</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Cetnar,D.P. and Salis,H.M. (2020) Systematic Quantification of Sequence and Structural Determinants Controlling mRNA stability in Bacterial Operons Cold Spring Harbor Laboratory.</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Cuperus,J.T.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(2017) Deep learning of the regulatory grammar of yeast 5′ untranslated regions from 500,000 random sequences. </w:t>
      </w:r>
      <w:r w:rsidRPr="006E529C">
        <w:rPr>
          <w:rFonts w:ascii="Times New Roman" w:hAnsi="Times New Roman" w:cs="Times New Roman"/>
          <w:i/>
          <w:iCs/>
          <w:noProof/>
          <w:sz w:val="14"/>
          <w:szCs w:val="24"/>
          <w:lang w:val="en-GB"/>
        </w:rPr>
        <w:t>Genome Res.</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27</w:t>
      </w:r>
      <w:r w:rsidRPr="006E529C">
        <w:rPr>
          <w:rFonts w:ascii="Times New Roman" w:hAnsi="Times New Roman" w:cs="Times New Roman"/>
          <w:noProof/>
          <w:sz w:val="14"/>
          <w:szCs w:val="24"/>
          <w:lang w:val="en-GB"/>
        </w:rPr>
        <w:t>, 2015–2024.</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Gilman,J.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(2019) Rapid, Heuristic Discovery and Design of Promoter Collections in Non-Model Microbes for Industrial Applications. </w:t>
      </w:r>
      <w:r w:rsidRPr="006E529C">
        <w:rPr>
          <w:rFonts w:ascii="Times New Roman" w:hAnsi="Times New Roman" w:cs="Times New Roman"/>
          <w:i/>
          <w:iCs/>
          <w:noProof/>
          <w:sz w:val="14"/>
          <w:szCs w:val="24"/>
          <w:lang w:val="en-GB"/>
        </w:rPr>
        <w:t>ACS Synth.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8</w:t>
      </w:r>
      <w:r w:rsidRPr="006E529C">
        <w:rPr>
          <w:rFonts w:ascii="Times New Roman" w:hAnsi="Times New Roman" w:cs="Times New Roman"/>
          <w:noProof/>
          <w:sz w:val="14"/>
          <w:szCs w:val="24"/>
          <w:lang w:val="en-GB"/>
        </w:rPr>
        <w:t>, 1175–1186.</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Hammer,K.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(2006) Synthetic promoter libraries - Tuning of gene expression. </w:t>
      </w:r>
      <w:r w:rsidRPr="006E529C">
        <w:rPr>
          <w:rFonts w:ascii="Times New Roman" w:hAnsi="Times New Roman" w:cs="Times New Roman"/>
          <w:i/>
          <w:iCs/>
          <w:noProof/>
          <w:sz w:val="14"/>
          <w:szCs w:val="24"/>
          <w:lang w:val="en-GB"/>
        </w:rPr>
        <w:t>Trends Biotechnol.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24</w:t>
      </w:r>
      <w:r w:rsidRPr="006E529C">
        <w:rPr>
          <w:rFonts w:ascii="Times New Roman" w:hAnsi="Times New Roman" w:cs="Times New Roman"/>
          <w:noProof/>
          <w:sz w:val="14"/>
          <w:szCs w:val="24"/>
          <w:lang w:val="en-GB"/>
        </w:rPr>
        <w:t>, 53–55.</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Hanahan,D. (1983) Studies on transformation of Escherichia coli with plasmids. </w:t>
      </w:r>
      <w:r w:rsidRPr="006E529C">
        <w:rPr>
          <w:rFonts w:ascii="Times New Roman" w:hAnsi="Times New Roman" w:cs="Times New Roman"/>
          <w:i/>
          <w:iCs/>
          <w:noProof/>
          <w:sz w:val="14"/>
          <w:szCs w:val="24"/>
          <w:lang w:val="en-GB"/>
        </w:rPr>
        <w:t>J. Mol.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166</w:t>
      </w:r>
      <w:r w:rsidRPr="006E529C">
        <w:rPr>
          <w:rFonts w:ascii="Times New Roman" w:hAnsi="Times New Roman" w:cs="Times New Roman"/>
          <w:noProof/>
          <w:sz w:val="14"/>
          <w:szCs w:val="24"/>
          <w:lang w:val="en-GB"/>
        </w:rPr>
        <w:t>, 557–580.</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Hartmans,S.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(1989) Metabolism of Styrene Oxide and 2-Phenylethanol in the Styrene-Degrading Xanthobacter Strain 124X. </w:t>
      </w:r>
      <w:r w:rsidRPr="006E529C">
        <w:rPr>
          <w:rFonts w:ascii="Times New Roman" w:hAnsi="Times New Roman" w:cs="Times New Roman"/>
          <w:i/>
          <w:iCs/>
          <w:noProof/>
          <w:sz w:val="14"/>
          <w:szCs w:val="24"/>
          <w:lang w:val="en-GB"/>
        </w:rPr>
        <w:t>Appl. Environ. Microbiol.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55</w:t>
      </w:r>
      <w:r w:rsidRPr="006E529C">
        <w:rPr>
          <w:rFonts w:ascii="Times New Roman" w:hAnsi="Times New Roman" w:cs="Times New Roman"/>
          <w:noProof/>
          <w:sz w:val="14"/>
          <w:szCs w:val="24"/>
          <w:lang w:val="en-GB"/>
        </w:rPr>
        <w:t>.</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Jensen,P.R.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(1993) The use of lac‐type promoters in control analysis. </w:t>
      </w:r>
      <w:r w:rsidRPr="006E529C">
        <w:rPr>
          <w:rFonts w:ascii="Times New Roman" w:hAnsi="Times New Roman" w:cs="Times New Roman"/>
          <w:i/>
          <w:iCs/>
          <w:noProof/>
          <w:sz w:val="14"/>
          <w:szCs w:val="24"/>
          <w:lang w:val="en-GB"/>
        </w:rPr>
        <w:t>Eur. J. Biochem.</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211</w:t>
      </w:r>
      <w:r w:rsidRPr="006E529C">
        <w:rPr>
          <w:rFonts w:ascii="Times New Roman" w:hAnsi="Times New Roman" w:cs="Times New Roman"/>
          <w:noProof/>
          <w:sz w:val="14"/>
          <w:szCs w:val="24"/>
          <w:lang w:val="en-GB"/>
        </w:rPr>
        <w:t>, 181–191.</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Kalisky,T.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(2007) Cost–benefit theory and optimal design of gene regulation functions. </w:t>
      </w:r>
      <w:r w:rsidRPr="006E529C">
        <w:rPr>
          <w:rFonts w:ascii="Times New Roman" w:hAnsi="Times New Roman" w:cs="Times New Roman"/>
          <w:i/>
          <w:iCs/>
          <w:noProof/>
          <w:sz w:val="14"/>
          <w:szCs w:val="24"/>
          <w:lang w:val="en-GB"/>
        </w:rPr>
        <w:t>Phys.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4</w:t>
      </w:r>
      <w:r w:rsidRPr="006E529C">
        <w:rPr>
          <w:rFonts w:ascii="Times New Roman" w:hAnsi="Times New Roman" w:cs="Times New Roman"/>
          <w:noProof/>
          <w:sz w:val="14"/>
          <w:szCs w:val="24"/>
          <w:lang w:val="en-GB"/>
        </w:rPr>
        <w:t>, 229–245.</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Köbbing,S.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(2020) Characterization of Context-Dependent Effects on Synthetic Promoters. </w:t>
      </w:r>
      <w:r w:rsidRPr="006E529C">
        <w:rPr>
          <w:rFonts w:ascii="Times New Roman" w:hAnsi="Times New Roman" w:cs="Times New Roman"/>
          <w:i/>
          <w:iCs/>
          <w:noProof/>
          <w:sz w:val="14"/>
          <w:szCs w:val="24"/>
          <w:lang w:val="en-GB"/>
        </w:rPr>
        <w:t>Front. Bioeng. Biotechnol.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8</w:t>
      </w:r>
      <w:r w:rsidRPr="006E529C">
        <w:rPr>
          <w:rFonts w:ascii="Times New Roman" w:hAnsi="Times New Roman" w:cs="Times New Roman"/>
          <w:noProof/>
          <w:sz w:val="14"/>
          <w:szCs w:val="24"/>
          <w:lang w:val="en-GB"/>
        </w:rPr>
        <w:t>, 551.</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Kochanowski,K.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(2017) Few regulatory metabolites coordinate expression of central metabolic genes in Escherichia coli. </w:t>
      </w:r>
      <w:r w:rsidRPr="006E529C">
        <w:rPr>
          <w:rFonts w:ascii="Times New Roman" w:hAnsi="Times New Roman" w:cs="Times New Roman"/>
          <w:i/>
          <w:iCs/>
          <w:noProof/>
          <w:sz w:val="14"/>
          <w:szCs w:val="24"/>
          <w:lang w:val="en-GB"/>
        </w:rPr>
        <w:t>Mol. Syst.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13</w:t>
      </w:r>
      <w:r w:rsidRPr="006E529C">
        <w:rPr>
          <w:rFonts w:ascii="Times New Roman" w:hAnsi="Times New Roman" w:cs="Times New Roman"/>
          <w:noProof/>
          <w:sz w:val="14"/>
          <w:szCs w:val="24"/>
          <w:lang w:val="en-GB"/>
        </w:rPr>
        <w:t>, 903.</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Kudla,G.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(2009) Coding-Sequence Determinants of Gene Expression in Escherichia coli. </w:t>
      </w:r>
      <w:r w:rsidRPr="006E529C">
        <w:rPr>
          <w:rFonts w:ascii="Times New Roman" w:hAnsi="Times New Roman" w:cs="Times New Roman"/>
          <w:i/>
          <w:iCs/>
          <w:noProof/>
          <w:sz w:val="14"/>
          <w:szCs w:val="24"/>
          <w:lang w:val="en-GB"/>
        </w:rPr>
        <w:t>Science (80-. ).</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324</w:t>
      </w:r>
      <w:r w:rsidRPr="006E529C">
        <w:rPr>
          <w:rFonts w:ascii="Times New Roman" w:hAnsi="Times New Roman" w:cs="Times New Roman"/>
          <w:noProof/>
          <w:sz w:val="14"/>
          <w:szCs w:val="24"/>
          <w:lang w:val="en-GB"/>
        </w:rPr>
        <w:t>, 255–258.</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Meng,H.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(2017) Construction of precise support vector machine based models for predicting promoter strength. </w:t>
      </w:r>
      <w:r w:rsidRPr="006E529C">
        <w:rPr>
          <w:rFonts w:ascii="Times New Roman" w:hAnsi="Times New Roman" w:cs="Times New Roman"/>
          <w:i/>
          <w:iCs/>
          <w:noProof/>
          <w:sz w:val="14"/>
          <w:szCs w:val="24"/>
          <w:lang w:val="en-GB"/>
        </w:rPr>
        <w:t>Quant.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5</w:t>
      </w:r>
      <w:r w:rsidRPr="006E529C">
        <w:rPr>
          <w:rFonts w:ascii="Times New Roman" w:hAnsi="Times New Roman" w:cs="Times New Roman"/>
          <w:noProof/>
          <w:sz w:val="14"/>
          <w:szCs w:val="24"/>
          <w:lang w:val="en-GB"/>
        </w:rPr>
        <w:t>, 90–98.</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Meng,H.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(2013) Quantitative Design of Regulatory Elements Based on High-Precision Strength Prediction Using Artificial Neural Network. </w:t>
      </w:r>
      <w:r w:rsidRPr="006E529C">
        <w:rPr>
          <w:rFonts w:ascii="Times New Roman" w:hAnsi="Times New Roman" w:cs="Times New Roman"/>
          <w:i/>
          <w:iCs/>
          <w:noProof/>
          <w:sz w:val="14"/>
          <w:szCs w:val="24"/>
          <w:lang w:val="en-GB"/>
        </w:rPr>
        <w:t>PLoS One</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8</w:t>
      </w:r>
      <w:r w:rsidRPr="006E529C">
        <w:rPr>
          <w:rFonts w:ascii="Times New Roman" w:hAnsi="Times New Roman" w:cs="Times New Roman"/>
          <w:noProof/>
          <w:sz w:val="14"/>
          <w:szCs w:val="24"/>
          <w:lang w:val="en-GB"/>
        </w:rPr>
        <w:t>, e60288.</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Mutalik,V.K.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(2013) Precise and reliable gene expression via standard transcription and translation initiation elements. </w:t>
      </w:r>
      <w:r w:rsidRPr="006E529C">
        <w:rPr>
          <w:rFonts w:ascii="Times New Roman" w:hAnsi="Times New Roman" w:cs="Times New Roman"/>
          <w:i/>
          <w:iCs/>
          <w:noProof/>
          <w:sz w:val="14"/>
          <w:szCs w:val="24"/>
          <w:lang w:val="en-GB"/>
        </w:rPr>
        <w:t>Nat. Methods</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10</w:t>
      </w:r>
      <w:r w:rsidRPr="006E529C">
        <w:rPr>
          <w:rFonts w:ascii="Times New Roman" w:hAnsi="Times New Roman" w:cs="Times New Roman"/>
          <w:noProof/>
          <w:sz w:val="14"/>
          <w:szCs w:val="24"/>
          <w:lang w:val="en-GB"/>
        </w:rPr>
        <w:t>, 354–360.</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Nóbel,F. and Picó,J. (2020) Resources allocation explains the differential roles of RBS and promoter strengths in cell mass distribution and optimal protein expression productivity. </w:t>
      </w:r>
      <w:r w:rsidRPr="006E529C">
        <w:rPr>
          <w:rFonts w:ascii="Times New Roman" w:hAnsi="Times New Roman" w:cs="Times New Roman"/>
          <w:i/>
          <w:iCs/>
          <w:noProof/>
          <w:sz w:val="14"/>
          <w:szCs w:val="24"/>
          <w:lang w:val="en-GB"/>
        </w:rPr>
        <w:t>bioRxiv</w:t>
      </w:r>
      <w:r w:rsidRPr="006E529C">
        <w:rPr>
          <w:rFonts w:ascii="Times New Roman" w:hAnsi="Times New Roman" w:cs="Times New Roman"/>
          <w:noProof/>
          <w:sz w:val="14"/>
          <w:szCs w:val="24"/>
          <w:lang w:val="en-GB"/>
        </w:rPr>
        <w:t>, 2020.11.19.390583.</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DD445E">
        <w:rPr>
          <w:rFonts w:ascii="Times New Roman" w:hAnsi="Times New Roman" w:cs="Times New Roman"/>
          <w:noProof/>
          <w:sz w:val="14"/>
          <w:szCs w:val="24"/>
        </w:rPr>
        <w:t xml:space="preserve">Rhodius,V.A. </w:t>
      </w:r>
      <w:r w:rsidRPr="00DD445E">
        <w:rPr>
          <w:rFonts w:ascii="Times New Roman" w:hAnsi="Times New Roman" w:cs="Times New Roman"/>
          <w:i/>
          <w:iCs/>
          <w:noProof/>
          <w:sz w:val="14"/>
          <w:szCs w:val="24"/>
        </w:rPr>
        <w:t>et al.</w:t>
      </w:r>
      <w:r w:rsidRPr="00DD445E">
        <w:rPr>
          <w:rFonts w:ascii="Times New Roman" w:hAnsi="Times New Roman" w:cs="Times New Roman"/>
          <w:noProof/>
          <w:sz w:val="14"/>
          <w:szCs w:val="24"/>
        </w:rPr>
        <w:t xml:space="preserve"> </w:t>
      </w:r>
      <w:r w:rsidRPr="006E529C">
        <w:rPr>
          <w:rFonts w:ascii="Times New Roman" w:hAnsi="Times New Roman" w:cs="Times New Roman"/>
          <w:noProof/>
          <w:sz w:val="14"/>
          <w:szCs w:val="24"/>
          <w:lang w:val="en-GB"/>
        </w:rPr>
        <w:t xml:space="preserve">(2012) Predicting the strength of UP-elements and full-length E. coli </w:t>
      </w:r>
      <w:r w:rsidRPr="00DD445E">
        <w:rPr>
          <w:rFonts w:ascii="Times New Roman" w:hAnsi="Times New Roman" w:cs="Times New Roman"/>
          <w:noProof/>
          <w:sz w:val="14"/>
          <w:szCs w:val="24"/>
        </w:rPr>
        <w:t>σ</w:t>
      </w:r>
      <w:r w:rsidRPr="006E529C">
        <w:rPr>
          <w:rFonts w:ascii="Times New Roman" w:hAnsi="Times New Roman" w:cs="Times New Roman"/>
          <w:noProof/>
          <w:sz w:val="14"/>
          <w:szCs w:val="24"/>
          <w:lang w:val="en-GB"/>
        </w:rPr>
        <w:t xml:space="preserve">E promoters. </w:t>
      </w:r>
      <w:r w:rsidRPr="006E529C">
        <w:rPr>
          <w:rFonts w:ascii="Times New Roman" w:hAnsi="Times New Roman" w:cs="Times New Roman"/>
          <w:i/>
          <w:iCs/>
          <w:noProof/>
          <w:sz w:val="14"/>
          <w:szCs w:val="24"/>
          <w:lang w:val="en-GB"/>
        </w:rPr>
        <w:t>Nucleic Acids Res.</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40</w:t>
      </w:r>
      <w:r w:rsidRPr="006E529C">
        <w:rPr>
          <w:rFonts w:ascii="Times New Roman" w:hAnsi="Times New Roman" w:cs="Times New Roman"/>
          <w:noProof/>
          <w:sz w:val="14"/>
          <w:szCs w:val="24"/>
          <w:lang w:val="en-GB"/>
        </w:rPr>
        <w:t>, 2907–2924.</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Rhodius,V.A. and Mutalik,V.K. (2010) Predicting strength and function for promoters of the Escherichia coli alternative sigma factor, E. </w:t>
      </w:r>
      <w:r w:rsidRPr="006E529C">
        <w:rPr>
          <w:rFonts w:ascii="Times New Roman" w:hAnsi="Times New Roman" w:cs="Times New Roman"/>
          <w:i/>
          <w:iCs/>
          <w:noProof/>
          <w:sz w:val="14"/>
          <w:szCs w:val="24"/>
          <w:lang w:val="en-GB"/>
        </w:rPr>
        <w:t>Proc. Natl. Acad. Sci.</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107</w:t>
      </w:r>
      <w:r w:rsidRPr="006E529C">
        <w:rPr>
          <w:rFonts w:ascii="Times New Roman" w:hAnsi="Times New Roman" w:cs="Times New Roman"/>
          <w:noProof/>
          <w:sz w:val="14"/>
          <w:szCs w:val="24"/>
          <w:lang w:val="en-GB"/>
        </w:rPr>
        <w:t>, 2854–2859.</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Rule,A.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(2019) Ten simple rules for writing and sharing computational analyses in Jupyter Notebooks. </w:t>
      </w:r>
      <w:r w:rsidRPr="006E529C">
        <w:rPr>
          <w:rFonts w:ascii="Times New Roman" w:hAnsi="Times New Roman" w:cs="Times New Roman"/>
          <w:i/>
          <w:iCs/>
          <w:noProof/>
          <w:sz w:val="14"/>
          <w:szCs w:val="24"/>
          <w:lang w:val="en-GB"/>
        </w:rPr>
        <w:t>PLoS Comp Biol</w:t>
      </w:r>
      <w:r w:rsidRPr="006E529C">
        <w:rPr>
          <w:rFonts w:ascii="Times New Roman" w:hAnsi="Times New Roman" w:cs="Times New Roman"/>
          <w:noProof/>
          <w:sz w:val="14"/>
          <w:szCs w:val="24"/>
          <w:lang w:val="en-GB"/>
        </w:rPr>
        <w:t>.</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Salis,H.M.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(2009) Automated design of synthetic ribosome binding sites to control protein expression. </w:t>
      </w:r>
      <w:r w:rsidRPr="006E529C">
        <w:rPr>
          <w:rFonts w:ascii="Times New Roman" w:hAnsi="Times New Roman" w:cs="Times New Roman"/>
          <w:i/>
          <w:iCs/>
          <w:noProof/>
          <w:sz w:val="14"/>
          <w:szCs w:val="24"/>
          <w:lang w:val="en-GB"/>
        </w:rPr>
        <w:t>Nat. Biotechnol.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27</w:t>
      </w:r>
      <w:r w:rsidRPr="006E529C">
        <w:rPr>
          <w:rFonts w:ascii="Times New Roman" w:hAnsi="Times New Roman" w:cs="Times New Roman"/>
          <w:noProof/>
          <w:sz w:val="14"/>
          <w:szCs w:val="24"/>
          <w:lang w:val="en-GB"/>
        </w:rPr>
        <w:t>, 946–950.</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Tareen,A. and Kinney,J.B. (2019) Logomaker: beautiful sequence logos in Python. </w:t>
      </w:r>
      <w:r w:rsidRPr="006E529C">
        <w:rPr>
          <w:rFonts w:ascii="Times New Roman" w:hAnsi="Times New Roman" w:cs="Times New Roman"/>
          <w:i/>
          <w:iCs/>
          <w:noProof/>
          <w:sz w:val="14"/>
          <w:szCs w:val="24"/>
          <w:lang w:val="en-GB"/>
        </w:rPr>
        <w:t>Bioinformatics</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36</w:t>
      </w:r>
      <w:r w:rsidRPr="006E529C">
        <w:rPr>
          <w:rFonts w:ascii="Times New Roman" w:hAnsi="Times New Roman" w:cs="Times New Roman"/>
          <w:noProof/>
          <w:sz w:val="14"/>
          <w:szCs w:val="24"/>
          <w:lang w:val="en-GB"/>
        </w:rPr>
        <w:t>, 2272–2274.</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Truong,A.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(2019) Towards automated machine learning: Evaluation and comparison of AutoML approaches and tools. In, </w:t>
      </w:r>
      <w:r w:rsidRPr="006E529C">
        <w:rPr>
          <w:rFonts w:ascii="Times New Roman" w:hAnsi="Times New Roman" w:cs="Times New Roman"/>
          <w:i/>
          <w:iCs/>
          <w:noProof/>
          <w:sz w:val="14"/>
          <w:szCs w:val="24"/>
          <w:lang w:val="en-GB"/>
        </w:rPr>
        <w:t>Proceedings - International Conference on Tools with Artificial Intelligence, ICTAI</w:t>
      </w:r>
      <w:r w:rsidRPr="006E529C">
        <w:rPr>
          <w:rFonts w:ascii="Times New Roman" w:hAnsi="Times New Roman" w:cs="Times New Roman"/>
          <w:noProof/>
          <w:sz w:val="14"/>
          <w:szCs w:val="24"/>
          <w:lang w:val="en-GB"/>
        </w:rPr>
        <w:t>. IEEE Computer Society, pp. 1471–1479.</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Tsamardinos,I.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(2020) Just Add Data: Automated Predictive Modeling and BioSignature Discovery. </w:t>
      </w:r>
      <w:r w:rsidRPr="006E529C">
        <w:rPr>
          <w:rFonts w:ascii="Times New Roman" w:hAnsi="Times New Roman" w:cs="Times New Roman"/>
          <w:i/>
          <w:iCs/>
          <w:noProof/>
          <w:sz w:val="14"/>
          <w:szCs w:val="24"/>
          <w:lang w:val="en-GB"/>
        </w:rPr>
        <w:t>bioRxiv</w:t>
      </w:r>
      <w:r w:rsidRPr="006E529C">
        <w:rPr>
          <w:rFonts w:ascii="Times New Roman" w:hAnsi="Times New Roman" w:cs="Times New Roman"/>
          <w:noProof/>
          <w:sz w:val="14"/>
          <w:szCs w:val="24"/>
          <w:lang w:val="en-GB"/>
        </w:rPr>
        <w:t>.</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Zaslaver,A.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(2009) Invariant Distribution of Promoter Activities in &lt;italic&gt;Escherichia coli&lt;/italic&gt;. </w:t>
      </w:r>
      <w:r w:rsidRPr="006E529C">
        <w:rPr>
          <w:rFonts w:ascii="Times New Roman" w:hAnsi="Times New Roman" w:cs="Times New Roman"/>
          <w:i/>
          <w:iCs/>
          <w:noProof/>
          <w:sz w:val="14"/>
          <w:szCs w:val="24"/>
          <w:lang w:val="en-GB"/>
        </w:rPr>
        <w:t>PLoS Comput Biol</w:t>
      </w:r>
      <w:r w:rsidRPr="006E529C">
        <w:rPr>
          <w:rFonts w:ascii="Times New Roman" w:hAnsi="Times New Roman" w:cs="Times New Roman"/>
          <w:noProof/>
          <w:sz w:val="14"/>
          <w:szCs w:val="24"/>
          <w:lang w:val="en-GB"/>
        </w:rPr>
        <w:t xml:space="preserve">, </w:t>
      </w:r>
      <w:r w:rsidRPr="006E529C">
        <w:rPr>
          <w:rFonts w:ascii="Times New Roman" w:hAnsi="Times New Roman" w:cs="Times New Roman"/>
          <w:b/>
          <w:bCs/>
          <w:noProof/>
          <w:sz w:val="14"/>
          <w:szCs w:val="24"/>
          <w:lang w:val="en-GB"/>
        </w:rPr>
        <w:t>5</w:t>
      </w:r>
      <w:r w:rsidRPr="006E529C">
        <w:rPr>
          <w:rFonts w:ascii="Times New Roman" w:hAnsi="Times New Roman" w:cs="Times New Roman"/>
          <w:noProof/>
          <w:sz w:val="14"/>
          <w:szCs w:val="24"/>
          <w:lang w:val="en-GB"/>
        </w:rPr>
        <w:t>, e1000545.</w:t>
      </w:r>
    </w:p>
    <w:p w:rsidR="006E529C" w:rsidRPr="006E529C"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szCs w:val="24"/>
          <w:lang w:val="en-GB"/>
        </w:rPr>
      </w:pPr>
      <w:r w:rsidRPr="006E529C">
        <w:rPr>
          <w:rFonts w:ascii="Times New Roman" w:hAnsi="Times New Roman" w:cs="Times New Roman"/>
          <w:noProof/>
          <w:sz w:val="14"/>
          <w:szCs w:val="24"/>
          <w:lang w:val="en-GB"/>
        </w:rPr>
        <w:t xml:space="preserve">Zhao,M.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(2020) Machine learning-based promoter strength prediction derived from a fine-tuned synthetic promoter library in &amp;lt;em&amp;gt;Escherichia coli&amp;lt;/em&amp;gt; </w:t>
      </w:r>
      <w:r w:rsidRPr="006E529C">
        <w:rPr>
          <w:rFonts w:ascii="Times New Roman" w:hAnsi="Times New Roman" w:cs="Times New Roman"/>
          <w:i/>
          <w:iCs/>
          <w:noProof/>
          <w:sz w:val="14"/>
          <w:szCs w:val="24"/>
          <w:lang w:val="en-GB"/>
        </w:rPr>
        <w:t>bioRxiv</w:t>
      </w:r>
      <w:r w:rsidRPr="006E529C">
        <w:rPr>
          <w:rFonts w:ascii="Times New Roman" w:hAnsi="Times New Roman" w:cs="Times New Roman"/>
          <w:noProof/>
          <w:sz w:val="14"/>
          <w:szCs w:val="24"/>
          <w:lang w:val="en-GB"/>
        </w:rPr>
        <w:t>, 2020.06.25.170365.</w:t>
      </w:r>
    </w:p>
    <w:p w:rsidR="006E529C" w:rsidRPr="00DD445E" w:rsidRDefault="006E529C" w:rsidP="006E529C">
      <w:pPr>
        <w:widowControl w:val="0"/>
        <w:autoSpaceDE w:val="0"/>
        <w:autoSpaceDN w:val="0"/>
        <w:adjustRightInd w:val="0"/>
        <w:spacing w:after="0" w:line="240" w:lineRule="exact"/>
        <w:ind w:left="480" w:hanging="480"/>
        <w:rPr>
          <w:rFonts w:ascii="Times New Roman" w:hAnsi="Times New Roman" w:cs="Times New Roman"/>
          <w:noProof/>
          <w:sz w:val="14"/>
        </w:rPr>
      </w:pPr>
      <w:r w:rsidRPr="006E529C">
        <w:rPr>
          <w:rFonts w:ascii="Times New Roman" w:hAnsi="Times New Roman" w:cs="Times New Roman"/>
          <w:noProof/>
          <w:sz w:val="14"/>
          <w:szCs w:val="24"/>
          <w:lang w:val="en-GB"/>
        </w:rPr>
        <w:t xml:space="preserve">Zobel,S. </w:t>
      </w:r>
      <w:r w:rsidRPr="006E529C">
        <w:rPr>
          <w:rFonts w:ascii="Times New Roman" w:hAnsi="Times New Roman" w:cs="Times New Roman"/>
          <w:i/>
          <w:iCs/>
          <w:noProof/>
          <w:sz w:val="14"/>
          <w:szCs w:val="24"/>
          <w:lang w:val="en-GB"/>
        </w:rPr>
        <w:t>et al.</w:t>
      </w:r>
      <w:r w:rsidRPr="006E529C">
        <w:rPr>
          <w:rFonts w:ascii="Times New Roman" w:hAnsi="Times New Roman" w:cs="Times New Roman"/>
          <w:noProof/>
          <w:sz w:val="14"/>
          <w:szCs w:val="24"/>
          <w:lang w:val="en-GB"/>
        </w:rPr>
        <w:t xml:space="preserve"> (2015) Tn7-Based Device for Calibrated Heterologous Gene Expression in Pseudomonas putida. </w:t>
      </w:r>
      <w:r w:rsidRPr="00DD445E">
        <w:rPr>
          <w:rFonts w:ascii="Times New Roman" w:hAnsi="Times New Roman" w:cs="Times New Roman"/>
          <w:i/>
          <w:iCs/>
          <w:noProof/>
          <w:sz w:val="14"/>
          <w:szCs w:val="24"/>
        </w:rPr>
        <w:t>ACS Synth. Biol.</w:t>
      </w:r>
      <w:r w:rsidRPr="00DD445E">
        <w:rPr>
          <w:rFonts w:ascii="Times New Roman" w:hAnsi="Times New Roman" w:cs="Times New Roman"/>
          <w:noProof/>
          <w:sz w:val="14"/>
          <w:szCs w:val="24"/>
        </w:rPr>
        <w:t xml:space="preserve">, </w:t>
      </w:r>
      <w:r w:rsidRPr="00DD445E">
        <w:rPr>
          <w:rFonts w:ascii="Times New Roman" w:hAnsi="Times New Roman" w:cs="Times New Roman"/>
          <w:b/>
          <w:bCs/>
          <w:noProof/>
          <w:sz w:val="14"/>
          <w:szCs w:val="24"/>
        </w:rPr>
        <w:t>4</w:t>
      </w:r>
      <w:r w:rsidRPr="00DD445E">
        <w:rPr>
          <w:rFonts w:ascii="Times New Roman" w:hAnsi="Times New Roman" w:cs="Times New Roman"/>
          <w:noProof/>
          <w:sz w:val="14"/>
          <w:szCs w:val="24"/>
        </w:rPr>
        <w:t>, 1341–1351.</w:t>
      </w:r>
    </w:p>
    <w:p w:rsidR="006E529C" w:rsidRDefault="006E529C" w:rsidP="006E529C">
      <w:pPr>
        <w:pStyle w:val="RefText"/>
        <w:rPr>
          <w:szCs w:val="14"/>
        </w:rPr>
      </w:pPr>
      <w:r>
        <w:rPr>
          <w:szCs w:val="14"/>
        </w:rPr>
        <w:fldChar w:fldCharType="end"/>
      </w:r>
    </w:p>
    <w:p w:rsidR="00E152CD" w:rsidRDefault="00E152CD"/>
    <w:sectPr w:rsidR="00E152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B4A" w:rsidRDefault="00CD1B4A" w:rsidP="00E0341A">
      <w:pPr>
        <w:spacing w:after="0" w:line="240" w:lineRule="auto"/>
      </w:pPr>
      <w:r>
        <w:separator/>
      </w:r>
    </w:p>
  </w:endnote>
  <w:endnote w:type="continuationSeparator" w:id="0">
    <w:p w:rsidR="00CD1B4A" w:rsidRDefault="00CD1B4A" w:rsidP="00E0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113373"/>
      <w:docPartObj>
        <w:docPartGallery w:val="Page Numbers (Bottom of Page)"/>
        <w:docPartUnique/>
      </w:docPartObj>
    </w:sdtPr>
    <w:sdtEndPr>
      <w:rPr>
        <w:noProof/>
      </w:rPr>
    </w:sdtEndPr>
    <w:sdtContent>
      <w:p w:rsidR="00CD1B4A" w:rsidRDefault="00CD1B4A">
        <w:pPr>
          <w:pStyle w:val="Footer"/>
          <w:jc w:val="right"/>
        </w:pPr>
        <w:r>
          <w:fldChar w:fldCharType="begin"/>
        </w:r>
        <w:r>
          <w:instrText xml:space="preserve"> PAGE   \* MERGEFORMAT </w:instrText>
        </w:r>
        <w:r>
          <w:fldChar w:fldCharType="separate"/>
        </w:r>
        <w:r w:rsidR="00397734">
          <w:rPr>
            <w:noProof/>
          </w:rPr>
          <w:t>9</w:t>
        </w:r>
        <w:r>
          <w:rPr>
            <w:noProof/>
          </w:rPr>
          <w:fldChar w:fldCharType="end"/>
        </w:r>
      </w:p>
    </w:sdtContent>
  </w:sdt>
  <w:p w:rsidR="00CD1B4A" w:rsidRDefault="00CD1B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B4A" w:rsidRDefault="00CD1B4A" w:rsidP="00E0341A">
      <w:pPr>
        <w:spacing w:after="0" w:line="240" w:lineRule="auto"/>
      </w:pPr>
      <w:r>
        <w:separator/>
      </w:r>
    </w:p>
  </w:footnote>
  <w:footnote w:type="continuationSeparator" w:id="0">
    <w:p w:rsidR="00CD1B4A" w:rsidRDefault="00CD1B4A" w:rsidP="00E03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4A" w:rsidRDefault="00CD1B4A">
    <w:pPr>
      <w:pStyle w:val="Header"/>
      <w:spacing w:after="0"/>
    </w:pPr>
    <w:r>
      <w:rPr>
        <w:noProof/>
        <w:lang w:val="de-DE" w:eastAsia="de-DE"/>
      </w:rPr>
      <mc:AlternateContent>
        <mc:Choice Requires="wps">
          <w:drawing>
            <wp:anchor distT="0" distB="0" distL="114300" distR="114300" simplePos="0" relativeHeight="251659264" behindDoc="0" locked="1" layoutInCell="1" allowOverlap="0" wp14:anchorId="61C70D3D" wp14:editId="2C53D4F9">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8EA09"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Pr>
        <w:noProof/>
        <w:lang w:val="de-DE" w:eastAsia="de-DE"/>
      </w:rPr>
      <w:t>U. Liebal</w:t>
    </w:r>
    <w:r>
      <w:t xml:space="preserve"> et 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4A" w:rsidRPr="00E0341A" w:rsidRDefault="00CD1B4A" w:rsidP="00CD1B4A">
    <w:pPr>
      <w:pStyle w:val="Header"/>
      <w:rPr>
        <w:lang w:val="en-GB"/>
      </w:rPr>
    </w:pPr>
    <w:r>
      <w:rPr>
        <w:lang w:val="en-GB"/>
      </w:rPr>
      <w:t>Liebal et al., 2020: Exp2Ipynb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91CFA"/>
    <w:multiLevelType w:val="hybridMultilevel"/>
    <w:tmpl w:val="A834803C"/>
    <w:lvl w:ilvl="0" w:tplc="04070001">
      <w:start w:val="1"/>
      <w:numFmt w:val="bullet"/>
      <w:lvlText w:val=""/>
      <w:lvlJc w:val="left"/>
      <w:pPr>
        <w:ind w:left="890" w:hanging="360"/>
      </w:pPr>
      <w:rPr>
        <w:rFonts w:ascii="Symbol" w:hAnsi="Symbol" w:hint="default"/>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1" w15:restartNumberingAfterBreak="0">
    <w:nsid w:val="347952ED"/>
    <w:multiLevelType w:val="multilevel"/>
    <w:tmpl w:val="7076BF18"/>
    <w:lvl w:ilvl="0">
      <w:start w:val="1"/>
      <w:numFmt w:val="decimal"/>
      <w:pStyle w:val="Heading1"/>
      <w:lvlText w:val="%1"/>
      <w:lvlJc w:val="left"/>
      <w:pPr>
        <w:ind w:left="720" w:hanging="360"/>
      </w:pPr>
      <w:rPr>
        <w:rFonts w:hint="default"/>
      </w:rPr>
    </w:lvl>
    <w:lvl w:ilvl="1">
      <w:start w:val="2"/>
      <w:numFmt w:val="decimal"/>
      <w:pStyle w:val="Heading2"/>
      <w:lvlText w:val="%1.%2"/>
      <w:lvlJc w:val="left"/>
      <w:pPr>
        <w:ind w:left="945" w:hanging="58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num w:numId="1">
    <w:abstractNumId w:val="1"/>
  </w:num>
  <w:num w:numId="2">
    <w:abstractNumId w:val="1"/>
    <w:lvlOverride w:ilvl="0">
      <w:startOverride w:val="2"/>
    </w:lvlOverride>
    <w:lvlOverride w:ilvl="1">
      <w:startOverride w:val="1"/>
    </w:lvlOverride>
  </w:num>
  <w:num w:numId="3">
    <w:abstractNumId w:val="0"/>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tjQ3sjA2sDA1tDRT0lEKTi0uzszPAykwrAUA6rKkFSwAAAA="/>
  </w:docVars>
  <w:rsids>
    <w:rsidRoot w:val="00311992"/>
    <w:rsid w:val="00070238"/>
    <w:rsid w:val="001840C7"/>
    <w:rsid w:val="001C3A58"/>
    <w:rsid w:val="0021304E"/>
    <w:rsid w:val="00255E71"/>
    <w:rsid w:val="002770F2"/>
    <w:rsid w:val="00311992"/>
    <w:rsid w:val="00397734"/>
    <w:rsid w:val="00401C8F"/>
    <w:rsid w:val="004969F7"/>
    <w:rsid w:val="00592B8A"/>
    <w:rsid w:val="0060248E"/>
    <w:rsid w:val="006E529C"/>
    <w:rsid w:val="00731172"/>
    <w:rsid w:val="00BC3685"/>
    <w:rsid w:val="00C638E8"/>
    <w:rsid w:val="00CD1B4A"/>
    <w:rsid w:val="00D354A6"/>
    <w:rsid w:val="00E0341A"/>
    <w:rsid w:val="00E152CD"/>
    <w:rsid w:val="00EC6F32"/>
    <w:rsid w:val="00F16E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57F2"/>
  <w15:chartTrackingRefBased/>
  <w15:docId w15:val="{95A8A422-58D5-493B-AEB4-E22D72CA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992"/>
    <w:rPr>
      <w:rFonts w:eastAsiaTheme="minorEastAsia"/>
      <w:lang w:eastAsia="de-DE"/>
    </w:rPr>
  </w:style>
  <w:style w:type="paragraph" w:styleId="Heading1">
    <w:name w:val="heading 1"/>
    <w:next w:val="Normal"/>
    <w:link w:val="Heading1Char"/>
    <w:qFormat/>
    <w:rsid w:val="006E529C"/>
    <w:pPr>
      <w:numPr>
        <w:numId w:val="1"/>
      </w:numPr>
      <w:spacing w:before="360" w:after="50" w:line="240" w:lineRule="exact"/>
      <w:outlineLvl w:val="0"/>
    </w:pPr>
    <w:rPr>
      <w:rFonts w:ascii="Helvetica" w:eastAsia="Times New Roman" w:hAnsi="Helvetica" w:cs="Times New Roman"/>
      <w:b/>
      <w:sz w:val="20"/>
      <w:szCs w:val="20"/>
      <w:lang w:val="en-US"/>
    </w:rPr>
  </w:style>
  <w:style w:type="paragraph" w:styleId="Heading2">
    <w:name w:val="heading 2"/>
    <w:next w:val="Normal"/>
    <w:link w:val="Heading2Char"/>
    <w:autoRedefine/>
    <w:qFormat/>
    <w:rsid w:val="006E529C"/>
    <w:pPr>
      <w:numPr>
        <w:ilvl w:val="1"/>
        <w:numId w:val="1"/>
      </w:numPr>
      <w:spacing w:before="360" w:after="52" w:line="240" w:lineRule="exact"/>
      <w:outlineLvl w:val="1"/>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1992"/>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11992"/>
    <w:pPr>
      <w:spacing w:after="200" w:line="240" w:lineRule="auto"/>
    </w:pPr>
    <w:rPr>
      <w:rFonts w:ascii="Times" w:eastAsia="Times New Roman" w:hAnsi="Times" w:cs="Times New Roman"/>
      <w:i/>
      <w:iCs/>
      <w:color w:val="44546A" w:themeColor="text2"/>
      <w:sz w:val="18"/>
      <w:szCs w:val="18"/>
      <w:lang w:val="en-US" w:eastAsia="en-US"/>
    </w:rPr>
  </w:style>
  <w:style w:type="character" w:customStyle="1" w:styleId="Heading1Char">
    <w:name w:val="Heading 1 Char"/>
    <w:basedOn w:val="DefaultParagraphFont"/>
    <w:link w:val="Heading1"/>
    <w:rsid w:val="006E529C"/>
    <w:rPr>
      <w:rFonts w:ascii="Helvetica" w:eastAsia="Times New Roman" w:hAnsi="Helvetica" w:cs="Times New Roman"/>
      <w:b/>
      <w:sz w:val="20"/>
      <w:szCs w:val="20"/>
      <w:lang w:val="en-US"/>
    </w:rPr>
  </w:style>
  <w:style w:type="character" w:customStyle="1" w:styleId="Heading2Char">
    <w:name w:val="Heading 2 Char"/>
    <w:basedOn w:val="DefaultParagraphFont"/>
    <w:link w:val="Heading2"/>
    <w:rsid w:val="006E529C"/>
    <w:rPr>
      <w:rFonts w:ascii="Times New Roman" w:eastAsia="Times New Roman" w:hAnsi="Times New Roman" w:cs="Times New Roman"/>
      <w:b/>
      <w:bCs/>
      <w:sz w:val="20"/>
      <w:szCs w:val="20"/>
      <w:lang w:val="en-US"/>
    </w:rPr>
  </w:style>
  <w:style w:type="paragraph" w:styleId="Header">
    <w:name w:val="header"/>
    <w:basedOn w:val="Normal"/>
    <w:link w:val="HeaderChar"/>
    <w:uiPriority w:val="99"/>
    <w:rsid w:val="006E529C"/>
    <w:pPr>
      <w:tabs>
        <w:tab w:val="center" w:pos="4320"/>
        <w:tab w:val="right" w:pos="8640"/>
      </w:tabs>
      <w:spacing w:after="520" w:line="160" w:lineRule="exact"/>
    </w:pPr>
    <w:rPr>
      <w:rFonts w:ascii="Helvetica" w:eastAsia="Times New Roman" w:hAnsi="Helvetica" w:cs="Times New Roman"/>
      <w:b/>
      <w:i/>
      <w:sz w:val="16"/>
      <w:szCs w:val="24"/>
      <w:lang w:val="en-US" w:eastAsia="en-US"/>
    </w:rPr>
  </w:style>
  <w:style w:type="character" w:customStyle="1" w:styleId="HeaderChar">
    <w:name w:val="Header Char"/>
    <w:basedOn w:val="DefaultParagraphFont"/>
    <w:link w:val="Header"/>
    <w:uiPriority w:val="99"/>
    <w:rsid w:val="006E529C"/>
    <w:rPr>
      <w:rFonts w:ascii="Helvetica" w:eastAsia="Times New Roman" w:hAnsi="Helvetica" w:cs="Times New Roman"/>
      <w:b/>
      <w:i/>
      <w:sz w:val="16"/>
      <w:szCs w:val="24"/>
      <w:lang w:val="en-US"/>
    </w:rPr>
  </w:style>
  <w:style w:type="paragraph" w:customStyle="1" w:styleId="AbstractHead">
    <w:name w:val="Abstract Head"/>
    <w:link w:val="AbstractHeadChar"/>
    <w:rsid w:val="006E529C"/>
    <w:pPr>
      <w:spacing w:before="210" w:after="10" w:line="220" w:lineRule="exact"/>
      <w:jc w:val="both"/>
    </w:pPr>
    <w:rPr>
      <w:rFonts w:ascii="Helvetica" w:eastAsia="Times New Roman" w:hAnsi="Helvetica" w:cs="Times New Roman"/>
      <w:b/>
      <w:caps/>
      <w:sz w:val="16"/>
      <w:szCs w:val="20"/>
      <w:lang w:val="en-US"/>
    </w:rPr>
  </w:style>
  <w:style w:type="paragraph" w:customStyle="1" w:styleId="AckHead">
    <w:name w:val="Ack Head"/>
    <w:basedOn w:val="Normal"/>
    <w:rsid w:val="006E529C"/>
    <w:pPr>
      <w:spacing w:before="360" w:after="50" w:line="240" w:lineRule="exact"/>
      <w:outlineLvl w:val="0"/>
    </w:pPr>
    <w:rPr>
      <w:rFonts w:ascii="Helvetica" w:eastAsia="Times New Roman" w:hAnsi="Helvetica" w:cs="Times New Roman"/>
      <w:b/>
      <w:sz w:val="20"/>
      <w:szCs w:val="20"/>
      <w:lang w:val="en-US" w:eastAsia="en-US"/>
    </w:rPr>
  </w:style>
  <w:style w:type="paragraph" w:customStyle="1" w:styleId="AckText">
    <w:name w:val="Ack Text"/>
    <w:basedOn w:val="Normal"/>
    <w:rsid w:val="006E529C"/>
    <w:pPr>
      <w:spacing w:after="0" w:line="220" w:lineRule="exact"/>
      <w:jc w:val="both"/>
    </w:pPr>
    <w:rPr>
      <w:rFonts w:ascii="Times New Roman" w:eastAsia="Times New Roman" w:hAnsi="Times New Roman" w:cs="Times New Roman"/>
      <w:sz w:val="18"/>
      <w:szCs w:val="20"/>
      <w:lang w:val="en-US" w:eastAsia="en-US"/>
    </w:rPr>
  </w:style>
  <w:style w:type="paragraph" w:customStyle="1" w:styleId="RefHead">
    <w:name w:val="Ref Head"/>
    <w:basedOn w:val="Normal"/>
    <w:rsid w:val="006E529C"/>
    <w:pPr>
      <w:spacing w:before="360" w:after="50" w:line="240" w:lineRule="exact"/>
      <w:outlineLvl w:val="0"/>
    </w:pPr>
    <w:rPr>
      <w:rFonts w:ascii="Helvetica" w:eastAsia="Times New Roman" w:hAnsi="Helvetica" w:cs="Times New Roman"/>
      <w:b/>
      <w:sz w:val="20"/>
      <w:szCs w:val="20"/>
      <w:lang w:val="en-US" w:eastAsia="en-US"/>
    </w:rPr>
  </w:style>
  <w:style w:type="paragraph" w:customStyle="1" w:styleId="RefText">
    <w:name w:val="Ref Text"/>
    <w:rsid w:val="006E529C"/>
    <w:pPr>
      <w:spacing w:after="0" w:line="180" w:lineRule="exact"/>
      <w:ind w:left="227" w:hanging="227"/>
      <w:jc w:val="both"/>
    </w:pPr>
    <w:rPr>
      <w:rFonts w:ascii="Times New Roman" w:eastAsia="Times New Roman" w:hAnsi="Times New Roman" w:cs="Times New Roman"/>
      <w:sz w:val="14"/>
      <w:szCs w:val="20"/>
      <w:lang w:val="en-US"/>
    </w:rPr>
  </w:style>
  <w:style w:type="paragraph" w:customStyle="1" w:styleId="Abstract-Text">
    <w:name w:val="Abstract-Text"/>
    <w:basedOn w:val="Normal"/>
    <w:link w:val="Abstract-TextChar"/>
    <w:qFormat/>
    <w:rsid w:val="006E529C"/>
    <w:pPr>
      <w:spacing w:after="0" w:line="220" w:lineRule="exact"/>
      <w:jc w:val="both"/>
    </w:pPr>
    <w:rPr>
      <w:rFonts w:ascii="Helvetica" w:eastAsia="Times New Roman" w:hAnsi="Helvetica" w:cs="Times New Roman"/>
      <w:sz w:val="18"/>
      <w:szCs w:val="18"/>
      <w:lang w:val="en-US" w:eastAsia="en-US"/>
    </w:rPr>
  </w:style>
  <w:style w:type="paragraph" w:customStyle="1" w:styleId="Abstract-Head">
    <w:name w:val="Abstract-Head"/>
    <w:basedOn w:val="Normal"/>
    <w:link w:val="Abstract-HeadChar"/>
    <w:qFormat/>
    <w:rsid w:val="006E529C"/>
    <w:pPr>
      <w:tabs>
        <w:tab w:val="left" w:pos="7140"/>
      </w:tabs>
      <w:spacing w:before="300" w:after="10" w:line="200" w:lineRule="exact"/>
      <w:jc w:val="both"/>
    </w:pPr>
    <w:rPr>
      <w:rFonts w:ascii="Helvetica" w:eastAsia="Times New Roman" w:hAnsi="Helvetica" w:cs="Times New Roman"/>
      <w:b/>
      <w:sz w:val="20"/>
      <w:szCs w:val="20"/>
      <w:lang w:val="en-US" w:eastAsia="en-US"/>
    </w:rPr>
  </w:style>
  <w:style w:type="character" w:customStyle="1" w:styleId="Abstract-TextChar">
    <w:name w:val="Abstract-Text Char"/>
    <w:basedOn w:val="DefaultParagraphFont"/>
    <w:link w:val="Abstract-Text"/>
    <w:rsid w:val="006E529C"/>
    <w:rPr>
      <w:rFonts w:ascii="Helvetica" w:eastAsia="Times New Roman" w:hAnsi="Helvetica" w:cs="Times New Roman"/>
      <w:sz w:val="18"/>
      <w:szCs w:val="18"/>
      <w:lang w:val="en-US"/>
    </w:rPr>
  </w:style>
  <w:style w:type="paragraph" w:customStyle="1" w:styleId="Author-Group">
    <w:name w:val="Author-Group"/>
    <w:basedOn w:val="Normal"/>
    <w:link w:val="Author-GroupChar"/>
    <w:qFormat/>
    <w:rsid w:val="006E529C"/>
    <w:pPr>
      <w:spacing w:before="100" w:after="0" w:line="300" w:lineRule="exact"/>
      <w:jc w:val="both"/>
    </w:pPr>
    <w:rPr>
      <w:rFonts w:ascii="Helvetica-Light" w:eastAsia="Times New Roman" w:hAnsi="Helvetica-Light" w:cs="Times New Roman"/>
      <w:iCs/>
      <w:sz w:val="24"/>
      <w:szCs w:val="24"/>
      <w:lang w:val="en-US" w:eastAsia="en-US"/>
    </w:rPr>
  </w:style>
  <w:style w:type="character" w:customStyle="1" w:styleId="AbstractHeadChar">
    <w:name w:val="Abstract Head Char"/>
    <w:basedOn w:val="DefaultParagraphFont"/>
    <w:link w:val="AbstractHead"/>
    <w:rsid w:val="006E529C"/>
    <w:rPr>
      <w:rFonts w:ascii="Helvetica" w:eastAsia="Times New Roman" w:hAnsi="Helvetica" w:cs="Times New Roman"/>
      <w:b/>
      <w:caps/>
      <w:sz w:val="16"/>
      <w:szCs w:val="20"/>
      <w:lang w:val="en-US"/>
    </w:rPr>
  </w:style>
  <w:style w:type="character" w:customStyle="1" w:styleId="Abstract-HeadChar">
    <w:name w:val="Abstract-Head Char"/>
    <w:basedOn w:val="DefaultParagraphFont"/>
    <w:link w:val="Abstract-Head"/>
    <w:rsid w:val="006E529C"/>
    <w:rPr>
      <w:rFonts w:ascii="Helvetica" w:eastAsia="Times New Roman" w:hAnsi="Helvetica" w:cs="Times New Roman"/>
      <w:b/>
      <w:sz w:val="20"/>
      <w:szCs w:val="20"/>
      <w:lang w:val="en-US"/>
    </w:rPr>
  </w:style>
  <w:style w:type="paragraph" w:customStyle="1" w:styleId="Author-Affiliation">
    <w:name w:val="Author-Affiliation"/>
    <w:basedOn w:val="Normal"/>
    <w:link w:val="Author-AffiliationChar"/>
    <w:qFormat/>
    <w:rsid w:val="006E529C"/>
    <w:pPr>
      <w:spacing w:before="100" w:after="52" w:line="240" w:lineRule="exact"/>
      <w:jc w:val="both"/>
    </w:pPr>
    <w:rPr>
      <w:rFonts w:ascii="Helvetica-Light" w:eastAsia="Times New Roman" w:hAnsi="Helvetica-Light" w:cs="Times New Roman"/>
      <w:iCs/>
      <w:sz w:val="18"/>
      <w:szCs w:val="18"/>
      <w:lang w:val="en-US" w:eastAsia="en-US"/>
    </w:rPr>
  </w:style>
  <w:style w:type="character" w:customStyle="1" w:styleId="Author-GroupChar">
    <w:name w:val="Author-Group Char"/>
    <w:basedOn w:val="DefaultParagraphFont"/>
    <w:link w:val="Author-Group"/>
    <w:rsid w:val="006E529C"/>
    <w:rPr>
      <w:rFonts w:ascii="Helvetica-Light" w:eastAsia="Times New Roman" w:hAnsi="Helvetica-Light" w:cs="Times New Roman"/>
      <w:iCs/>
      <w:sz w:val="24"/>
      <w:szCs w:val="24"/>
      <w:lang w:val="en-US"/>
    </w:rPr>
  </w:style>
  <w:style w:type="character" w:customStyle="1" w:styleId="Author-AffiliationChar">
    <w:name w:val="Author-Affiliation Char"/>
    <w:basedOn w:val="DefaultParagraphFont"/>
    <w:link w:val="Author-Affiliation"/>
    <w:rsid w:val="006E529C"/>
    <w:rPr>
      <w:rFonts w:ascii="Helvetica-Light" w:eastAsia="Times New Roman" w:hAnsi="Helvetica-Light" w:cs="Times New Roman"/>
      <w:iCs/>
      <w:sz w:val="18"/>
      <w:szCs w:val="18"/>
      <w:lang w:val="en-US"/>
    </w:rPr>
  </w:style>
  <w:style w:type="paragraph" w:styleId="Subtitle">
    <w:name w:val="Subtitle"/>
    <w:basedOn w:val="Normal"/>
    <w:next w:val="Normal"/>
    <w:link w:val="SubtitleChar"/>
    <w:qFormat/>
    <w:rsid w:val="006E529C"/>
    <w:pPr>
      <w:spacing w:before="160" w:after="0" w:line="240" w:lineRule="auto"/>
      <w:jc w:val="both"/>
    </w:pPr>
    <w:rPr>
      <w:rFonts w:ascii="Helvetica" w:eastAsia="Times New Roman" w:hAnsi="Helvetica" w:cs="Times New Roman"/>
      <w:i/>
      <w:sz w:val="28"/>
      <w:szCs w:val="28"/>
      <w:lang w:val="en-US" w:eastAsia="en-US"/>
    </w:rPr>
  </w:style>
  <w:style w:type="character" w:customStyle="1" w:styleId="SubtitleChar">
    <w:name w:val="Subtitle Char"/>
    <w:basedOn w:val="DefaultParagraphFont"/>
    <w:link w:val="Subtitle"/>
    <w:rsid w:val="006E529C"/>
    <w:rPr>
      <w:rFonts w:ascii="Helvetica" w:eastAsia="Times New Roman" w:hAnsi="Helvetica" w:cs="Times New Roman"/>
      <w:i/>
      <w:sz w:val="28"/>
      <w:szCs w:val="28"/>
      <w:lang w:val="en-US"/>
    </w:rPr>
  </w:style>
  <w:style w:type="paragraph" w:customStyle="1" w:styleId="corrs-au">
    <w:name w:val="corrs-au"/>
    <w:basedOn w:val="Normal"/>
    <w:link w:val="corrs-auChar"/>
    <w:qFormat/>
    <w:rsid w:val="006E529C"/>
    <w:pPr>
      <w:spacing w:before="70" w:after="0" w:line="300" w:lineRule="exact"/>
      <w:jc w:val="both"/>
    </w:pPr>
    <w:rPr>
      <w:rFonts w:ascii="Helvetica-Light" w:eastAsia="Times New Roman" w:hAnsi="Helvetica-Light" w:cs="Times New Roman"/>
      <w:iCs/>
      <w:sz w:val="17"/>
      <w:szCs w:val="17"/>
      <w:lang w:val="en-US" w:eastAsia="en-US"/>
    </w:rPr>
  </w:style>
  <w:style w:type="character" w:customStyle="1" w:styleId="corrs-auChar">
    <w:name w:val="corrs-au Char"/>
    <w:basedOn w:val="DefaultParagraphFont"/>
    <w:link w:val="corrs-au"/>
    <w:rsid w:val="006E529C"/>
    <w:rPr>
      <w:rFonts w:ascii="Helvetica-Light" w:eastAsia="Times New Roman" w:hAnsi="Helvetica-Light" w:cs="Times New Roman"/>
      <w:iCs/>
      <w:sz w:val="17"/>
      <w:szCs w:val="17"/>
      <w:lang w:val="en-US"/>
    </w:rPr>
  </w:style>
  <w:style w:type="paragraph" w:customStyle="1" w:styleId="para-first">
    <w:name w:val="para-first"/>
    <w:basedOn w:val="Normal"/>
    <w:link w:val="para-firstChar"/>
    <w:qFormat/>
    <w:rsid w:val="006E529C"/>
    <w:pPr>
      <w:spacing w:after="0" w:line="220" w:lineRule="exact"/>
      <w:jc w:val="both"/>
    </w:pPr>
    <w:rPr>
      <w:rFonts w:ascii="Times New Roman" w:eastAsia="Times New Roman" w:hAnsi="Times New Roman" w:cs="Times New Roman"/>
      <w:sz w:val="16"/>
      <w:szCs w:val="16"/>
      <w:lang w:val="en-US" w:eastAsia="en-US"/>
    </w:rPr>
  </w:style>
  <w:style w:type="paragraph" w:customStyle="1" w:styleId="para">
    <w:name w:val="para"/>
    <w:basedOn w:val="Normal"/>
    <w:link w:val="paraChar"/>
    <w:qFormat/>
    <w:rsid w:val="006E529C"/>
    <w:pPr>
      <w:spacing w:after="0" w:line="220" w:lineRule="exact"/>
      <w:ind w:firstLine="170"/>
      <w:jc w:val="both"/>
    </w:pPr>
    <w:rPr>
      <w:rFonts w:ascii="Times New Roman" w:eastAsia="Times New Roman" w:hAnsi="Times New Roman" w:cs="Times New Roman"/>
      <w:sz w:val="16"/>
      <w:szCs w:val="16"/>
      <w:lang w:val="en-US" w:eastAsia="en-US"/>
    </w:rPr>
  </w:style>
  <w:style w:type="character" w:customStyle="1" w:styleId="para-firstChar">
    <w:name w:val="para-first Char"/>
    <w:basedOn w:val="DefaultParagraphFont"/>
    <w:link w:val="para-first"/>
    <w:rsid w:val="006E529C"/>
    <w:rPr>
      <w:rFonts w:ascii="Times New Roman" w:eastAsia="Times New Roman" w:hAnsi="Times New Roman" w:cs="Times New Roman"/>
      <w:sz w:val="16"/>
      <w:szCs w:val="16"/>
      <w:lang w:val="en-US"/>
    </w:rPr>
  </w:style>
  <w:style w:type="character" w:customStyle="1" w:styleId="paraChar">
    <w:name w:val="para Char"/>
    <w:basedOn w:val="DefaultParagraphFont"/>
    <w:link w:val="para"/>
    <w:rsid w:val="006E529C"/>
    <w:rPr>
      <w:rFonts w:ascii="Times New Roman" w:eastAsia="Times New Roman" w:hAnsi="Times New Roman" w:cs="Times New Roman"/>
      <w:sz w:val="16"/>
      <w:szCs w:val="16"/>
      <w:lang w:val="en-US"/>
    </w:rPr>
  </w:style>
  <w:style w:type="character" w:styleId="Hyperlink">
    <w:name w:val="Hyperlink"/>
    <w:basedOn w:val="DefaultParagraphFont"/>
    <w:uiPriority w:val="99"/>
    <w:unhideWhenUsed/>
    <w:rsid w:val="006E529C"/>
    <w:rPr>
      <w:color w:val="0563C1" w:themeColor="hyperlink"/>
      <w:u w:val="single"/>
    </w:rPr>
  </w:style>
  <w:style w:type="paragraph" w:styleId="Footer">
    <w:name w:val="footer"/>
    <w:basedOn w:val="Normal"/>
    <w:link w:val="FooterChar"/>
    <w:uiPriority w:val="99"/>
    <w:unhideWhenUsed/>
    <w:rsid w:val="00E03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41A"/>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B-RWTH-Aachen/Exp2Ipynb"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iAMB-RWTH-Aachen/Exp2Ipynb"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B777-D717-4700-B2DE-5F2FDCC0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17233</Words>
  <Characters>108575</Characters>
  <Application>Microsoft Office Word</Application>
  <DocSecurity>0</DocSecurity>
  <Lines>904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 Liebal</dc:creator>
  <cp:keywords/>
  <dc:description/>
  <cp:lastModifiedBy>Ulf Liebal</cp:lastModifiedBy>
  <cp:revision>13</cp:revision>
  <cp:lastPrinted>2020-12-14T20:27:00Z</cp:lastPrinted>
  <dcterms:created xsi:type="dcterms:W3CDTF">2020-12-14T17:15:00Z</dcterms:created>
  <dcterms:modified xsi:type="dcterms:W3CDTF">2020-12-14T20:27:00Z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http://www.zotero.org/styles/bioinformatics</vt:lpwstr>
  </property>
  <property fmtid="{D5CDD505-2E9C-101B-9397-08002B2CF9AE}" pid="9" name="Mendeley Recent Style Name 3_1">
    <vt:lpwstr>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