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2CD" w:rsidRDefault="008D2353" w:rsidP="00114CEA">
      <w:pPr>
        <w:spacing w:line="480" w:lineRule="auto"/>
        <w:rPr>
          <w:rFonts w:eastAsia="Times New Roman" w:cs="Times New Roman"/>
          <w:b/>
          <w:sz w:val="34"/>
          <w:szCs w:val="34"/>
          <w:lang w:val="en-US" w:eastAsia="de-DE"/>
        </w:rPr>
      </w:pPr>
      <w:r w:rsidRPr="008D2353">
        <w:rPr>
          <w:rFonts w:eastAsia="Times New Roman" w:cs="Times New Roman"/>
          <w:b/>
          <w:sz w:val="34"/>
          <w:szCs w:val="34"/>
          <w:lang w:val="en-US" w:eastAsia="de-DE"/>
        </w:rPr>
        <w:t xml:space="preserve">Promoter library analysis and sequence prediction with </w:t>
      </w:r>
      <w:proofErr w:type="spellStart"/>
      <w:r w:rsidR="00BA6070">
        <w:rPr>
          <w:rFonts w:eastAsia="Times New Roman" w:cs="Times New Roman"/>
          <w:b/>
          <w:sz w:val="34"/>
          <w:szCs w:val="34"/>
          <w:lang w:val="en-US" w:eastAsia="de-DE"/>
        </w:rPr>
        <w:t>Jupyter</w:t>
      </w:r>
      <w:proofErr w:type="spellEnd"/>
      <w:r w:rsidR="00BA6070">
        <w:rPr>
          <w:rFonts w:eastAsia="Times New Roman" w:cs="Times New Roman"/>
          <w:b/>
          <w:sz w:val="34"/>
          <w:szCs w:val="34"/>
          <w:lang w:val="en-US" w:eastAsia="de-DE"/>
        </w:rPr>
        <w:t xml:space="preserve">-notebook assisted </w:t>
      </w:r>
      <w:r w:rsidRPr="008D2353">
        <w:rPr>
          <w:rFonts w:eastAsia="Times New Roman" w:cs="Times New Roman"/>
          <w:b/>
          <w:sz w:val="34"/>
          <w:szCs w:val="34"/>
          <w:lang w:val="en-US" w:eastAsia="de-DE"/>
        </w:rPr>
        <w:t xml:space="preserve">random forest regressor </w:t>
      </w:r>
    </w:p>
    <w:p w:rsidR="008D2353" w:rsidRDefault="008D2353" w:rsidP="00114CEA">
      <w:pPr>
        <w:spacing w:line="480" w:lineRule="auto"/>
        <w:rPr>
          <w:sz w:val="24"/>
          <w:szCs w:val="24"/>
          <w:vertAlign w:val="superscript"/>
          <w:lang w:val="en-US"/>
        </w:rPr>
      </w:pPr>
      <w:r w:rsidRPr="008D2353">
        <w:rPr>
          <w:sz w:val="24"/>
          <w:szCs w:val="24"/>
          <w:lang w:val="en-US"/>
        </w:rPr>
        <w:t xml:space="preserve">Ulf </w:t>
      </w:r>
      <w:r>
        <w:rPr>
          <w:sz w:val="24"/>
          <w:szCs w:val="24"/>
          <w:lang w:val="en-US"/>
        </w:rPr>
        <w:t>W. Liebal</w:t>
      </w:r>
      <w:r w:rsidRPr="008D2353">
        <w:rPr>
          <w:sz w:val="24"/>
          <w:szCs w:val="24"/>
          <w:vertAlign w:val="superscript"/>
          <w:lang w:val="en-US"/>
        </w:rPr>
        <w:t>1</w:t>
      </w:r>
      <w:r w:rsidRPr="008D2353">
        <w:rPr>
          <w:vertAlign w:val="superscript"/>
          <w:lang w:val="en-US"/>
        </w:rPr>
        <w:t>†</w:t>
      </w:r>
      <w:r>
        <w:rPr>
          <w:sz w:val="24"/>
          <w:szCs w:val="24"/>
          <w:lang w:val="en-US"/>
        </w:rPr>
        <w:t>, Sebastian Köbbing</w:t>
      </w:r>
      <w:r w:rsidRPr="008D2353">
        <w:rPr>
          <w:sz w:val="24"/>
          <w:szCs w:val="24"/>
          <w:vertAlign w:val="superscript"/>
          <w:lang w:val="en-US"/>
        </w:rPr>
        <w:t>1</w:t>
      </w:r>
      <w:r>
        <w:rPr>
          <w:sz w:val="24"/>
          <w:szCs w:val="24"/>
          <w:lang w:val="en-US"/>
        </w:rPr>
        <w:t>, Lars M. Blank</w:t>
      </w:r>
      <w:r w:rsidRPr="008D2353">
        <w:rPr>
          <w:sz w:val="24"/>
          <w:szCs w:val="24"/>
          <w:vertAlign w:val="superscript"/>
          <w:lang w:val="en-US"/>
        </w:rPr>
        <w:t>1</w:t>
      </w:r>
    </w:p>
    <w:p w:rsidR="008D2353" w:rsidRDefault="008D2353" w:rsidP="00114CEA">
      <w:pPr>
        <w:spacing w:line="480" w:lineRule="auto"/>
        <w:rPr>
          <w:lang w:val="en-US"/>
        </w:rPr>
      </w:pPr>
      <w:r w:rsidRPr="008D2353">
        <w:rPr>
          <w:vertAlign w:val="superscript"/>
          <w:lang w:val="en-US"/>
        </w:rPr>
        <w:t xml:space="preserve">1 </w:t>
      </w:r>
      <w:r w:rsidRPr="008D2353">
        <w:rPr>
          <w:lang w:val="en-US"/>
        </w:rPr>
        <w:t>Institute of Applied Microbiology-</w:t>
      </w:r>
      <w:proofErr w:type="spellStart"/>
      <w:r w:rsidRPr="008D2353">
        <w:rPr>
          <w:lang w:val="en-US"/>
        </w:rPr>
        <w:t>iAMB</w:t>
      </w:r>
      <w:proofErr w:type="spellEnd"/>
      <w:r w:rsidRPr="008D2353">
        <w:rPr>
          <w:lang w:val="en-US"/>
        </w:rPr>
        <w:t>, Aachen Biology and Biotechnology-</w:t>
      </w:r>
      <w:proofErr w:type="spellStart"/>
      <w:r w:rsidRPr="008D2353">
        <w:rPr>
          <w:lang w:val="en-US"/>
        </w:rPr>
        <w:t>ABBt</w:t>
      </w:r>
      <w:proofErr w:type="spellEnd"/>
      <w:r w:rsidRPr="008D2353">
        <w:rPr>
          <w:lang w:val="en-US"/>
        </w:rPr>
        <w:t xml:space="preserve">, RWTH Aachen University, </w:t>
      </w:r>
      <w:proofErr w:type="spellStart"/>
      <w:r w:rsidRPr="008D2353">
        <w:rPr>
          <w:lang w:val="en-US"/>
        </w:rPr>
        <w:t>Worringerweg</w:t>
      </w:r>
      <w:proofErr w:type="spellEnd"/>
      <w:r w:rsidRPr="008D2353">
        <w:rPr>
          <w:lang w:val="en-US"/>
        </w:rPr>
        <w:t xml:space="preserve"> 1, 52074 Aachen, Germany</w:t>
      </w:r>
    </w:p>
    <w:p w:rsidR="008D2353" w:rsidRDefault="008D2353" w:rsidP="00114CEA">
      <w:pPr>
        <w:spacing w:line="480" w:lineRule="auto"/>
        <w:rPr>
          <w:lang w:val="en-US"/>
        </w:rPr>
      </w:pPr>
      <w:r w:rsidRPr="008D2353">
        <w:rPr>
          <w:lang w:val="en-US"/>
        </w:rPr>
        <w:t xml:space="preserve">KEYWORDS: </w:t>
      </w:r>
      <w:r w:rsidR="00BA6070">
        <w:rPr>
          <w:lang w:val="en-US"/>
        </w:rPr>
        <w:t xml:space="preserve">Biotechnology, </w:t>
      </w:r>
      <w:r w:rsidRPr="008D2353">
        <w:rPr>
          <w:lang w:val="en-US"/>
        </w:rPr>
        <w:t xml:space="preserve">Synthetic Biology, </w:t>
      </w:r>
      <w:r w:rsidR="00BA6070">
        <w:rPr>
          <w:lang w:val="en-US"/>
        </w:rPr>
        <w:t>P</w:t>
      </w:r>
      <w:r w:rsidRPr="008D2353">
        <w:rPr>
          <w:lang w:val="en-US"/>
        </w:rPr>
        <w:t xml:space="preserve">romoters, Pseudomonas, </w:t>
      </w:r>
      <w:r w:rsidR="00BA6070">
        <w:rPr>
          <w:lang w:val="en-US"/>
        </w:rPr>
        <w:t>Machine Learning, Random Forest, Python</w:t>
      </w:r>
    </w:p>
    <w:p w:rsidR="00114CEA" w:rsidRPr="00114CEA" w:rsidRDefault="00114CEA" w:rsidP="00114CEA">
      <w:pPr>
        <w:spacing w:line="480" w:lineRule="auto"/>
        <w:rPr>
          <w:b/>
          <w:lang w:val="en-US"/>
        </w:rPr>
      </w:pPr>
      <w:r w:rsidRPr="00114CEA">
        <w:rPr>
          <w:b/>
          <w:lang w:val="en-US"/>
        </w:rPr>
        <w:t>ABSTRACT</w:t>
      </w:r>
    </w:p>
    <w:p w:rsidR="0061331F" w:rsidRDefault="00383BAB" w:rsidP="00114CEA">
      <w:pPr>
        <w:spacing w:line="480" w:lineRule="auto"/>
        <w:jc w:val="both"/>
        <w:rPr>
          <w:lang w:val="en-US"/>
        </w:rPr>
      </w:pPr>
      <w:r>
        <w:rPr>
          <w:lang w:val="en-US"/>
        </w:rPr>
        <w:t>In metabolic engineering heterologous enzymes are expressed to introduce new metabolic pathways to micro-organisms. Tight control of gene expression is beneficial to fine-tune enzyme activity, possibly across multiple hosts to either identify the optimal host or to separate cloning and production host. Among the main determinants of heterologous gene expression is the promoter region</w:t>
      </w:r>
      <w:r w:rsidR="000B5910">
        <w:rPr>
          <w:lang w:val="en-US"/>
        </w:rPr>
        <w:t xml:space="preserve">. However, detailed knowledge of the translation of a promoter </w:t>
      </w:r>
      <w:r w:rsidR="00593713">
        <w:rPr>
          <w:lang w:val="en-US"/>
        </w:rPr>
        <w:t xml:space="preserve">sequence </w:t>
      </w:r>
      <w:r w:rsidR="000B5910">
        <w:rPr>
          <w:lang w:val="en-US"/>
        </w:rPr>
        <w:t>to an expression strength is missing.</w:t>
      </w:r>
      <w:r>
        <w:rPr>
          <w:lang w:val="en-US"/>
        </w:rPr>
        <w:t xml:space="preserve"> </w:t>
      </w:r>
      <w:r w:rsidR="000B5910">
        <w:rPr>
          <w:lang w:val="en-US"/>
        </w:rPr>
        <w:t xml:space="preserve">Here we present a </w:t>
      </w:r>
      <w:proofErr w:type="spellStart"/>
      <w:r w:rsidR="000B5910">
        <w:rPr>
          <w:lang w:val="en-US"/>
        </w:rPr>
        <w:t>Jup</w:t>
      </w:r>
      <w:r w:rsidR="007E4CD4">
        <w:rPr>
          <w:lang w:val="en-US"/>
        </w:rPr>
        <w:t>y</w:t>
      </w:r>
      <w:r w:rsidR="000B5910">
        <w:rPr>
          <w:lang w:val="en-US"/>
        </w:rPr>
        <w:t>ter</w:t>
      </w:r>
      <w:proofErr w:type="spellEnd"/>
      <w:r w:rsidR="000B5910">
        <w:rPr>
          <w:lang w:val="en-US"/>
        </w:rPr>
        <w:t xml:space="preserve"> notebook workflow that uses a promoter library from </w:t>
      </w:r>
      <w:r w:rsidR="000B5910" w:rsidRPr="000B5910">
        <w:rPr>
          <w:i/>
          <w:lang w:val="en-US"/>
        </w:rPr>
        <w:t>P. putida</w:t>
      </w:r>
      <w:r w:rsidR="000B5910">
        <w:rPr>
          <w:lang w:val="en-US"/>
        </w:rPr>
        <w:t xml:space="preserve"> and trains a random forest regressor. The random forest regressor allows for the activity prediction of thousands of novel promoter sequences that cover </w:t>
      </w:r>
      <w:r w:rsidR="007E4CD4">
        <w:rPr>
          <w:lang w:val="en-US"/>
        </w:rPr>
        <w:t>a broad range of expression profiles</w:t>
      </w:r>
      <w:r w:rsidR="007E4CD4">
        <w:rPr>
          <w:lang w:val="en-US"/>
        </w:rPr>
        <w:t xml:space="preserve"> while</w:t>
      </w:r>
      <w:r w:rsidR="000B5910">
        <w:rPr>
          <w:lang w:val="en-US"/>
        </w:rPr>
        <w:t xml:space="preserve"> mini</w:t>
      </w:r>
      <w:r w:rsidR="007E4CD4">
        <w:rPr>
          <w:lang w:val="en-US"/>
        </w:rPr>
        <w:t>mizing</w:t>
      </w:r>
      <w:r w:rsidR="000B5910">
        <w:rPr>
          <w:lang w:val="en-US"/>
        </w:rPr>
        <w:t xml:space="preserve"> genetic adjustments to </w:t>
      </w:r>
      <w:r w:rsidR="00114CEA">
        <w:rPr>
          <w:lang w:val="en-US"/>
        </w:rPr>
        <w:t>a reference</w:t>
      </w:r>
      <w:r w:rsidR="000B5910">
        <w:rPr>
          <w:lang w:val="en-US"/>
        </w:rPr>
        <w:t xml:space="preserve"> sequence.</w:t>
      </w:r>
      <w:r w:rsidR="00685E9F">
        <w:rPr>
          <w:lang w:val="en-US"/>
        </w:rPr>
        <w:t xml:space="preserve"> Th</w:t>
      </w:r>
      <w:r w:rsidR="007E4CD4">
        <w:rPr>
          <w:lang w:val="en-US"/>
        </w:rPr>
        <w:t>e associated statistical analyse</w:t>
      </w:r>
      <w:r w:rsidR="00685E9F">
        <w:rPr>
          <w:lang w:val="en-US"/>
        </w:rPr>
        <w:t>s identif</w:t>
      </w:r>
      <w:r w:rsidR="007E4CD4">
        <w:rPr>
          <w:lang w:val="en-US"/>
        </w:rPr>
        <w:t>y</w:t>
      </w:r>
      <w:r w:rsidR="00685E9F">
        <w:rPr>
          <w:lang w:val="en-US"/>
        </w:rPr>
        <w:t xml:space="preserve"> the sequence exploration space of the promoter library within which reasonable predictions are possible. The random forest regression extracts the position-specific nucleotide-base importance towards the activity prediction and reproduces the outstanding effects of -35 and -10 promoter domains.</w:t>
      </w:r>
      <w:r w:rsidR="00504490">
        <w:rPr>
          <w:lang w:val="en-US"/>
        </w:rPr>
        <w:t xml:space="preserve"> The workflow identifies novel promoter sequences with defined activities t</w:t>
      </w:r>
      <w:r w:rsidR="00114CEA">
        <w:rPr>
          <w:lang w:val="en-US"/>
        </w:rPr>
        <w:t>hereby</w:t>
      </w:r>
      <w:r w:rsidR="00504490">
        <w:rPr>
          <w:lang w:val="en-US"/>
        </w:rPr>
        <w:t xml:space="preserve"> enlarg</w:t>
      </w:r>
      <w:r w:rsidR="00114CEA">
        <w:rPr>
          <w:lang w:val="en-US"/>
        </w:rPr>
        <w:t>ing</w:t>
      </w:r>
      <w:r w:rsidR="00504490">
        <w:rPr>
          <w:lang w:val="en-US"/>
        </w:rPr>
        <w:t xml:space="preserve"> the promoter toolbox for controlled gene expression. Moreover, the notebook is flexible to also analyze multiple promoter libraries across multiple species to predict defined cross-host acti</w:t>
      </w:r>
      <w:bookmarkStart w:id="0" w:name="_GoBack"/>
      <w:bookmarkEnd w:id="0"/>
      <w:r w:rsidR="00504490">
        <w:rPr>
          <w:lang w:val="en-US"/>
        </w:rPr>
        <w:t xml:space="preserve">vity. It can be adapted to investigate any sequence library to identify sequence factors that determine </w:t>
      </w:r>
      <w:r w:rsidR="005D640A">
        <w:rPr>
          <w:lang w:val="en-US"/>
        </w:rPr>
        <w:t>desired quantitative</w:t>
      </w:r>
      <w:r w:rsidR="00504490">
        <w:rPr>
          <w:lang w:val="en-US"/>
        </w:rPr>
        <w:t xml:space="preserve"> outcome</w:t>
      </w:r>
      <w:r w:rsidR="005D640A">
        <w:rPr>
          <w:lang w:val="en-US"/>
        </w:rPr>
        <w:t>s</w:t>
      </w:r>
      <w:r w:rsidR="00504490">
        <w:rPr>
          <w:lang w:val="en-US"/>
        </w:rPr>
        <w:t>.</w:t>
      </w:r>
    </w:p>
    <w:p w:rsidR="00114CEA" w:rsidRDefault="00114CEA" w:rsidP="00114CEA">
      <w:pPr>
        <w:rPr>
          <w:b/>
          <w:lang w:val="en-US"/>
        </w:rPr>
      </w:pPr>
      <w:r>
        <w:rPr>
          <w:b/>
          <w:lang w:val="en-US"/>
        </w:rPr>
        <w:br w:type="page"/>
      </w:r>
    </w:p>
    <w:p w:rsidR="0061331F" w:rsidRPr="0061331F" w:rsidRDefault="0061331F" w:rsidP="00114CEA">
      <w:pPr>
        <w:rPr>
          <w:b/>
          <w:lang w:val="en-US"/>
        </w:rPr>
      </w:pPr>
      <w:r w:rsidRPr="0061331F">
        <w:rPr>
          <w:b/>
          <w:lang w:val="en-US"/>
        </w:rPr>
        <w:t>INTRODUCTION</w:t>
      </w:r>
    </w:p>
    <w:p w:rsidR="007E4CD4" w:rsidRPr="00465C9C" w:rsidRDefault="00465C9C" w:rsidP="00114CEA">
      <w:pPr>
        <w:spacing w:line="480" w:lineRule="auto"/>
        <w:rPr>
          <w:b/>
          <w:lang w:val="en-US"/>
        </w:rPr>
      </w:pPr>
      <w:r w:rsidRPr="00465C9C">
        <w:rPr>
          <w:b/>
          <w:lang w:val="en-US"/>
        </w:rPr>
        <w:t>Expression activity prediction from sequence</w:t>
      </w:r>
    </w:p>
    <w:p w:rsidR="0061331F" w:rsidRDefault="0061331F" w:rsidP="00114CEA">
      <w:pPr>
        <w:spacing w:line="480" w:lineRule="auto"/>
        <w:rPr>
          <w:lang w:val="en-US"/>
        </w:rPr>
      </w:pPr>
      <w:r>
        <w:rPr>
          <w:lang w:val="en-US"/>
        </w:rPr>
        <w:t xml:space="preserve">ML prediction of quantitative phenotypes from nucleic acid sequences </w:t>
      </w:r>
      <w:r>
        <w:rPr>
          <w:lang w:val="en-US"/>
        </w:rPr>
        <w:fldChar w:fldCharType="begin"/>
      </w:r>
      <w:r>
        <w:rPr>
          <w:lang w:val="en-US"/>
        </w:rPr>
        <w:instrText xml:space="preserve"> ADDIN EN.CITE &lt;EndNote&gt;&lt;Cite&gt;&lt;Author&gt;Sauer&lt;/Author&gt;&lt;Year&gt;2019&lt;/Year&gt;&lt;RecNum&gt;1999&lt;/RecNum&gt;&lt;DisplayText&gt;&lt;style face="superscript"&gt;1&lt;/style&gt;&lt;/DisplayText&gt;&lt;record&gt;&lt;rec-number&gt;1999&lt;/rec-number&gt;&lt;foreign-keys&gt;&lt;key app="EN" db-id="d9p950pff9efvkesrtnx2fwldvfpv92wez25" timestamp="1574929555"&gt;1999&lt;/key&gt;&lt;/foreign-keys&gt;&lt;ref-type name="Journal Article"&gt;17&lt;/ref-type&gt;&lt;contributors&gt;&lt;authors&gt;&lt;author&gt;Sauer, David&lt;/author&gt;&lt;author&gt;Wang, Da-Neng&lt;/author&gt;&lt;/authors&gt;&lt;/contributors&gt;&lt;titles&gt;&lt;title&gt;Using machine learning to predict quantitative phenotypes from protein and nucleic acid sequences&lt;/title&gt;&lt;secondary-title&gt;bioRxiv&lt;/secondary-title&gt;&lt;/titles&gt;&lt;periodical&gt;&lt;full-title&gt;BioRXiv&lt;/full-title&gt;&lt;/periodical&gt;&lt;dates&gt;&lt;year&gt;2019&lt;/year&gt;&lt;/dates&gt;&lt;work-type&gt;https://doi.org/10.1101/677328&lt;/work-type&gt;&lt;urls&gt;&lt;related-urls&gt;&lt;url&gt;https://www.biorxiv.org/content/early/2019/11/27/677328&lt;/url&gt;&lt;/related-urls&gt;&lt;/urls&gt;&lt;/record&gt;&lt;/Cite&gt;&lt;/EndNote&gt;</w:instrText>
      </w:r>
      <w:r>
        <w:rPr>
          <w:lang w:val="en-US"/>
        </w:rPr>
        <w:fldChar w:fldCharType="separate"/>
      </w:r>
      <w:r w:rsidRPr="0061331F">
        <w:rPr>
          <w:noProof/>
          <w:vertAlign w:val="superscript"/>
          <w:lang w:val="en-US"/>
        </w:rPr>
        <w:t>1</w:t>
      </w:r>
      <w:r>
        <w:rPr>
          <w:lang w:val="en-US"/>
        </w:rPr>
        <w:fldChar w:fldCharType="end"/>
      </w:r>
    </w:p>
    <w:p w:rsidR="0061331F" w:rsidRDefault="007E4CD4" w:rsidP="00114CEA">
      <w:pPr>
        <w:spacing w:line="480" w:lineRule="auto"/>
        <w:rPr>
          <w:lang w:val="en-US"/>
        </w:rPr>
      </w:pPr>
      <w:r>
        <w:rPr>
          <w:lang w:val="en-US"/>
        </w:rPr>
        <w:t xml:space="preserve">Scoring of sequence to activity with position weight matrix (PWM) </w:t>
      </w:r>
      <w:r>
        <w:rPr>
          <w:lang w:val="en-US"/>
        </w:rPr>
        <w:fldChar w:fldCharType="begin"/>
      </w:r>
      <w:r>
        <w:rPr>
          <w:lang w:val="en-US"/>
        </w:rPr>
        <w:instrText xml:space="preserve"> ADDIN EN.CITE &lt;EndNote&gt;&lt;Cite&gt;&lt;Author&gt;Rhodius&lt;/Author&gt;&lt;Year&gt;2011&lt;/Year&gt;&lt;RecNum&gt;2000&lt;/RecNum&gt;&lt;DisplayText&gt;&lt;style face="superscript"&gt;2&lt;/style&gt;&lt;/DisplayText&gt;&lt;record&gt;&lt;rec-number&gt;2000&lt;/rec-number&gt;&lt;foreign-keys&gt;&lt;key app="EN" db-id="d9p950pff9efvkesrtnx2fwldvfpv92wez25" timestamp="1574933245"&gt;2000&lt;/key&gt;&lt;/foreign-keys&gt;&lt;ref-type name="Journal Article"&gt;17&lt;/ref-type&gt;&lt;contributors&gt;&lt;authors&gt;&lt;author&gt;Rhodius, Virgil A.&lt;/author&gt;&lt;author&gt;Mutalik, Vivek K.&lt;/author&gt;&lt;author&gt;Gross, Carol A.&lt;/author&gt;&lt;/authors&gt;&lt;/contributors&gt;&lt;titles&gt;&lt;title&gt;Predicting the strength of UP-elements and full-length E. coli σE promoters&lt;/title&gt;&lt;secondary-title&gt;Nucleic acids research&lt;/secondary-title&gt;&lt;/titles&gt;&lt;periodical&gt;&lt;full-title&gt;Nucleic Acids Research&lt;/full-title&gt;&lt;/periodical&gt;&lt;pages&gt;2907-2924&lt;/pages&gt;&lt;volume&gt;40&lt;/volume&gt;&lt;number&gt;7&lt;/number&gt;&lt;dates&gt;&lt;year&gt;2011&lt;/year&gt;&lt;/dates&gt;&lt;work-type&gt;https://doi.org/10.1093/nar/gkr1190&lt;/work-type&gt;&lt;urls&gt;&lt;/urls&gt;&lt;/record&gt;&lt;/Cite&gt;&lt;/EndNote&gt;</w:instrText>
      </w:r>
      <w:r>
        <w:rPr>
          <w:lang w:val="en-US"/>
        </w:rPr>
        <w:fldChar w:fldCharType="separate"/>
      </w:r>
      <w:r w:rsidRPr="007E4CD4">
        <w:rPr>
          <w:noProof/>
          <w:vertAlign w:val="superscript"/>
          <w:lang w:val="en-US"/>
        </w:rPr>
        <w:t>2</w:t>
      </w:r>
      <w:r>
        <w:rPr>
          <w:lang w:val="en-US"/>
        </w:rPr>
        <w:fldChar w:fldCharType="end"/>
      </w:r>
    </w:p>
    <w:p w:rsidR="00465C9C" w:rsidRDefault="00465C9C" w:rsidP="00114CEA">
      <w:pPr>
        <w:spacing w:line="480" w:lineRule="auto"/>
        <w:rPr>
          <w:lang w:val="en-US"/>
        </w:rPr>
      </w:pPr>
      <w:proofErr w:type="spellStart"/>
      <w:r>
        <w:rPr>
          <w:lang w:val="en-US"/>
        </w:rPr>
        <w:t>sigmaE</w:t>
      </w:r>
      <w:proofErr w:type="spellEnd"/>
      <w:r>
        <w:rPr>
          <w:lang w:val="en-US"/>
        </w:rPr>
        <w:t xml:space="preserve"> in E. coli with different ML-approaches </w:t>
      </w:r>
      <w:r>
        <w:rPr>
          <w:lang w:val="en-US"/>
        </w:rPr>
        <w:fldChar w:fldCharType="begin"/>
      </w:r>
      <w:r>
        <w:rPr>
          <w:lang w:val="en-US"/>
        </w:rPr>
        <w:instrText xml:space="preserve"> ADDIN EN.CITE &lt;EndNote&gt;&lt;Cite&gt;&lt;Author&gt;Meng&lt;/Author&gt;&lt;Year&gt;2013&lt;/Year&gt;&lt;RecNum&gt;1992&lt;/RecNum&gt;&lt;DisplayText&gt;&lt;style face="superscript"&gt;3,4&lt;/style&gt;&lt;/DisplayText&gt;&lt;record&gt;&lt;rec-number&gt;1992&lt;/rec-number&gt;&lt;foreign-keys&gt;&lt;key app="EN" db-id="d9p950pff9efvkesrtnx2fwldvfpv92wez25" timestamp="1549450039"&gt;1992&lt;/key&gt;&lt;/foreign-keys&gt;&lt;ref-type name="Journal Article"&gt;17&lt;/ref-type&gt;&lt;contributors&gt;&lt;authors&gt;&lt;author&gt;Meng, Hailin&lt;/author&gt;&lt;author&gt;Wang, Jianfeng&lt;/author&gt;&lt;author&gt;Xiong, Zhiqiang&lt;/author&gt;&lt;author&gt;Xu, Feng&lt;/author&gt;&lt;author&gt;Zhao, Guoping&lt;/author&gt;&lt;author&gt;Wang, Yong&lt;/author&gt;&lt;/authors&gt;&lt;/contributors&gt;&lt;titles&gt;&lt;title&gt;Quantitative design of regulatory elements based on high-precision strength prediction using artificial neural network&lt;/title&gt;&lt;secondary-title&gt;PLoS One&lt;/secondary-title&gt;&lt;/titles&gt;&lt;periodical&gt;&lt;full-title&gt;PLOS ONE&lt;/full-title&gt;&lt;/periodical&gt;&lt;pages&gt;e60288-e60288&lt;/pages&gt;&lt;volume&gt;8&lt;/volume&gt;&lt;number&gt;4&lt;/number&gt;&lt;dates&gt;&lt;year&gt;2013&lt;/year&gt;&lt;/dates&gt;&lt;work-type&gt;http://dx.doi.org/10.1371/journal.pone.0060288&lt;/work-type&gt;&lt;urls&gt;&lt;/urls&gt;&lt;/record&gt;&lt;/Cite&gt;&lt;Cite&gt;&lt;Author&gt;Meng&lt;/Author&gt;&lt;Year&gt;2017&lt;/Year&gt;&lt;RecNum&gt;1991&lt;/RecNum&gt;&lt;record&gt;&lt;rec-number&gt;1991&lt;/rec-number&gt;&lt;foreign-keys&gt;&lt;key app="EN" db-id="d9p950pff9efvkesrtnx2fwldvfpv92wez25" timestamp="1549447549"&gt;1991&lt;/key&gt;&lt;/foreign-keys&gt;&lt;ref-type name="Journal Article"&gt;17&lt;/ref-type&gt;&lt;contributors&gt;&lt;authors&gt;&lt;author&gt;Meng, Hailin&lt;/author&gt;&lt;author&gt;Ma, Yingfei&lt;/author&gt;&lt;author&gt;Mai, Guoqin&lt;/author&gt;&lt;author&gt;Wang, Yong&lt;/author&gt;&lt;author&gt;Liu, Chenli&lt;/author&gt;&lt;/authors&gt;&lt;/contributors&gt;&lt;titles&gt;&lt;title&gt;Construction of precise support vector machine based models for predicting promoter strength&lt;/title&gt;&lt;secondary-title&gt;Quantitative Biology&lt;/secondary-title&gt;&lt;/titles&gt;&lt;periodical&gt;&lt;full-title&gt;Quantitative Biology&lt;/full-title&gt;&lt;/periodical&gt;&lt;pages&gt;90-98&lt;/pages&gt;&lt;volume&gt;5&lt;/volume&gt;&lt;number&gt;1&lt;/number&gt;&lt;dates&gt;&lt;year&gt;2017&lt;/year&gt;&lt;/dates&gt;&lt;work-type&gt;http://dx.doi.org/10.1007/s40484-017-0096-3&lt;/work-type&gt;&lt;urls&gt;&lt;/urls&gt;&lt;/record&gt;&lt;/Cite&gt;&lt;/EndNote&gt;</w:instrText>
      </w:r>
      <w:r>
        <w:rPr>
          <w:lang w:val="en-US"/>
        </w:rPr>
        <w:fldChar w:fldCharType="separate"/>
      </w:r>
      <w:r w:rsidRPr="00465C9C">
        <w:rPr>
          <w:noProof/>
          <w:vertAlign w:val="superscript"/>
          <w:lang w:val="en-US"/>
        </w:rPr>
        <w:t>3,4</w:t>
      </w:r>
      <w:r>
        <w:rPr>
          <w:lang w:val="en-US"/>
        </w:rPr>
        <w:fldChar w:fldCharType="end"/>
      </w:r>
    </w:p>
    <w:p w:rsidR="00383BAB" w:rsidRPr="00465C9C" w:rsidRDefault="007E4CD4" w:rsidP="00114CEA">
      <w:pPr>
        <w:spacing w:line="480" w:lineRule="auto"/>
        <w:rPr>
          <w:b/>
          <w:lang w:val="en-US"/>
        </w:rPr>
      </w:pPr>
      <w:r w:rsidRPr="00465C9C">
        <w:rPr>
          <w:b/>
          <w:lang w:val="en-US"/>
        </w:rPr>
        <w:t>Library construction developments</w:t>
      </w:r>
    </w:p>
    <w:p w:rsidR="007E4CD4" w:rsidRDefault="00465C9C" w:rsidP="00114CEA">
      <w:pPr>
        <w:spacing w:line="480" w:lineRule="auto"/>
        <w:rPr>
          <w:lang w:val="en-US"/>
        </w:rPr>
      </w:pPr>
      <w:r>
        <w:rPr>
          <w:lang w:val="en-US"/>
        </w:rPr>
        <w:t xml:space="preserve">Standardized expression elements </w:t>
      </w:r>
      <w:r>
        <w:rPr>
          <w:lang w:val="en-US"/>
        </w:rPr>
        <w:fldChar w:fldCharType="begin"/>
      </w:r>
      <w:r>
        <w:rPr>
          <w:lang w:val="en-US"/>
        </w:rPr>
        <w:instrText xml:space="preserve"> ADDIN EN.CITE &lt;EndNote&gt;&lt;Cite&gt;&lt;Author&gt;Mutalik&lt;/Author&gt;&lt;Year&gt;2013&lt;/Year&gt;&lt;RecNum&gt;2001&lt;/RecNum&gt;&lt;DisplayText&gt;&lt;style face="superscript"&gt;5&lt;/style&gt;&lt;/DisplayText&gt;&lt;record&gt;&lt;rec-number&gt;2001&lt;/rec-number&gt;&lt;foreign-keys&gt;&lt;key app="EN" db-id="d9p950pff9efvkesrtnx2fwldvfpv92wez25" timestamp="1574933273"&gt;2001&lt;/key&gt;&lt;/foreign-keys&gt;&lt;ref-type name="Journal Article"&gt;17&lt;/ref-type&gt;&lt;contributors&gt;&lt;authors&gt;&lt;author&gt;Mutalik, Vivek K.&lt;/author&gt;&lt;author&gt;Guimaraes, Joao C.&lt;/author&gt;&lt;author&gt;Cambray, Guillaume&lt;/author&gt;&lt;author&gt;Lam, Colin&lt;/author&gt;&lt;author&gt;Christoffersen, Marc Juul&lt;/author&gt;&lt;author&gt;Mai, Quynh-Anh&lt;/author&gt;&lt;author&gt;Tran, Andrew B.&lt;/author&gt;&lt;author&gt;Paull, Morgan&lt;/author&gt;&lt;author&gt;Keasling, Jay D.&lt;/author&gt;&lt;author&gt;Arkin, Adam P.&lt;/author&gt;&lt;author&gt;others,&lt;/author&gt;&lt;/authors&gt;&lt;/contributors&gt;&lt;titles&gt;&lt;title&gt;Precise and reliable gene expression via standard transcription and translation initiation elements&lt;/title&gt;&lt;secondary-title&gt;Nature methods&lt;/secondary-title&gt;&lt;/titles&gt;&lt;periodical&gt;&lt;full-title&gt;Nature methods&lt;/full-title&gt;&lt;/periodical&gt;&lt;pages&gt;354-354&lt;/pages&gt;&lt;volume&gt;10&lt;/volume&gt;&lt;number&gt;4&lt;/number&gt;&lt;dates&gt;&lt;year&gt;2013&lt;/year&gt;&lt;/dates&gt;&lt;work-type&gt;https://doi.org/10.1038/nmeth.2404&lt;/work-type&gt;&lt;urls&gt;&lt;/urls&gt;&lt;/record&gt;&lt;/Cite&gt;&lt;/EndNote&gt;</w:instrText>
      </w:r>
      <w:r>
        <w:rPr>
          <w:lang w:val="en-US"/>
        </w:rPr>
        <w:fldChar w:fldCharType="separate"/>
      </w:r>
      <w:r w:rsidRPr="00465C9C">
        <w:rPr>
          <w:noProof/>
          <w:vertAlign w:val="superscript"/>
          <w:lang w:val="en-US"/>
        </w:rPr>
        <w:t>5</w:t>
      </w:r>
      <w:r>
        <w:rPr>
          <w:lang w:val="en-US"/>
        </w:rPr>
        <w:fldChar w:fldCharType="end"/>
      </w:r>
    </w:p>
    <w:p w:rsidR="00465C9C" w:rsidRDefault="00465C9C" w:rsidP="00114CEA">
      <w:pPr>
        <w:spacing w:line="480" w:lineRule="auto"/>
        <w:rPr>
          <w:lang w:val="en-US"/>
        </w:rPr>
      </w:pPr>
      <w:r>
        <w:rPr>
          <w:lang w:val="en-US"/>
        </w:rPr>
        <w:t xml:space="preserve">244,000 sequences for translation optimization </w:t>
      </w:r>
      <w:r>
        <w:rPr>
          <w:lang w:val="en-US"/>
        </w:rPr>
        <w:fldChar w:fldCharType="begin"/>
      </w:r>
      <w:r>
        <w:rPr>
          <w:lang w:val="en-US"/>
        </w:rPr>
        <w:instrText xml:space="preserve"> ADDIN EN.CITE &lt;EndNote&gt;&lt;Cite&gt;&lt;Author&gt;Cambray&lt;/Author&gt;&lt;Year&gt;2018&lt;/Year&gt;&lt;RecNum&gt;2004&lt;/RecNum&gt;&lt;DisplayText&gt;&lt;style face="superscript"&gt;6&lt;/style&gt;&lt;/DisplayText&gt;&lt;record&gt;&lt;rec-number&gt;2004&lt;/rec-number&gt;&lt;foreign-keys&gt;&lt;key app="EN" db-id="d9p950pff9efvkesrtnx2fwldvfpv92wez25" timestamp="1574933762"&gt;2004&lt;/key&gt;&lt;/foreign-keys&gt;&lt;ref-type name="Journal Article"&gt;17&lt;/ref-type&gt;&lt;contributors&gt;&lt;authors&gt;&lt;author&gt;Cambray, Guillaume&lt;/author&gt;&lt;author&gt;Guimaraes, Joao C.&lt;/author&gt;&lt;author&gt;Arkin, Adam Paul&lt;/author&gt;&lt;/authors&gt;&lt;/contributors&gt;&lt;titles&gt;&lt;title&gt;Evaluation of 244,000 synthetic sequences reveals design principles to optimize translation in Escherichia coli&lt;/title&gt;&lt;secondary-title&gt;Nature biotechnology&lt;/secondary-title&gt;&lt;/titles&gt;&lt;periodical&gt;&lt;full-title&gt;Nature Biotechnology&lt;/full-title&gt;&lt;/periodical&gt;&lt;pages&gt;1005-1005&lt;/pages&gt;&lt;volume&gt;36&lt;/volume&gt;&lt;number&gt;10&lt;/number&gt;&lt;dates&gt;&lt;year&gt;2018&lt;/year&gt;&lt;/dates&gt;&lt;work-type&gt;https://doi.org/10.1038/nbt.4238&lt;/work-type&gt;&lt;urls&gt;&lt;/urls&gt;&lt;/record&gt;&lt;/Cite&gt;&lt;/EndNote&gt;</w:instrText>
      </w:r>
      <w:r>
        <w:rPr>
          <w:lang w:val="en-US"/>
        </w:rPr>
        <w:fldChar w:fldCharType="separate"/>
      </w:r>
      <w:r w:rsidRPr="00465C9C">
        <w:rPr>
          <w:noProof/>
          <w:vertAlign w:val="superscript"/>
          <w:lang w:val="en-US"/>
        </w:rPr>
        <w:t>6</w:t>
      </w:r>
      <w:r>
        <w:rPr>
          <w:lang w:val="en-US"/>
        </w:rPr>
        <w:fldChar w:fldCharType="end"/>
      </w:r>
    </w:p>
    <w:p w:rsidR="00465C9C" w:rsidRDefault="00465C9C" w:rsidP="00114CEA">
      <w:pPr>
        <w:spacing w:line="480" w:lineRule="auto"/>
        <w:rPr>
          <w:lang w:val="en-US"/>
        </w:rPr>
      </w:pPr>
      <w:r>
        <w:rPr>
          <w:lang w:val="en-US"/>
        </w:rPr>
        <w:t xml:space="preserve">Effect of 5’ untranslated region on expression with 500,000 sequences </w:t>
      </w:r>
      <w:r>
        <w:rPr>
          <w:lang w:val="en-US"/>
        </w:rPr>
        <w:fldChar w:fldCharType="begin"/>
      </w:r>
      <w:r>
        <w:rPr>
          <w:lang w:val="en-US"/>
        </w:rPr>
        <w:instrText xml:space="preserve"> ADDIN EN.CITE &lt;EndNote&gt;&lt;Cite&gt;&lt;Author&gt;Cuperus&lt;/Author&gt;&lt;Year&gt;2017&lt;/Year&gt;&lt;RecNum&gt;2005&lt;/RecNum&gt;&lt;DisplayText&gt;&lt;style face="superscript"&gt;7&lt;/style&gt;&lt;/DisplayText&gt;&lt;record&gt;&lt;rec-number&gt;2005&lt;/rec-number&gt;&lt;foreign-keys&gt;&lt;key app="EN" db-id="d9p950pff9efvkesrtnx2fwldvfpv92wez25" timestamp="1574933912"&gt;2005&lt;/key&gt;&lt;/foreign-keys&gt;&lt;ref-type name="Journal Article"&gt;17&lt;/ref-type&gt;&lt;contributors&gt;&lt;authors&gt;&lt;author&gt;Cuperus, Josh T.&lt;/author&gt;&lt;author&gt;Groves, Benjamin&lt;/author&gt;&lt;author&gt;Kuchina, Anna&lt;/author&gt;&lt;author&gt;Rosenberg, Alexander B.&lt;/author&gt;&lt;author&gt;Jojic, Nebojsa&lt;/author&gt;&lt;author&gt;Fields, Stanley&lt;/author&gt;&lt;author&gt;Seelig, Georg&lt;/author&gt;&lt;/authors&gt;&lt;/contributors&gt;&lt;titles&gt;&lt;title&gt;Deep learning of the regulatory grammar of yeast 5</w:instrText>
      </w:r>
      <w:r>
        <w:rPr>
          <w:rFonts w:ascii="Times New Roman" w:hAnsi="Times New Roman" w:cs="Times New Roman"/>
          <w:lang w:val="en-US"/>
        </w:rPr>
        <w:instrText>′</w:instrText>
      </w:r>
      <w:r>
        <w:rPr>
          <w:lang w:val="en-US"/>
        </w:rPr>
        <w:instrText xml:space="preserve"> untranslated regions from 500,000 random sequences&lt;/title&gt;&lt;secondary-title&gt;Genome Res&lt;/secondary-title&gt;&lt;/titles&gt;&lt;periodical&gt;&lt;full-title&gt;Genome Res&lt;/full-title&gt;&lt;/periodical&gt;&lt;pages&gt;2015-2024&lt;/pages&gt;&lt;volume&gt;27&lt;/volume&gt;&lt;number&gt;12&lt;/number&gt;&lt;dates&gt;&lt;year&gt;2017&lt;/year&gt;&lt;/dates&gt;&lt;work-type&gt;https://doi.org/10.1101/gr.224964.117&lt;/work-type&gt;&lt;urls&gt;&lt;/urls&gt;&lt;/record&gt;&lt;/Cite&gt;&lt;/EndNote&gt;</w:instrText>
      </w:r>
      <w:r>
        <w:rPr>
          <w:lang w:val="en-US"/>
        </w:rPr>
        <w:fldChar w:fldCharType="separate"/>
      </w:r>
      <w:r w:rsidRPr="00465C9C">
        <w:rPr>
          <w:noProof/>
          <w:vertAlign w:val="superscript"/>
          <w:lang w:val="en-US"/>
        </w:rPr>
        <w:t>7</w:t>
      </w:r>
      <w:r>
        <w:rPr>
          <w:lang w:val="en-US"/>
        </w:rPr>
        <w:fldChar w:fldCharType="end"/>
      </w:r>
    </w:p>
    <w:p w:rsidR="00465C9C" w:rsidRPr="00465C9C" w:rsidRDefault="00465C9C" w:rsidP="00114CEA">
      <w:pPr>
        <w:spacing w:line="480" w:lineRule="auto"/>
        <w:rPr>
          <w:b/>
          <w:lang w:val="en-US"/>
        </w:rPr>
      </w:pPr>
      <w:proofErr w:type="spellStart"/>
      <w:r w:rsidRPr="00465C9C">
        <w:rPr>
          <w:b/>
          <w:lang w:val="en-US"/>
        </w:rPr>
        <w:t>Jupyter</w:t>
      </w:r>
      <w:proofErr w:type="spellEnd"/>
      <w:r w:rsidRPr="00465C9C">
        <w:rPr>
          <w:b/>
          <w:lang w:val="en-US"/>
        </w:rPr>
        <w:t xml:space="preserve"> notebook development</w:t>
      </w:r>
    </w:p>
    <w:p w:rsidR="00465C9C" w:rsidRDefault="00465C9C" w:rsidP="00114CEA">
      <w:pPr>
        <w:spacing w:line="480" w:lineRule="auto"/>
        <w:rPr>
          <w:lang w:val="en-US"/>
        </w:rPr>
      </w:pPr>
      <w:r>
        <w:rPr>
          <w:lang w:val="en-US"/>
        </w:rPr>
        <w:t xml:space="preserve">Guidelines for </w:t>
      </w:r>
      <w:proofErr w:type="spellStart"/>
      <w:r>
        <w:rPr>
          <w:lang w:val="en-US"/>
        </w:rPr>
        <w:t>Jupyter</w:t>
      </w:r>
      <w:proofErr w:type="spellEnd"/>
      <w:r>
        <w:rPr>
          <w:lang w:val="en-US"/>
        </w:rPr>
        <w:t xml:space="preserve"> notebook</w:t>
      </w:r>
      <w:r w:rsidR="005D640A">
        <w:rPr>
          <w:lang w:val="en-US"/>
        </w:rPr>
        <w:t xml:space="preserve">s </w:t>
      </w:r>
      <w:r w:rsidR="005D640A">
        <w:rPr>
          <w:lang w:val="en-US"/>
        </w:rPr>
        <w:fldChar w:fldCharType="begin"/>
      </w:r>
      <w:r w:rsidR="005D640A">
        <w:rPr>
          <w:lang w:val="en-US"/>
        </w:rPr>
        <w:instrText xml:space="preserve"> ADDIN EN.CITE &lt;EndNote&gt;&lt;Cite&gt;&lt;Author&gt;Rule&lt;/Author&gt;&lt;Year&gt;2019&lt;/Year&gt;&lt;RecNum&gt;2006&lt;/RecNum&gt;&lt;DisplayText&gt;&lt;style face="superscript"&gt;8&lt;/style&gt;&lt;/DisplayText&gt;&lt;record&gt;&lt;rec-number&gt;2006&lt;/rec-number&gt;&lt;foreign-keys&gt;&lt;key app="EN" db-id="d9p950pff9efvkesrtnx2fwldvfpv92wez25" timestamp="1574934048"&gt;2006&lt;/key&gt;&lt;/foreign-keys&gt;&lt;ref-type name="Journal Article"&gt;17&lt;/ref-type&gt;&lt;contributors&gt;&lt;authors&gt;&lt;author&gt;Rule, Adam&lt;/author&gt;&lt;author&gt;Birmingham, Amanda&lt;/author&gt;&lt;author&gt;Zuniga, Cristal&lt;/author&gt;&lt;author&gt;Altintas, Ilkay&lt;/author&gt;&lt;author&gt;Huang, Shih-Cheng&lt;/author&gt;&lt;author&gt;Knight, Rob&lt;/author&gt;&lt;author&gt;Moshiri, Niema&lt;/author&gt;&lt;author&gt;Nguyen, Mai H.&lt;/author&gt;&lt;author&gt;Rosenthal, Sara Brin&lt;/author&gt;&lt;author&gt;Pérez, Fernando&lt;/author&gt;&lt;author&gt;others,&lt;/author&gt;&lt;/authors&gt;&lt;/contributors&gt;&lt;titles&gt;&lt;title&gt;Ten simple rules for writing and sharing computational analyses in Jupyter Notebooks&lt;/title&gt;&lt;secondary-title&gt;PLoS Comp Biol&lt;/secondary-title&gt;&lt;/titles&gt;&lt;periodical&gt;&lt;full-title&gt;PLoS Comp Biol&lt;/full-title&gt;&lt;/periodical&gt;&lt;dates&gt;&lt;year&gt;2019&lt;/year&gt;&lt;/dates&gt;&lt;work-type&gt;https://doi.org/10.1371/journal.pcbi.1007007&lt;/work-type&gt;&lt;urls&gt;&lt;/urls&gt;&lt;/record&gt;&lt;/Cite&gt;&lt;/EndNote&gt;</w:instrText>
      </w:r>
      <w:r w:rsidR="005D640A">
        <w:rPr>
          <w:lang w:val="en-US"/>
        </w:rPr>
        <w:fldChar w:fldCharType="separate"/>
      </w:r>
      <w:r w:rsidR="005D640A" w:rsidRPr="005D640A">
        <w:rPr>
          <w:noProof/>
          <w:vertAlign w:val="superscript"/>
          <w:lang w:val="en-US"/>
        </w:rPr>
        <w:t>8</w:t>
      </w:r>
      <w:r w:rsidR="005D640A">
        <w:rPr>
          <w:lang w:val="en-US"/>
        </w:rPr>
        <w:fldChar w:fldCharType="end"/>
      </w:r>
    </w:p>
    <w:p w:rsidR="005D640A" w:rsidRDefault="005D640A" w:rsidP="00114CEA">
      <w:pPr>
        <w:spacing w:line="480" w:lineRule="auto"/>
        <w:rPr>
          <w:lang w:val="en-US"/>
        </w:rPr>
      </w:pPr>
      <w:r>
        <w:rPr>
          <w:lang w:val="en-US"/>
        </w:rPr>
        <w:t xml:space="preserve">Existing approaches with MFA in JBEI </w:t>
      </w:r>
      <w:r>
        <w:rPr>
          <w:lang w:val="en-US"/>
        </w:rPr>
        <w:fldChar w:fldCharType="begin">
          <w:fldData xml:space="preserve">PEVuZE5vdGU+PENpdGU+PEF1dGhvcj5CaXJrZWw8L0F1dGhvcj48WWVhcj4yMDE3PC9ZZWFyPjxS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</w:fldData>
        </w:fldChar>
      </w:r>
      <w:r>
        <w:rPr>
          <w:lang w:val="en-US"/>
        </w:rPr>
        <w:instrText xml:space="preserve"> ADDIN EN.CITE </w:instrText>
      </w:r>
      <w:r>
        <w:rPr>
          <w:lang w:val="en-US"/>
        </w:rPr>
        <w:fldChar w:fldCharType="begin">
          <w:fldData xml:space="preserve">PEVuZE5vdGU+PENpdGU+PEF1dGhvcj5CaXJrZWw8L0F1dGhvcj48WWVhcj4yMDE3PC9ZZWFyPjxS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</w:fldData>
        </w:fldChar>
      </w:r>
      <w:r>
        <w:rPr>
          <w:lang w:val="en-US"/>
        </w:rPr>
        <w:instrText xml:space="preserve"> ADDIN EN.CITE.DATA </w:instrText>
      </w:r>
      <w:r>
        <w:rPr>
          <w:lang w:val="en-US"/>
        </w:rPr>
      </w:r>
      <w:r>
        <w:rPr>
          <w:lang w:val="en-US"/>
        </w:rPr>
        <w:fldChar w:fldCharType="end"/>
      </w:r>
      <w:r>
        <w:rPr>
          <w:lang w:val="en-US"/>
        </w:rPr>
        <w:fldChar w:fldCharType="separate"/>
      </w:r>
      <w:r w:rsidRPr="005D640A">
        <w:rPr>
          <w:noProof/>
          <w:vertAlign w:val="superscript"/>
          <w:lang w:val="en-US"/>
        </w:rPr>
        <w:t>9,10</w:t>
      </w:r>
      <w:r>
        <w:rPr>
          <w:lang w:val="en-US"/>
        </w:rPr>
        <w:fldChar w:fldCharType="end"/>
      </w:r>
    </w:p>
    <w:p w:rsidR="005D640A" w:rsidRDefault="005D640A" w:rsidP="00114CEA">
      <w:pPr>
        <w:spacing w:line="480" w:lineRule="auto"/>
        <w:rPr>
          <w:lang w:val="en-US"/>
        </w:rPr>
      </w:pPr>
      <w:r>
        <w:rPr>
          <w:lang w:val="en-US"/>
        </w:rPr>
        <w:t xml:space="preserve">Good coding practices for data analysis scripts </w:t>
      </w:r>
      <w:r>
        <w:rPr>
          <w:lang w:val="en-US"/>
        </w:rPr>
        <w:fldChar w:fldCharType="begin"/>
      </w:r>
      <w:r>
        <w:rPr>
          <w:lang w:val="en-US"/>
        </w:rPr>
        <w:instrText xml:space="preserve"> ADDIN EN.CITE &lt;EndNote&gt;&lt;Cite&gt;&lt;Author&gt;van Vliet&lt;/Author&gt;&lt;Year&gt;2019&lt;/Year&gt;&lt;RecNum&gt;2009&lt;/RecNum&gt;&lt;DisplayText&gt;&lt;style face="superscript"&gt;11&lt;/style&gt;&lt;/DisplayText&gt;&lt;record&gt;&lt;rec-number&gt;2009&lt;/rec-number&gt;&lt;foreign-keys&gt;&lt;key app="EN" db-id="d9p950pff9efvkesrtnx2fwldvfpv92wez25" timestamp="1574934403"&gt;2009&lt;/key&gt;&lt;/foreign-keys&gt;&lt;ref-type name="Journal Article"&gt;17&lt;/ref-type&gt;&lt;contributors&gt;&lt;authors&gt;&lt;author&gt;van Vliet, M.&lt;/author&gt;&lt;/authors&gt;&lt;/contributors&gt;&lt;titles&gt;&lt;title&gt;Guidelines for data analysis scripts&lt;/title&gt;&lt;secondary-title&gt;ArXiv&lt;/secondary-title&gt;&lt;/titles&gt;&lt;periodical&gt;&lt;full-title&gt;ArXiv&lt;/full-title&gt;&lt;/periodical&gt;&lt;volume&gt;abs/1904.06163&lt;/volume&gt;&lt;dates&gt;&lt;year&gt;2019&lt;/year&gt;&lt;/dates&gt;&lt;urls&gt;&lt;related-urls&gt;&lt;url&gt;http://arxiv.org/abs/1904.06163&lt;/url&gt;&lt;/related-urls&gt;&lt;/urls&gt;&lt;/record&gt;&lt;/Cite&gt;&lt;/EndNote&gt;</w:instrText>
      </w:r>
      <w:r>
        <w:rPr>
          <w:lang w:val="en-US"/>
        </w:rPr>
        <w:fldChar w:fldCharType="separate"/>
      </w:r>
      <w:r w:rsidRPr="005D640A">
        <w:rPr>
          <w:noProof/>
          <w:vertAlign w:val="superscript"/>
          <w:lang w:val="en-US"/>
        </w:rPr>
        <w:t>11</w:t>
      </w:r>
      <w:r>
        <w:rPr>
          <w:lang w:val="en-US"/>
        </w:rPr>
        <w:fldChar w:fldCharType="end"/>
      </w:r>
    </w:p>
    <w:p w:rsidR="005D640A" w:rsidRDefault="005D640A" w:rsidP="00114CEA">
      <w:pPr>
        <w:spacing w:line="480" w:lineRule="auto"/>
        <w:rPr>
          <w:lang w:val="en-US"/>
        </w:rPr>
      </w:pPr>
    </w:p>
    <w:p w:rsidR="00465C9C" w:rsidRDefault="00465C9C" w:rsidP="00114CEA">
      <w:pPr>
        <w:spacing w:line="480" w:lineRule="auto"/>
        <w:rPr>
          <w:lang w:val="en-US"/>
        </w:rPr>
      </w:pPr>
    </w:p>
    <w:p w:rsidR="00383BAB" w:rsidRPr="00383BAB" w:rsidRDefault="00383BAB" w:rsidP="00114CEA">
      <w:pPr>
        <w:spacing w:line="480" w:lineRule="auto"/>
        <w:rPr>
          <w:lang w:val="en-US"/>
        </w:rPr>
      </w:pPr>
    </w:p>
    <w:p w:rsidR="0061331F" w:rsidRDefault="0061331F" w:rsidP="00114CEA">
      <w:pPr>
        <w:spacing w:line="480" w:lineRule="auto"/>
        <w:rPr>
          <w:lang w:val="en-US"/>
        </w:rPr>
      </w:pPr>
    </w:p>
    <w:p w:rsidR="00114CEA" w:rsidRDefault="00114CEA" w:rsidP="00114CEA">
      <w:pPr>
        <w:rPr>
          <w:b/>
          <w:lang w:val="en-US"/>
        </w:rPr>
      </w:pPr>
      <w:r>
        <w:rPr>
          <w:b/>
          <w:lang w:val="en-US"/>
        </w:rPr>
        <w:br w:type="page"/>
      </w:r>
    </w:p>
    <w:p w:rsidR="0061331F" w:rsidRPr="00114CEA" w:rsidRDefault="00114CEA" w:rsidP="00114CEA">
      <w:pPr>
        <w:spacing w:line="480" w:lineRule="auto"/>
        <w:rPr>
          <w:b/>
          <w:lang w:val="en-US"/>
        </w:rPr>
      </w:pPr>
      <w:r w:rsidRPr="00114CEA">
        <w:rPr>
          <w:b/>
          <w:lang w:val="en-US"/>
        </w:rPr>
        <w:t>REFERENCES</w:t>
      </w:r>
    </w:p>
    <w:p w:rsidR="005D640A" w:rsidRPr="005D640A" w:rsidRDefault="0061331F" w:rsidP="00114CEA">
      <w:pPr>
        <w:pStyle w:val="EndNoteBibliography"/>
        <w:spacing w:after="0" w:line="480" w:lineRule="auto"/>
        <w:ind w:left="720" w:hanging="720"/>
      </w:pPr>
      <w:r>
        <w:fldChar w:fldCharType="begin"/>
      </w:r>
      <w:r>
        <w:instrText xml:space="preserve"> ADDIN EN.REFLIST </w:instrText>
      </w:r>
      <w:r>
        <w:fldChar w:fldCharType="separate"/>
      </w:r>
      <w:r w:rsidR="005D640A" w:rsidRPr="005D640A">
        <w:t>1</w:t>
      </w:r>
      <w:r w:rsidR="005D640A" w:rsidRPr="005D640A">
        <w:tab/>
        <w:t xml:space="preserve">Sauer, D. &amp; Wang, D.-N. Using machine learning to predict quantitative phenotypes from protein and nucleic acid sequences. </w:t>
      </w:r>
      <w:r w:rsidR="005D640A" w:rsidRPr="005D640A">
        <w:rPr>
          <w:i/>
        </w:rPr>
        <w:t>bioRxiv</w:t>
      </w:r>
      <w:r w:rsidR="005D640A" w:rsidRPr="005D640A">
        <w:t xml:space="preserve"> (2019).</w:t>
      </w:r>
    </w:p>
    <w:p w:rsidR="005D640A" w:rsidRPr="005D640A" w:rsidRDefault="005D640A" w:rsidP="00114CEA">
      <w:pPr>
        <w:pStyle w:val="EndNoteBibliography"/>
        <w:spacing w:after="0" w:line="480" w:lineRule="auto"/>
        <w:ind w:left="720" w:hanging="720"/>
      </w:pPr>
      <w:r w:rsidRPr="005D640A">
        <w:t>2</w:t>
      </w:r>
      <w:r w:rsidRPr="005D640A">
        <w:tab/>
        <w:t xml:space="preserve">Rhodius, V. A., Mutalik, V. K. &amp; Gross, C. A. Predicting the strength of UP-elements and full-length E. coli σE promoters. </w:t>
      </w:r>
      <w:r w:rsidRPr="005D640A">
        <w:rPr>
          <w:i/>
        </w:rPr>
        <w:t>Nucleic acids research</w:t>
      </w:r>
      <w:r w:rsidRPr="005D640A">
        <w:t xml:space="preserve"> </w:t>
      </w:r>
      <w:r w:rsidRPr="005D640A">
        <w:rPr>
          <w:b/>
        </w:rPr>
        <w:t>40</w:t>
      </w:r>
      <w:r w:rsidRPr="005D640A">
        <w:t>, 2907-2924 (2011).</w:t>
      </w:r>
    </w:p>
    <w:p w:rsidR="005D640A" w:rsidRPr="005D640A" w:rsidRDefault="005D640A" w:rsidP="00114CEA">
      <w:pPr>
        <w:pStyle w:val="EndNoteBibliography"/>
        <w:spacing w:after="0" w:line="480" w:lineRule="auto"/>
        <w:ind w:left="720" w:hanging="720"/>
      </w:pPr>
      <w:r w:rsidRPr="005D640A">
        <w:t>3</w:t>
      </w:r>
      <w:r w:rsidRPr="005D640A">
        <w:tab/>
        <w:t>Meng, H.</w:t>
      </w:r>
      <w:r w:rsidRPr="005D640A">
        <w:rPr>
          <w:i/>
        </w:rPr>
        <w:t xml:space="preserve"> et al.</w:t>
      </w:r>
      <w:r w:rsidRPr="005D640A">
        <w:t xml:space="preserve"> Quantitative design of regulatory elements based on high-precision strength prediction using artificial neural network. </w:t>
      </w:r>
      <w:r w:rsidRPr="005D640A">
        <w:rPr>
          <w:i/>
        </w:rPr>
        <w:t>PLoS One</w:t>
      </w:r>
      <w:r w:rsidRPr="005D640A">
        <w:t xml:space="preserve"> </w:t>
      </w:r>
      <w:r w:rsidRPr="005D640A">
        <w:rPr>
          <w:b/>
        </w:rPr>
        <w:t>8</w:t>
      </w:r>
      <w:r w:rsidRPr="005D640A">
        <w:t>, e60288-e60288 (2013).</w:t>
      </w:r>
    </w:p>
    <w:p w:rsidR="005D640A" w:rsidRPr="005D640A" w:rsidRDefault="005D640A" w:rsidP="00114CEA">
      <w:pPr>
        <w:pStyle w:val="EndNoteBibliography"/>
        <w:spacing w:after="0" w:line="480" w:lineRule="auto"/>
        <w:ind w:left="720" w:hanging="720"/>
      </w:pPr>
      <w:r w:rsidRPr="005D640A">
        <w:t>4</w:t>
      </w:r>
      <w:r w:rsidRPr="005D640A">
        <w:tab/>
        <w:t xml:space="preserve">Meng, H., Ma, Y., Mai, G., Wang, Y. &amp; Liu, C. Construction of precise support vector machine based models for predicting promoter strength. </w:t>
      </w:r>
      <w:r w:rsidRPr="005D640A">
        <w:rPr>
          <w:i/>
        </w:rPr>
        <w:t>Quantitative Biology</w:t>
      </w:r>
      <w:r w:rsidRPr="005D640A">
        <w:t xml:space="preserve"> </w:t>
      </w:r>
      <w:r w:rsidRPr="005D640A">
        <w:rPr>
          <w:b/>
        </w:rPr>
        <w:t>5</w:t>
      </w:r>
      <w:r w:rsidRPr="005D640A">
        <w:t>, 90-98 (2017).</w:t>
      </w:r>
    </w:p>
    <w:p w:rsidR="005D640A" w:rsidRPr="005D640A" w:rsidRDefault="005D640A" w:rsidP="00114CEA">
      <w:pPr>
        <w:pStyle w:val="EndNoteBibliography"/>
        <w:spacing w:after="0" w:line="480" w:lineRule="auto"/>
        <w:ind w:left="720" w:hanging="720"/>
      </w:pPr>
      <w:r w:rsidRPr="005D640A">
        <w:t>5</w:t>
      </w:r>
      <w:r w:rsidRPr="005D640A">
        <w:tab/>
        <w:t>Mutalik, V. K.</w:t>
      </w:r>
      <w:r w:rsidRPr="005D640A">
        <w:rPr>
          <w:i/>
        </w:rPr>
        <w:t xml:space="preserve"> et al.</w:t>
      </w:r>
      <w:r w:rsidRPr="005D640A">
        <w:t xml:space="preserve"> Precise and reliable gene expression via standard transcription and translation initiation elements. </w:t>
      </w:r>
      <w:r w:rsidRPr="005D640A">
        <w:rPr>
          <w:i/>
        </w:rPr>
        <w:t>Nature methods</w:t>
      </w:r>
      <w:r w:rsidRPr="005D640A">
        <w:t xml:space="preserve"> </w:t>
      </w:r>
      <w:r w:rsidRPr="005D640A">
        <w:rPr>
          <w:b/>
        </w:rPr>
        <w:t>10</w:t>
      </w:r>
      <w:r w:rsidRPr="005D640A">
        <w:t>, 354-354 (2013).</w:t>
      </w:r>
    </w:p>
    <w:p w:rsidR="005D640A" w:rsidRPr="005D640A" w:rsidRDefault="005D640A" w:rsidP="00114CEA">
      <w:pPr>
        <w:pStyle w:val="EndNoteBibliography"/>
        <w:spacing w:after="0" w:line="480" w:lineRule="auto"/>
        <w:ind w:left="720" w:hanging="720"/>
      </w:pPr>
      <w:r w:rsidRPr="005D640A">
        <w:t>6</w:t>
      </w:r>
      <w:r w:rsidRPr="005D640A">
        <w:tab/>
        <w:t xml:space="preserve">Cambray, G., Guimaraes, J. C. &amp; Arkin, A. P. Evaluation of 244,000 synthetic sequences reveals design principles to optimize translation in Escherichia coli. </w:t>
      </w:r>
      <w:r w:rsidRPr="005D640A">
        <w:rPr>
          <w:i/>
        </w:rPr>
        <w:t>Nature biotechnology</w:t>
      </w:r>
      <w:r w:rsidRPr="005D640A">
        <w:t xml:space="preserve"> </w:t>
      </w:r>
      <w:r w:rsidRPr="005D640A">
        <w:rPr>
          <w:b/>
        </w:rPr>
        <w:t>36</w:t>
      </w:r>
      <w:r w:rsidRPr="005D640A">
        <w:t>, 1005-1005 (2018).</w:t>
      </w:r>
    </w:p>
    <w:p w:rsidR="005D640A" w:rsidRPr="005D640A" w:rsidRDefault="005D640A" w:rsidP="00114CEA">
      <w:pPr>
        <w:pStyle w:val="EndNoteBibliography"/>
        <w:spacing w:after="0" w:line="480" w:lineRule="auto"/>
        <w:ind w:left="720" w:hanging="720"/>
      </w:pPr>
      <w:r w:rsidRPr="005D640A">
        <w:t>7</w:t>
      </w:r>
      <w:r w:rsidRPr="005D640A">
        <w:tab/>
        <w:t>Cuperus, J. T.</w:t>
      </w:r>
      <w:r w:rsidRPr="005D640A">
        <w:rPr>
          <w:i/>
        </w:rPr>
        <w:t xml:space="preserve"> et al.</w:t>
      </w:r>
      <w:r w:rsidRPr="005D640A">
        <w:t xml:space="preserve"> Deep learning of the regulatory grammar of yeast 5</w:t>
      </w:r>
      <w:r w:rsidRPr="005D640A">
        <w:rPr>
          <w:rFonts w:ascii="Times New Roman" w:hAnsi="Times New Roman" w:cs="Times New Roman"/>
        </w:rPr>
        <w:t>′</w:t>
      </w:r>
      <w:r w:rsidRPr="005D640A">
        <w:t xml:space="preserve"> untranslated regions from 500,000 random sequences. </w:t>
      </w:r>
      <w:r w:rsidRPr="005D640A">
        <w:rPr>
          <w:i/>
        </w:rPr>
        <w:t>Genome Res</w:t>
      </w:r>
      <w:r w:rsidRPr="005D640A">
        <w:t xml:space="preserve"> </w:t>
      </w:r>
      <w:r w:rsidRPr="005D640A">
        <w:rPr>
          <w:b/>
        </w:rPr>
        <w:t>27</w:t>
      </w:r>
      <w:r w:rsidRPr="005D640A">
        <w:t>, 2015-2024 (2017).</w:t>
      </w:r>
    </w:p>
    <w:p w:rsidR="005D640A" w:rsidRPr="005D640A" w:rsidRDefault="005D640A" w:rsidP="00114CEA">
      <w:pPr>
        <w:pStyle w:val="EndNoteBibliography"/>
        <w:spacing w:after="0" w:line="480" w:lineRule="auto"/>
        <w:ind w:left="720" w:hanging="720"/>
      </w:pPr>
      <w:r w:rsidRPr="005D640A">
        <w:t>8</w:t>
      </w:r>
      <w:r w:rsidRPr="005D640A">
        <w:tab/>
        <w:t>Rule, A.</w:t>
      </w:r>
      <w:r w:rsidRPr="005D640A">
        <w:rPr>
          <w:i/>
        </w:rPr>
        <w:t xml:space="preserve"> et al.</w:t>
      </w:r>
      <w:r w:rsidRPr="005D640A">
        <w:t xml:space="preserve"> Ten simple rules for writing and sharing computational analyses in Jupyter Notebooks. </w:t>
      </w:r>
      <w:r w:rsidRPr="005D640A">
        <w:rPr>
          <w:i/>
        </w:rPr>
        <w:t>PLoS Comp Biol</w:t>
      </w:r>
      <w:r w:rsidRPr="005D640A">
        <w:t xml:space="preserve"> (2019).</w:t>
      </w:r>
    </w:p>
    <w:p w:rsidR="005D640A" w:rsidRPr="005D640A" w:rsidRDefault="005D640A" w:rsidP="00114CEA">
      <w:pPr>
        <w:pStyle w:val="EndNoteBibliography"/>
        <w:spacing w:after="0" w:line="480" w:lineRule="auto"/>
        <w:ind w:left="720" w:hanging="720"/>
      </w:pPr>
      <w:r w:rsidRPr="005D640A">
        <w:t>9</w:t>
      </w:r>
      <w:r w:rsidRPr="005D640A">
        <w:tab/>
        <w:t>Birkel, G. W.</w:t>
      </w:r>
      <w:r w:rsidRPr="005D640A">
        <w:rPr>
          <w:i/>
        </w:rPr>
        <w:t xml:space="preserve"> et al.</w:t>
      </w:r>
      <w:r w:rsidRPr="005D640A">
        <w:t xml:space="preserve"> The JBEI quantitative metabolic modeling library (jQMM): a python library for modeling microbial metabolism. </w:t>
      </w:r>
      <w:r w:rsidRPr="005D640A">
        <w:rPr>
          <w:i/>
        </w:rPr>
        <w:t>BMC bioinformatics</w:t>
      </w:r>
      <w:r w:rsidRPr="005D640A">
        <w:t xml:space="preserve"> </w:t>
      </w:r>
      <w:r w:rsidRPr="005D640A">
        <w:rPr>
          <w:b/>
        </w:rPr>
        <w:t>18</w:t>
      </w:r>
      <w:r w:rsidRPr="005D640A">
        <w:t>, 205-205 (2017).</w:t>
      </w:r>
    </w:p>
    <w:p w:rsidR="005D640A" w:rsidRPr="005D640A" w:rsidRDefault="005D640A" w:rsidP="00114CEA">
      <w:pPr>
        <w:pStyle w:val="EndNoteBibliography"/>
        <w:spacing w:after="0" w:line="480" w:lineRule="auto"/>
        <w:ind w:left="720" w:hanging="720"/>
      </w:pPr>
      <w:r w:rsidRPr="005D640A">
        <w:t>10</w:t>
      </w:r>
      <w:r w:rsidRPr="005D640A">
        <w:tab/>
        <w:t xml:space="preserve">Suárez, A., Alvarez-Feijoo, M. A., Fernández González, R. &amp; Arce, E. Teaching optimization of manufacturing problems via code components of a Jupyter Notebook. </w:t>
      </w:r>
      <w:r w:rsidRPr="005D640A">
        <w:rPr>
          <w:i/>
        </w:rPr>
        <w:t>Computer Applications in Engineering Education</w:t>
      </w:r>
      <w:r w:rsidRPr="005D640A">
        <w:t xml:space="preserve"> </w:t>
      </w:r>
      <w:r w:rsidRPr="005D640A">
        <w:rPr>
          <w:b/>
        </w:rPr>
        <w:t>26</w:t>
      </w:r>
      <w:r w:rsidRPr="005D640A">
        <w:t>, 1102-1110 (2018).</w:t>
      </w:r>
    </w:p>
    <w:p w:rsidR="005D640A" w:rsidRPr="005D640A" w:rsidRDefault="005D640A" w:rsidP="00114CEA">
      <w:pPr>
        <w:pStyle w:val="EndNoteBibliography"/>
        <w:spacing w:line="480" w:lineRule="auto"/>
        <w:ind w:left="720" w:hanging="720"/>
      </w:pPr>
      <w:r w:rsidRPr="005D640A">
        <w:t>11</w:t>
      </w:r>
      <w:r w:rsidRPr="005D640A">
        <w:tab/>
        <w:t xml:space="preserve">van Vliet, M. Guidelines for data analysis scripts. </w:t>
      </w:r>
      <w:r w:rsidRPr="005D640A">
        <w:rPr>
          <w:i/>
        </w:rPr>
        <w:t>ArXiv</w:t>
      </w:r>
      <w:r w:rsidRPr="005D640A">
        <w:t xml:space="preserve"> </w:t>
      </w:r>
      <w:r w:rsidRPr="005D640A">
        <w:rPr>
          <w:b/>
        </w:rPr>
        <w:t>abs/1904.06163</w:t>
      </w:r>
      <w:r w:rsidRPr="005D640A">
        <w:t xml:space="preserve"> (2019).</w:t>
      </w:r>
    </w:p>
    <w:p w:rsidR="00383BAB" w:rsidRPr="008D2353" w:rsidRDefault="0061331F" w:rsidP="00114CEA">
      <w:pPr>
        <w:spacing w:line="480" w:lineRule="auto"/>
        <w:rPr>
          <w:lang w:val="en-US"/>
        </w:rPr>
      </w:pPr>
      <w:r>
        <w:rPr>
          <w:lang w:val="en-US"/>
        </w:rPr>
        <w:fldChar w:fldCharType="end"/>
      </w:r>
    </w:p>
    <w:sectPr w:rsidR="00383BAB" w:rsidRPr="008D2353">
      <w:footerReference w:type="even" r:id="rId4"/>
      <w:footerReference w:type="default" r:id="rI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no Pro">
    <w:altName w:val="Constantia"/>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ECE" w:rsidRDefault="000B5392">
    <w:pPr>
      <w:framePr w:wrap="around" w:vAnchor="text" w:hAnchor="margin" w:xAlign="right" w:y="1"/>
      <w:rPr>
        <w:rStyle w:val="PageNumber"/>
      </w:rPr>
    </w:pPr>
    <w:r>
      <w:rPr>
        <w:rStyle w:val="PageNumber"/>
      </w:rPr>
      <w:t xml:space="preserve">PAGE  </w:t>
    </w:r>
    <w:r>
      <w:rPr>
        <w:rStyle w:val="PageNumber"/>
        <w:noProof/>
      </w:rPr>
      <w:t>2</w:t>
    </w:r>
  </w:p>
  <w:p w:rsidR="00F44ECE" w:rsidRDefault="000B5392">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no Pro" w:hAnsi="Arno Pro"/>
        <w:sz w:val="18"/>
        <w:szCs w:val="18"/>
      </w:rPr>
      <w:id w:val="1906870974"/>
      <w:docPartObj>
        <w:docPartGallery w:val="Page Numbers (Bottom of Page)"/>
        <w:docPartUnique/>
      </w:docPartObj>
    </w:sdtPr>
    <w:sdtEndPr>
      <w:rPr>
        <w:noProof/>
      </w:rPr>
    </w:sdtEndPr>
    <w:sdtContent>
      <w:p w:rsidR="00F44ECE" w:rsidRPr="00483B2A" w:rsidRDefault="000B5392">
        <w:pPr>
          <w:pStyle w:val="Footer"/>
          <w:jc w:val="right"/>
          <w:rPr>
            <w:rFonts w:ascii="Arno Pro" w:hAnsi="Arno Pro"/>
            <w:sz w:val="18"/>
            <w:szCs w:val="18"/>
          </w:rPr>
        </w:pPr>
        <w:r w:rsidRPr="00483B2A">
          <w:rPr>
            <w:rFonts w:ascii="Arno Pro" w:hAnsi="Arno Pro"/>
            <w:sz w:val="18"/>
            <w:szCs w:val="18"/>
          </w:rPr>
          <w:fldChar w:fldCharType="begin"/>
        </w:r>
        <w:r w:rsidRPr="00483B2A">
          <w:rPr>
            <w:rFonts w:ascii="Arno Pro" w:hAnsi="Arno Pro"/>
            <w:sz w:val="18"/>
            <w:szCs w:val="18"/>
          </w:rPr>
          <w:instrText xml:space="preserve"> PAGE   \* MERGEFORMAT </w:instrText>
        </w:r>
        <w:r w:rsidRPr="00483B2A">
          <w:rPr>
            <w:rFonts w:ascii="Arno Pro" w:hAnsi="Arno Pro"/>
            <w:sz w:val="18"/>
            <w:szCs w:val="18"/>
          </w:rPr>
          <w:fldChar w:fldCharType="separate"/>
        </w:r>
        <w:r>
          <w:rPr>
            <w:rFonts w:ascii="Arno Pro" w:hAnsi="Arno Pro"/>
            <w:noProof/>
            <w:sz w:val="18"/>
            <w:szCs w:val="18"/>
          </w:rPr>
          <w:t>3</w:t>
        </w:r>
        <w:r w:rsidRPr="00483B2A">
          <w:rPr>
            <w:rFonts w:ascii="Arno Pro" w:hAnsi="Arno Pro"/>
            <w:noProof/>
            <w:sz w:val="18"/>
            <w:szCs w:val="18"/>
          </w:rPr>
          <w:fldChar w:fldCharType="end"/>
        </w:r>
      </w:p>
    </w:sdtContent>
  </w:sdt>
  <w:p w:rsidR="00F44ECE" w:rsidRPr="00483B2A" w:rsidRDefault="000B5392">
    <w:pPr>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Protocols&lt;/Style&gt;&lt;LeftDelim&gt;{&lt;/LeftDelim&gt;&lt;RightDelim&gt;}&lt;/RightDelim&gt;&lt;FontName&gt;Arno Pro&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9p950pff9efvkesrtnx2fwldvfpv92wez25&quot;&gt;1512_bibliography&lt;record-ids&gt;&lt;item&gt;1991&lt;/item&gt;&lt;item&gt;1992&lt;/item&gt;&lt;item&gt;1999&lt;/item&gt;&lt;item&gt;2000&lt;/item&gt;&lt;item&gt;2001&lt;/item&gt;&lt;item&gt;2004&lt;/item&gt;&lt;item&gt;2005&lt;/item&gt;&lt;item&gt;2006&lt;/item&gt;&lt;item&gt;2007&lt;/item&gt;&lt;item&gt;2008&lt;/item&gt;&lt;item&gt;2009&lt;/item&gt;&lt;/record-ids&gt;&lt;/item&gt;&lt;/Libraries&gt;"/>
  </w:docVars>
  <w:rsids>
    <w:rsidRoot w:val="008D2353"/>
    <w:rsid w:val="000B5392"/>
    <w:rsid w:val="000B5910"/>
    <w:rsid w:val="00114CEA"/>
    <w:rsid w:val="00383BAB"/>
    <w:rsid w:val="00401C8F"/>
    <w:rsid w:val="00465C9C"/>
    <w:rsid w:val="00504490"/>
    <w:rsid w:val="00593713"/>
    <w:rsid w:val="005D640A"/>
    <w:rsid w:val="0061331F"/>
    <w:rsid w:val="00685E9F"/>
    <w:rsid w:val="007B0A11"/>
    <w:rsid w:val="007E4CD4"/>
    <w:rsid w:val="008D2353"/>
    <w:rsid w:val="00BA6070"/>
    <w:rsid w:val="00E152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8F97"/>
  <w15:chartTrackingRefBased/>
  <w15:docId w15:val="{943089AE-EC1A-4770-B47E-E823C1EC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no Pro" w:eastAsiaTheme="minorHAnsi" w:hAnsi="Arno Pro" w:cstheme="minorBidi"/>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Abstract">
    <w:name w:val="BD_Abstract"/>
    <w:basedOn w:val="Normal"/>
    <w:next w:val="Normal"/>
    <w:link w:val="BDAbstractChar"/>
    <w:autoRedefine/>
    <w:rsid w:val="00383BAB"/>
    <w:pPr>
      <w:pBdr>
        <w:top w:val="single" w:sz="4" w:space="1" w:color="auto"/>
        <w:bottom w:val="single" w:sz="4" w:space="1" w:color="auto"/>
      </w:pBdr>
      <w:spacing w:before="100" w:after="600" w:line="240" w:lineRule="auto"/>
      <w:jc w:val="both"/>
    </w:pPr>
    <w:rPr>
      <w:rFonts w:eastAsia="Times New Roman" w:cs="Times New Roman"/>
      <w:kern w:val="21"/>
      <w:sz w:val="19"/>
      <w:lang w:val="en-US"/>
    </w:rPr>
  </w:style>
  <w:style w:type="paragraph" w:customStyle="1" w:styleId="StyleBIEmailAddress95pt">
    <w:name w:val="Style BI_Email_Address + 9.5 pt"/>
    <w:basedOn w:val="Normal"/>
    <w:rsid w:val="00383BAB"/>
    <w:pPr>
      <w:spacing w:after="60" w:line="240" w:lineRule="auto"/>
    </w:pPr>
    <w:rPr>
      <w:rFonts w:eastAsia="Times New Roman" w:cs="Times New Roman"/>
      <w:sz w:val="19"/>
      <w:lang w:val="en-US"/>
    </w:rPr>
  </w:style>
  <w:style w:type="paragraph" w:styleId="Footer">
    <w:name w:val="footer"/>
    <w:basedOn w:val="Normal"/>
    <w:link w:val="FooterChar"/>
    <w:uiPriority w:val="99"/>
    <w:rsid w:val="00383BAB"/>
    <w:pPr>
      <w:tabs>
        <w:tab w:val="center" w:pos="4320"/>
        <w:tab w:val="right" w:pos="8640"/>
      </w:tabs>
      <w:spacing w:after="200" w:line="240" w:lineRule="auto"/>
      <w:jc w:val="both"/>
    </w:pPr>
    <w:rPr>
      <w:rFonts w:ascii="Times" w:eastAsia="Times New Roman" w:hAnsi="Times" w:cs="Times New Roman"/>
      <w:sz w:val="24"/>
      <w:lang w:val="en-US"/>
    </w:rPr>
  </w:style>
  <w:style w:type="character" w:customStyle="1" w:styleId="FooterChar">
    <w:name w:val="Footer Char"/>
    <w:basedOn w:val="DefaultParagraphFont"/>
    <w:link w:val="Footer"/>
    <w:uiPriority w:val="99"/>
    <w:rsid w:val="00383BAB"/>
    <w:rPr>
      <w:rFonts w:ascii="Times" w:eastAsia="Times New Roman" w:hAnsi="Times" w:cs="Times New Roman"/>
      <w:sz w:val="24"/>
      <w:lang w:val="en-US"/>
    </w:rPr>
  </w:style>
  <w:style w:type="character" w:styleId="PageNumber">
    <w:name w:val="page number"/>
    <w:basedOn w:val="DefaultParagraphFont"/>
    <w:rsid w:val="00383BAB"/>
  </w:style>
  <w:style w:type="paragraph" w:customStyle="1" w:styleId="BDAbstractTitle">
    <w:name w:val="BD_Abstract_Title"/>
    <w:basedOn w:val="BDAbstract"/>
    <w:link w:val="BDAbstractTitleChar"/>
    <w:rsid w:val="00383BAB"/>
    <w:rPr>
      <w:b/>
    </w:rPr>
  </w:style>
  <w:style w:type="character" w:customStyle="1" w:styleId="BDAbstractChar">
    <w:name w:val="BD_Abstract Char"/>
    <w:link w:val="BDAbstract"/>
    <w:rsid w:val="00383BAB"/>
    <w:rPr>
      <w:rFonts w:eastAsia="Times New Roman" w:cs="Times New Roman"/>
      <w:kern w:val="21"/>
      <w:sz w:val="19"/>
      <w:lang w:val="en-US"/>
    </w:rPr>
  </w:style>
  <w:style w:type="character" w:customStyle="1" w:styleId="BDAbstractTitleChar">
    <w:name w:val="BD_Abstract_Title Char"/>
    <w:link w:val="BDAbstractTitle"/>
    <w:rsid w:val="00383BAB"/>
    <w:rPr>
      <w:rFonts w:eastAsia="Times New Roman" w:cs="Times New Roman"/>
      <w:b/>
      <w:kern w:val="21"/>
      <w:sz w:val="19"/>
      <w:lang w:val="en-US"/>
    </w:rPr>
  </w:style>
  <w:style w:type="paragraph" w:customStyle="1" w:styleId="EndNoteBibliographyTitle">
    <w:name w:val="EndNote Bibliography Title"/>
    <w:basedOn w:val="Normal"/>
    <w:link w:val="EndNoteBibliographyTitleChar"/>
    <w:rsid w:val="0061331F"/>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1331F"/>
    <w:rPr>
      <w:noProof/>
      <w:lang w:val="en-US"/>
    </w:rPr>
  </w:style>
  <w:style w:type="paragraph" w:customStyle="1" w:styleId="EndNoteBibliography">
    <w:name w:val="EndNote Bibliography"/>
    <w:basedOn w:val="Normal"/>
    <w:link w:val="EndNoteBibliographyChar"/>
    <w:rsid w:val="0061331F"/>
    <w:pPr>
      <w:spacing w:line="240" w:lineRule="auto"/>
    </w:pPr>
    <w:rPr>
      <w:noProof/>
      <w:lang w:val="en-US"/>
    </w:rPr>
  </w:style>
  <w:style w:type="character" w:customStyle="1" w:styleId="EndNoteBibliographyChar">
    <w:name w:val="EndNote Bibliography Char"/>
    <w:basedOn w:val="DefaultParagraphFont"/>
    <w:link w:val="EndNoteBibliography"/>
    <w:rsid w:val="0061331F"/>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5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1834</Words>
  <Characters>11556</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Ulf Liebal</dc:creator>
  <cp:keywords/>
  <dc:description/>
  <cp:lastModifiedBy>Ulf Liebal</cp:lastModifiedBy>
  <cp:revision>6</cp:revision>
  <dcterms:created xsi:type="dcterms:W3CDTF">2019-11-27T17:20:00Z</dcterms:created>
  <dcterms:modified xsi:type="dcterms:W3CDTF">2019-11-28T10:48:00Z</dcterms:modified>
</cp:coreProperties>
</file>