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442C50" w:rsidR="008843B4" w:rsidP="008843B4" w:rsidRDefault="69A3F416" w14:paraId="2CEE2FB0" w14:textId="743BBA12">
      <w:pPr>
        <w:pStyle w:val="MDPI11articletype"/>
        <w:rPr>
          <w:rFonts w:eastAsia="Palatino Linotype"/>
        </w:rPr>
      </w:pPr>
      <w:r w:rsidRPr="00442C50">
        <w:rPr>
          <w:rFonts w:eastAsia="Palatino Linotype"/>
        </w:rPr>
        <w:t>Article</w:t>
      </w:r>
    </w:p>
    <w:p w:rsidRPr="00442C50" w:rsidR="00325A48" w:rsidP="008843B4" w:rsidRDefault="00325A48" w14:paraId="008BD46F" w14:textId="2816A8A3">
      <w:pPr>
        <w:pStyle w:val="MDPI12title"/>
        <w:rPr>
          <w:rFonts w:eastAsia="Palatino Linotype"/>
        </w:rPr>
      </w:pPr>
      <w:proofErr w:type="spellStart"/>
      <w:r w:rsidRPr="00442C50">
        <w:rPr>
          <w:rFonts w:eastAsia="Palatino Linotype"/>
          <w:i/>
        </w:rPr>
        <w:t>Ustilago</w:t>
      </w:r>
      <w:proofErr w:type="spellEnd"/>
      <w:r w:rsidRPr="00442C50">
        <w:rPr>
          <w:rFonts w:eastAsia="Palatino Linotype"/>
          <w:i/>
        </w:rPr>
        <w:t xml:space="preserve"> maydis</w:t>
      </w:r>
      <w:r w:rsidRPr="00442C50">
        <w:rPr>
          <w:rFonts w:eastAsia="Palatino Linotype"/>
        </w:rPr>
        <w:t xml:space="preserve"> Metabolic Characterization and Growth Quantification with a Genome-Scale Metabolic Model</w:t>
      </w:r>
    </w:p>
    <w:p w:rsidRPr="00442C50" w:rsidR="008843B4" w:rsidP="69A3F416" w:rsidRDefault="212854B6" w14:paraId="6D497014" w14:textId="58A46B2C">
      <w:pPr>
        <w:pStyle w:val="MDPI13authornames"/>
      </w:pPr>
      <w:r w:rsidRPr="00442C50">
        <w:t>Ulf W. Liebal</w:t>
      </w:r>
      <w:r w:rsidRPr="00442C50">
        <w:rPr>
          <w:vertAlign w:val="superscript"/>
        </w:rPr>
        <w:t xml:space="preserve"> 1,</w:t>
      </w:r>
      <w:r w:rsidRPr="00442C50">
        <w:t>*, Lena Ullmann</w:t>
      </w:r>
      <w:r w:rsidRPr="00442C50">
        <w:rPr>
          <w:vertAlign w:val="superscript"/>
        </w:rPr>
        <w:t xml:space="preserve"> 1</w:t>
      </w:r>
      <w:r w:rsidRPr="00442C50">
        <w:t>, Christian Lieven</w:t>
      </w:r>
      <w:r w:rsidRPr="00442C50">
        <w:rPr>
          <w:vertAlign w:val="superscript"/>
        </w:rPr>
        <w:t xml:space="preserve"> 2,3</w:t>
      </w:r>
      <w:r w:rsidRPr="00442C50">
        <w:t>, Philipp Kohl</w:t>
      </w:r>
      <w:r w:rsidRPr="00442C50">
        <w:rPr>
          <w:vertAlign w:val="superscript"/>
        </w:rPr>
        <w:t xml:space="preserve"> 1</w:t>
      </w:r>
      <w:r w:rsidRPr="00442C50">
        <w:t>, Daniel Wibberg</w:t>
      </w:r>
      <w:r w:rsidRPr="00442C50">
        <w:rPr>
          <w:vertAlign w:val="superscript"/>
        </w:rPr>
        <w:t xml:space="preserve"> 4,†</w:t>
      </w:r>
      <w:r w:rsidRPr="00442C50">
        <w:t xml:space="preserve">, Thiemo </w:t>
      </w:r>
      <w:proofErr w:type="spellStart"/>
      <w:r w:rsidRPr="00442C50">
        <w:t>Zambanini</w:t>
      </w:r>
      <w:proofErr w:type="spellEnd"/>
      <w:r w:rsidRPr="00442C50">
        <w:rPr>
          <w:vertAlign w:val="superscript"/>
        </w:rPr>
        <w:t xml:space="preserve"> 1</w:t>
      </w:r>
      <w:r w:rsidRPr="00442C50">
        <w:t xml:space="preserve"> and Lars M. Blank</w:t>
      </w:r>
      <w:r w:rsidRPr="00442C50">
        <w:rPr>
          <w:vertAlign w:val="superscript"/>
        </w:rPr>
        <w:t xml:space="preserve"> 1,</w:t>
      </w:r>
      <w:r w:rsidRPr="00442C50">
        <w:t>*</w:t>
      </w:r>
    </w:p>
    <w:tbl>
      <w:tblPr>
        <w:tblStyle w:val="MDPITable"/>
        <w:tblpPr w:leftFromText="198" w:rightFromText="198" w:vertAnchor="page" w:horzAnchor="margin" w:tblpY="8504"/>
        <w:tblW w:w="2409" w:type="dxa"/>
        <w:tblLayout w:type="fixed"/>
        <w:tblLook w:val="04A0" w:firstRow="1" w:lastRow="0" w:firstColumn="1" w:lastColumn="0" w:noHBand="0" w:noVBand="1"/>
      </w:tblPr>
      <w:tblGrid>
        <w:gridCol w:w="2409"/>
      </w:tblGrid>
      <w:tr w:rsidRPr="00442C50" w:rsidR="008843B4" w:rsidTr="69A3F416" w14:paraId="1043C0B5" w14:textId="77777777">
        <w:trPr>
          <w:cantSplit/>
        </w:trPr>
        <w:tc>
          <w:tcPr>
            <w:tcW w:w="2409" w:type="dxa"/>
          </w:tcPr>
          <w:p w:rsidRPr="00442C50" w:rsidR="008843B4" w:rsidP="008843B4" w:rsidRDefault="69A3F416" w14:paraId="14DBFBD8" w14:textId="1C04A79E">
            <w:pPr>
              <w:pStyle w:val="MDPI61Citation"/>
            </w:pPr>
            <w:r w:rsidRPr="00442C50">
              <w:rPr>
                <w:b/>
                <w:bCs/>
              </w:rPr>
              <w:t>Citation:</w:t>
            </w:r>
            <w:r w:rsidRPr="00442C50">
              <w:t xml:space="preserve"> Liebal, U.W.; Ullmann, L.; Lieven, C.; Kohl, P.; Wibberg, D.; </w:t>
            </w:r>
            <w:proofErr w:type="spellStart"/>
            <w:r w:rsidRPr="00442C50">
              <w:t>Zambanini</w:t>
            </w:r>
            <w:proofErr w:type="spellEnd"/>
            <w:r w:rsidRPr="00442C50">
              <w:t xml:space="preserve">, T.; Blank, L.M. </w:t>
            </w:r>
            <w:proofErr w:type="spellStart"/>
            <w:r w:rsidRPr="00442C50">
              <w:rPr>
                <w:i/>
                <w:iCs/>
              </w:rPr>
              <w:t>Ustilago</w:t>
            </w:r>
            <w:proofErr w:type="spellEnd"/>
            <w:r w:rsidRPr="00442C50">
              <w:rPr>
                <w:i/>
                <w:iCs/>
              </w:rPr>
              <w:t xml:space="preserve"> maydis</w:t>
            </w:r>
            <w:r w:rsidRPr="00442C50">
              <w:t xml:space="preserve"> Metabolic Characterization and Growth Quantification with a Genome-Scale Metabolic Model. </w:t>
            </w:r>
            <w:r w:rsidRPr="00442C50">
              <w:rPr>
                <w:i/>
                <w:iCs/>
              </w:rPr>
              <w:t xml:space="preserve">J. Fungi </w:t>
            </w:r>
            <w:r w:rsidRPr="00442C50">
              <w:rPr>
                <w:b/>
                <w:bCs/>
              </w:rPr>
              <w:t>2022</w:t>
            </w:r>
            <w:r w:rsidRPr="00442C50">
              <w:t xml:space="preserve">, </w:t>
            </w:r>
            <w:r w:rsidRPr="00442C50">
              <w:rPr>
                <w:i/>
                <w:iCs/>
              </w:rPr>
              <w:t>8</w:t>
            </w:r>
            <w:r w:rsidRPr="00442C50">
              <w:t>, x. https://doi.org/10.3390/xxxxx</w:t>
            </w:r>
          </w:p>
          <w:p w:rsidRPr="00442C50" w:rsidR="008843B4" w:rsidP="008843B4" w:rsidRDefault="008843B4" w14:paraId="1D908B41" w14:textId="02C8A0C1">
            <w:pPr>
              <w:pStyle w:val="MDPI15academiceditor"/>
              <w:spacing w:after="120"/>
            </w:pPr>
            <w:r w:rsidRPr="00442C50">
              <w:t xml:space="preserve">Academic Editor(s): </w:t>
            </w:r>
            <w:r w:rsidRPr="00442C50" w:rsidR="007A3DAF">
              <w:t>Michael H. Perlin</w:t>
            </w:r>
            <w:r w:rsidRPr="00442C50" w:rsidR="007A3DAF">
              <w:rPr>
                <w:rFonts w:hint="eastAsia"/>
              </w:rPr>
              <w:t>,</w:t>
            </w:r>
            <w:r w:rsidRPr="00442C50" w:rsidR="007A3DAF">
              <w:t xml:space="preserve"> </w:t>
            </w:r>
            <w:r w:rsidRPr="00442C50" w:rsidR="004D2811">
              <w:t xml:space="preserve">Barry J. Saville, Jan </w:t>
            </w:r>
            <w:proofErr w:type="spellStart"/>
            <w:r w:rsidRPr="00442C50" w:rsidR="004D2811">
              <w:t>Schirawski</w:t>
            </w:r>
            <w:proofErr w:type="spellEnd"/>
          </w:p>
          <w:p w:rsidRPr="00442C50" w:rsidR="008843B4" w:rsidP="008843B4" w:rsidRDefault="008843B4" w14:paraId="7D67659B" w14:textId="3FAFCA68">
            <w:pPr>
              <w:pStyle w:val="MDPI14history"/>
              <w:spacing w:before="120"/>
            </w:pPr>
            <w:r w:rsidRPr="00442C50">
              <w:t xml:space="preserve">Received: </w:t>
            </w:r>
            <w:r w:rsidRPr="00442C50" w:rsidR="00907883">
              <w:t>24 March 2022</w:t>
            </w:r>
          </w:p>
          <w:p w:rsidRPr="00442C50" w:rsidR="008843B4" w:rsidP="008843B4" w:rsidRDefault="008843B4" w14:paraId="7D1DE3EC" w14:textId="4E5CCE90">
            <w:pPr>
              <w:pStyle w:val="MDPI14history"/>
            </w:pPr>
            <w:r w:rsidRPr="00442C50">
              <w:t xml:space="preserve">Accepted: </w:t>
            </w:r>
            <w:r w:rsidRPr="00442C50" w:rsidR="002E1DE3">
              <w:t>17 May 2022</w:t>
            </w:r>
          </w:p>
          <w:p w:rsidRPr="00442C50" w:rsidR="008843B4" w:rsidP="008843B4" w:rsidRDefault="008843B4" w14:paraId="525A128D" w14:textId="77777777">
            <w:pPr>
              <w:pStyle w:val="MDPI14history"/>
              <w:spacing w:after="120"/>
            </w:pPr>
            <w:r w:rsidRPr="00442C50">
              <w:t>Published: date</w:t>
            </w:r>
          </w:p>
          <w:p w:rsidRPr="00442C50" w:rsidR="008843B4" w:rsidP="008843B4" w:rsidRDefault="008843B4" w14:paraId="6F778CAD" w14:textId="77777777">
            <w:pPr>
              <w:pStyle w:val="MDPI63Notes"/>
              <w:jc w:val="both"/>
            </w:pPr>
            <w:r w:rsidRPr="00442C50">
              <w:rPr>
                <w:b/>
              </w:rPr>
              <w:t>Publisher’s Note:</w:t>
            </w:r>
            <w:r w:rsidRPr="00442C50">
              <w:t xml:space="preserve"> MDPI stays neutral with regard to jurisdictional claims in published maps and institutional affiliations.</w:t>
            </w:r>
          </w:p>
          <w:p w:rsidRPr="00442C50" w:rsidR="008843B4" w:rsidP="008843B4" w:rsidRDefault="008843B4" w14:paraId="7A9D1ED6" w14:textId="77777777">
            <w:pPr>
              <w:pStyle w:val="MDPI63Notes"/>
              <w:spacing w:before="120" w:after="0"/>
              <w:jc w:val="both"/>
            </w:pPr>
            <w:r w:rsidRPr="00442C50">
              <w:rPr>
                <w:noProof/>
                <w:snapToGrid/>
                <w:lang w:val="de-DE" w:eastAsia="de-DE" w:bidi="ar-SA"/>
              </w:rPr>
              <w:drawing>
                <wp:inline distT="0" distB="0" distL="0" distR="0" wp14:anchorId="77687150" wp14:editId="7737622D">
                  <wp:extent cx="694800" cy="2484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4800" cy="248400"/>
                          </a:xfrm>
                          <a:prstGeom prst="rect">
                            <a:avLst/>
                          </a:prstGeom>
                        </pic:spPr>
                      </pic:pic>
                    </a:graphicData>
                  </a:graphic>
                </wp:inline>
              </w:drawing>
            </w:r>
          </w:p>
          <w:p w:rsidRPr="00442C50" w:rsidR="008843B4" w:rsidP="008843B4" w:rsidRDefault="008843B4" w14:paraId="63CB7B3D" w14:textId="78B4F5C5">
            <w:pPr>
              <w:pStyle w:val="MDPI63Notes"/>
              <w:spacing w:before="60" w:after="0"/>
              <w:jc w:val="both"/>
            </w:pPr>
            <w:r w:rsidRPr="00442C50">
              <w:rPr>
                <w:b/>
              </w:rPr>
              <w:t>Copyright:</w:t>
            </w:r>
            <w:r w:rsidRPr="00442C50">
              <w:t xml:space="preserve"> © 2022 by the authors. Submitted for possible open access publication under the terms and conditions of the Creative Commons Attribution (CC BY) license (https://creativecommons.org/licenses/by/4.0/).</w:t>
            </w:r>
          </w:p>
        </w:tc>
      </w:tr>
    </w:tbl>
    <w:p w:rsidRPr="00442C50" w:rsidR="00325A48" w:rsidP="00B34B6D" w:rsidRDefault="69A3F416" w14:paraId="5DCCA545" w14:textId="0436533A">
      <w:pPr>
        <w:pStyle w:val="MDPI16affiliation"/>
        <w:rPr>
          <w:lang w:val="en-GB"/>
        </w:rPr>
      </w:pPr>
      <w:r w:rsidRPr="00442C50">
        <w:rPr>
          <w:vertAlign w:val="superscript"/>
          <w:lang w:val="en-GB"/>
        </w:rPr>
        <w:t>1</w:t>
      </w:r>
      <w:r w:rsidRPr="00442C50" w:rsidR="00325A48">
        <w:tab/>
      </w:r>
      <w:proofErr w:type="spellStart"/>
      <w:r w:rsidRPr="00442C50">
        <w:rPr>
          <w:lang w:val="en-GB"/>
        </w:rPr>
        <w:t>iAMB</w:t>
      </w:r>
      <w:proofErr w:type="spellEnd"/>
      <w:r w:rsidRPr="00442C50">
        <w:rPr>
          <w:lang w:val="en-GB"/>
        </w:rPr>
        <w:t xml:space="preserve">-Institute of Applied Microbiology, </w:t>
      </w:r>
      <w:proofErr w:type="spellStart"/>
      <w:r w:rsidRPr="00442C50">
        <w:rPr>
          <w:lang w:val="en-GB"/>
        </w:rPr>
        <w:t>ABBt</w:t>
      </w:r>
      <w:proofErr w:type="spellEnd"/>
      <w:r w:rsidRPr="00442C50">
        <w:rPr>
          <w:lang w:val="en-GB"/>
        </w:rPr>
        <w:t xml:space="preserve">, RWTH Aachen University, </w:t>
      </w:r>
      <w:proofErr w:type="spellStart"/>
      <w:r w:rsidRPr="00442C50">
        <w:rPr>
          <w:lang w:val="en-GB"/>
        </w:rPr>
        <w:t>Worringerweg</w:t>
      </w:r>
      <w:proofErr w:type="spellEnd"/>
      <w:r w:rsidRPr="00442C50">
        <w:rPr>
          <w:lang w:val="en-GB"/>
        </w:rPr>
        <w:t xml:space="preserve"> 1, </w:t>
      </w:r>
      <w:r w:rsidRPr="00442C50" w:rsidR="00325A48">
        <w:br/>
      </w:r>
      <w:r w:rsidRPr="00442C50">
        <w:rPr>
          <w:lang w:val="en-GB"/>
        </w:rPr>
        <w:t>52074 Aachen, Germany; lena.ullmann@rwth-aachen.de (L.U.), philipp.kohl@rwth-aachen.de (P.K.), tiemo.zambanini@rwth-aachen.de (T.Z.)</w:t>
      </w:r>
    </w:p>
    <w:p w:rsidRPr="00442C50" w:rsidR="00325A48" w:rsidP="00B34B6D" w:rsidRDefault="69A3F416" w14:paraId="0EED219C" w14:textId="01EF8DBB">
      <w:pPr>
        <w:pStyle w:val="MDPI16affiliation"/>
        <w:rPr>
          <w:lang w:val="de-DE"/>
        </w:rPr>
      </w:pPr>
      <w:r w:rsidRPr="00442C50">
        <w:rPr>
          <w:vertAlign w:val="superscript"/>
          <w:lang w:val="de-DE"/>
        </w:rPr>
        <w:t>2</w:t>
      </w:r>
      <w:r w:rsidRPr="00442C50" w:rsidR="00325A48">
        <w:rPr>
          <w:lang w:val="de-DE"/>
        </w:rPr>
        <w:tab/>
      </w:r>
      <w:proofErr w:type="spellStart"/>
      <w:r w:rsidRPr="00442C50">
        <w:rPr>
          <w:lang w:val="de-DE"/>
        </w:rPr>
        <w:t>Unseen</w:t>
      </w:r>
      <w:proofErr w:type="spellEnd"/>
      <w:r w:rsidRPr="00442C50">
        <w:rPr>
          <w:lang w:val="de-DE"/>
        </w:rPr>
        <w:t xml:space="preserve"> </w:t>
      </w:r>
      <w:proofErr w:type="spellStart"/>
      <w:r w:rsidRPr="00442C50">
        <w:rPr>
          <w:lang w:val="de-DE"/>
        </w:rPr>
        <w:t>Biometrics</w:t>
      </w:r>
      <w:proofErr w:type="spellEnd"/>
      <w:r w:rsidRPr="00442C50">
        <w:rPr>
          <w:lang w:val="de-DE"/>
        </w:rPr>
        <w:t xml:space="preserve"> </w:t>
      </w:r>
      <w:proofErr w:type="spellStart"/>
      <w:r w:rsidRPr="00442C50">
        <w:rPr>
          <w:lang w:val="de-DE"/>
        </w:rPr>
        <w:t>ApS</w:t>
      </w:r>
      <w:proofErr w:type="spellEnd"/>
      <w:r w:rsidRPr="00442C50">
        <w:rPr>
          <w:lang w:val="de-DE"/>
        </w:rPr>
        <w:t xml:space="preserve">, </w:t>
      </w:r>
      <w:proofErr w:type="spellStart"/>
      <w:r w:rsidRPr="00442C50">
        <w:rPr>
          <w:lang w:val="de-DE"/>
        </w:rPr>
        <w:t>Copenhagen</w:t>
      </w:r>
      <w:proofErr w:type="spellEnd"/>
      <w:r w:rsidRPr="00442C50">
        <w:rPr>
          <w:lang w:val="de-DE"/>
        </w:rPr>
        <w:t xml:space="preserve">, </w:t>
      </w:r>
      <w:proofErr w:type="spellStart"/>
      <w:r w:rsidRPr="00442C50">
        <w:rPr>
          <w:lang w:val="de-DE"/>
        </w:rPr>
        <w:t>Denmark</w:t>
      </w:r>
      <w:proofErr w:type="spellEnd"/>
      <w:r w:rsidRPr="00442C50">
        <w:rPr>
          <w:lang w:val="de-DE"/>
        </w:rPr>
        <w:t>; christian.lieven@gmx.de</w:t>
      </w:r>
    </w:p>
    <w:p w:rsidRPr="00442C50" w:rsidR="00325A48" w:rsidP="00B34B6D" w:rsidRDefault="69A3F416" w14:paraId="3A2F1379" w14:textId="54CEDDBF">
      <w:pPr>
        <w:pStyle w:val="MDPI16affiliation"/>
        <w:rPr>
          <w:lang w:val="en-GB"/>
        </w:rPr>
      </w:pPr>
      <w:r w:rsidRPr="00442C50">
        <w:rPr>
          <w:vertAlign w:val="superscript"/>
          <w:lang w:val="en-GB"/>
        </w:rPr>
        <w:t>3</w:t>
      </w:r>
      <w:r w:rsidRPr="00442C50" w:rsidR="00325A48">
        <w:tab/>
      </w:r>
      <w:r w:rsidRPr="00442C50">
        <w:rPr>
          <w:lang w:val="en-GB"/>
        </w:rPr>
        <w:t xml:space="preserve">Novo Nordisk Foundation </w:t>
      </w:r>
      <w:proofErr w:type="spellStart"/>
      <w:r w:rsidRPr="00442C50">
        <w:rPr>
          <w:lang w:val="en-GB"/>
        </w:rPr>
        <w:t>Center</w:t>
      </w:r>
      <w:proofErr w:type="spellEnd"/>
      <w:r w:rsidRPr="00442C50">
        <w:rPr>
          <w:lang w:val="en-GB"/>
        </w:rPr>
        <w:t xml:space="preserve"> for </w:t>
      </w:r>
      <w:proofErr w:type="spellStart"/>
      <w:r w:rsidRPr="00442C50">
        <w:rPr>
          <w:lang w:val="en-GB"/>
        </w:rPr>
        <w:t>Biosustainability</w:t>
      </w:r>
      <w:proofErr w:type="spellEnd"/>
      <w:r w:rsidRPr="00442C50">
        <w:rPr>
          <w:lang w:val="en-GB"/>
        </w:rPr>
        <w:t>, Technical University of Denmark, 2800 Kgs.</w:t>
      </w:r>
      <w:r w:rsidRPr="00442C50" w:rsidR="00325A48">
        <w:br/>
      </w:r>
      <w:r w:rsidRPr="00442C50">
        <w:rPr>
          <w:lang w:val="en-GB"/>
        </w:rPr>
        <w:t xml:space="preserve">Lyngby, Denmark </w:t>
      </w:r>
    </w:p>
    <w:p w:rsidRPr="00442C50" w:rsidR="00325A48" w:rsidP="00B34B6D" w:rsidRDefault="69A3F416" w14:paraId="3B0ACC78" w14:textId="249DE5E3">
      <w:pPr>
        <w:pStyle w:val="MDPI16affiliation"/>
        <w:rPr>
          <w:lang w:val="en-GB"/>
        </w:rPr>
      </w:pPr>
      <w:r w:rsidRPr="00442C50">
        <w:rPr>
          <w:vertAlign w:val="superscript"/>
          <w:lang w:val="en-GB"/>
        </w:rPr>
        <w:t>4</w:t>
      </w:r>
      <w:r w:rsidRPr="00442C50" w:rsidR="00325A48">
        <w:tab/>
      </w:r>
      <w:r w:rsidRPr="00442C50">
        <w:rPr>
          <w:lang w:val="en-GB"/>
        </w:rPr>
        <w:t xml:space="preserve">Genome Research of Industrial Microorganisms, </w:t>
      </w:r>
      <w:proofErr w:type="spellStart"/>
      <w:r w:rsidRPr="00442C50">
        <w:rPr>
          <w:lang w:val="en-GB"/>
        </w:rPr>
        <w:t>CeBiTec</w:t>
      </w:r>
      <w:proofErr w:type="spellEnd"/>
      <w:r w:rsidRPr="00442C50">
        <w:rPr>
          <w:lang w:val="en-GB"/>
        </w:rPr>
        <w:t>, Bielefeld University, 33501 Bielefeld, Germany; dwibberg@cebitec.uni-bielefeld.de</w:t>
      </w:r>
    </w:p>
    <w:p w:rsidRPr="00442C50" w:rsidR="00325A48" w:rsidP="00B34B6D" w:rsidRDefault="00BA78CA" w14:paraId="2852E452" w14:textId="5889003E">
      <w:pPr>
        <w:pStyle w:val="MDPI16affiliation"/>
        <w:rPr>
          <w:lang w:val="en-GB"/>
        </w:rPr>
      </w:pPr>
      <w:r w:rsidRPr="00442C50">
        <w:rPr>
          <w:vertAlign w:val="superscript"/>
          <w:lang w:val="en-GB"/>
        </w:rPr>
        <w:t>†</w:t>
      </w:r>
      <w:r w:rsidRPr="00442C50" w:rsidR="00325A48">
        <w:rPr>
          <w:lang w:val="en-GB"/>
        </w:rPr>
        <w:tab/>
      </w:r>
      <w:r w:rsidRPr="00442C50">
        <w:rPr>
          <w:lang w:val="en-GB"/>
        </w:rPr>
        <w:t xml:space="preserve">Current address: </w:t>
      </w:r>
      <w:r w:rsidRPr="00442C50" w:rsidR="00325A48">
        <w:rPr>
          <w:lang w:val="en-GB"/>
        </w:rPr>
        <w:t xml:space="preserve">Institute of Bio- and Geosciences IBG-5, Computational Metagenomics, </w:t>
      </w:r>
      <w:proofErr w:type="spellStart"/>
      <w:r w:rsidRPr="00442C50" w:rsidR="00325A48">
        <w:rPr>
          <w:lang w:val="en-GB"/>
        </w:rPr>
        <w:t>Forschungszentrum</w:t>
      </w:r>
      <w:proofErr w:type="spellEnd"/>
      <w:r w:rsidRPr="00442C50" w:rsidR="00325A48">
        <w:rPr>
          <w:lang w:val="en-GB"/>
        </w:rPr>
        <w:t xml:space="preserve"> </w:t>
      </w:r>
      <w:proofErr w:type="spellStart"/>
      <w:r w:rsidRPr="00442C50" w:rsidR="00325A48">
        <w:rPr>
          <w:lang w:val="en-GB"/>
        </w:rPr>
        <w:t>Jülich</w:t>
      </w:r>
      <w:proofErr w:type="spellEnd"/>
      <w:r w:rsidRPr="00442C50" w:rsidR="00325A48">
        <w:rPr>
          <w:lang w:val="en-GB"/>
        </w:rPr>
        <w:t xml:space="preserve"> GmbH, D-52425 </w:t>
      </w:r>
      <w:proofErr w:type="spellStart"/>
      <w:r w:rsidRPr="00442C50" w:rsidR="00325A48">
        <w:rPr>
          <w:lang w:val="en-GB"/>
        </w:rPr>
        <w:t>Jülich</w:t>
      </w:r>
      <w:proofErr w:type="spellEnd"/>
      <w:r w:rsidRPr="00442C50" w:rsidR="00325A48">
        <w:rPr>
          <w:lang w:val="en-GB"/>
        </w:rPr>
        <w:t>, Germany</w:t>
      </w:r>
    </w:p>
    <w:p w:rsidRPr="00442C50" w:rsidR="00325A48" w:rsidP="00B34B6D" w:rsidRDefault="00B34B6D" w14:paraId="0F0DF7A2" w14:textId="06713D47">
      <w:pPr>
        <w:pStyle w:val="MDPI16affiliation"/>
      </w:pPr>
      <w:r w:rsidRPr="00442C50">
        <w:rPr>
          <w:b/>
        </w:rPr>
        <w:t>*</w:t>
      </w:r>
      <w:r w:rsidRPr="00442C50">
        <w:tab/>
      </w:r>
      <w:r w:rsidRPr="00442C50">
        <w:t xml:space="preserve">Correspondence: </w:t>
      </w:r>
      <w:r w:rsidRPr="00442C50" w:rsidR="00325A48">
        <w:t xml:space="preserve">ulf.liebal@iamb.rwth-aachen.de (U.W.L.); </w:t>
      </w:r>
      <w:r w:rsidRPr="00442C50" w:rsidR="00325A48">
        <w:rPr>
          <w:lang w:val="en-GB"/>
        </w:rPr>
        <w:t>lars.blank@rwth-aachen.de (L.M.B</w:t>
      </w:r>
      <w:r w:rsidRPr="00442C50" w:rsidR="00F923BB">
        <w:rPr>
          <w:lang w:val="en-GB"/>
        </w:rPr>
        <w:t>.</w:t>
      </w:r>
      <w:r w:rsidRPr="00442C50" w:rsidR="00325A48">
        <w:rPr>
          <w:lang w:val="en-GB"/>
        </w:rPr>
        <w:t>)</w:t>
      </w:r>
    </w:p>
    <w:p w:rsidRPr="00442C50" w:rsidR="00325A48" w:rsidP="00B34B6D" w:rsidRDefault="69A3F416" w14:paraId="25E1AD29" w14:textId="72710D3E">
      <w:pPr>
        <w:pStyle w:val="MDPI17abstract"/>
      </w:pPr>
      <w:r w:rsidRPr="00442C50">
        <w:rPr>
          <w:b/>
          <w:bCs/>
        </w:rPr>
        <w:t xml:space="preserve">Abstract: </w:t>
      </w:r>
      <w:proofErr w:type="spellStart"/>
      <w:r w:rsidRPr="00442C50">
        <w:rPr>
          <w:i/>
          <w:iCs/>
        </w:rPr>
        <w:t>Ustilago</w:t>
      </w:r>
      <w:proofErr w:type="spellEnd"/>
      <w:r w:rsidRPr="00442C50">
        <w:rPr>
          <w:i/>
          <w:iCs/>
        </w:rPr>
        <w:t xml:space="preserve"> maydis</w:t>
      </w:r>
      <w:r w:rsidRPr="00442C50">
        <w:t xml:space="preserve"> is an important plant pathogen that causes corn smut disease and serves as an effective biotechnological production host. The lack of a comprehensive metabolic overview hinders a full understanding of the organism’s environmental adaptation and a full use of its metabolic potential. Here, we report the first genome-scale metabolic model (GSMM) of </w:t>
      </w:r>
      <w:proofErr w:type="spellStart"/>
      <w:r w:rsidRPr="00442C50">
        <w:rPr>
          <w:i/>
          <w:iCs/>
        </w:rPr>
        <w:t>Ustilago</w:t>
      </w:r>
      <w:proofErr w:type="spellEnd"/>
      <w:r w:rsidRPr="00442C50">
        <w:rPr>
          <w:i/>
          <w:iCs/>
        </w:rPr>
        <w:t xml:space="preserve"> maydis</w:t>
      </w:r>
      <w:r w:rsidRPr="00442C50">
        <w:t xml:space="preserve"> (iUma22) for the simulation of metabolic activities. iUma22 was reconstructed from sequencing and annotation using </w:t>
      </w:r>
      <w:proofErr w:type="spellStart"/>
      <w:r w:rsidRPr="00442C50">
        <w:t>PathwayTools</w:t>
      </w:r>
      <w:proofErr w:type="spellEnd"/>
      <w:r w:rsidRPr="00442C50">
        <w:t xml:space="preserve">, and the biomass equation was derived from literature values and from the codon composition. The final model contains over 25% annotated genes (6909) in the sequenced genome. Substrate utilization was corrected by BIOLOG phenotype arrays, and exponential batch cultivations were used to test growth predictions. The growth data revealed a decrease in glucose uptake rate with rising glucose concentration. A pangenome of four different </w:t>
      </w:r>
      <w:r w:rsidRPr="00442C50">
        <w:rPr>
          <w:i/>
          <w:iCs/>
        </w:rPr>
        <w:t xml:space="preserve">U. maydis </w:t>
      </w:r>
      <w:r w:rsidRPr="00442C50">
        <w:t>strains highlighted missing metabolic pathways in iUma22. The new model allows for studies of metabolic adaptations to different environmental niches as well as for biotechnological applications.</w:t>
      </w:r>
    </w:p>
    <w:p w:rsidRPr="00442C50" w:rsidR="00325A48" w:rsidP="00B34B6D" w:rsidRDefault="00B34B6D" w14:paraId="5DBCD748" w14:textId="428ECB4A">
      <w:pPr>
        <w:pStyle w:val="MDPI18keywords"/>
      </w:pPr>
      <w:r w:rsidRPr="00442C50">
        <w:rPr>
          <w:b/>
          <w:bCs/>
        </w:rPr>
        <w:t>Keywords:</w:t>
      </w:r>
      <w:r w:rsidRPr="00442C50" w:rsidR="00325A48">
        <w:rPr>
          <w:b/>
          <w:bCs/>
        </w:rPr>
        <w:t xml:space="preserve"> </w:t>
      </w:r>
      <w:proofErr w:type="spellStart"/>
      <w:r w:rsidRPr="00442C50" w:rsidR="00325A48">
        <w:rPr>
          <w:i/>
          <w:iCs/>
        </w:rPr>
        <w:t>Ustilago</w:t>
      </w:r>
      <w:proofErr w:type="spellEnd"/>
      <w:r w:rsidRPr="00442C50" w:rsidR="00325A48">
        <w:rPr>
          <w:i/>
          <w:iCs/>
        </w:rPr>
        <w:t xml:space="preserve"> maydis</w:t>
      </w:r>
      <w:r w:rsidRPr="00442C50" w:rsidR="00325A48">
        <w:t xml:space="preserve">; </w:t>
      </w:r>
      <w:r w:rsidRPr="00442C50">
        <w:t>genome</w:t>
      </w:r>
      <w:r w:rsidRPr="00442C50" w:rsidR="00815240">
        <w:t>-</w:t>
      </w:r>
      <w:r w:rsidRPr="00442C50">
        <w:t>scale metabolic model</w:t>
      </w:r>
      <w:r w:rsidRPr="00442C50" w:rsidR="00325A48">
        <w:t xml:space="preserve">; </w:t>
      </w:r>
      <w:r w:rsidRPr="00442C50" w:rsidR="002D2CC0">
        <w:t>constraint-based</w:t>
      </w:r>
      <w:r w:rsidRPr="00442C50">
        <w:t xml:space="preserve"> model</w:t>
      </w:r>
      <w:r w:rsidRPr="00442C50" w:rsidR="00325A48">
        <w:t xml:space="preserve">; </w:t>
      </w:r>
      <w:r w:rsidRPr="00442C50">
        <w:t>biotechnology</w:t>
      </w:r>
      <w:r w:rsidRPr="00442C50" w:rsidR="00325A48">
        <w:t xml:space="preserve">; COBRA; FBA; </w:t>
      </w:r>
      <w:r w:rsidRPr="00442C50">
        <w:t>metabolism</w:t>
      </w:r>
      <w:r w:rsidRPr="00442C50" w:rsidR="00325A48">
        <w:t xml:space="preserve">; </w:t>
      </w:r>
      <w:r w:rsidRPr="00442C50">
        <w:t>itaconate</w:t>
      </w:r>
    </w:p>
    <w:p w:rsidRPr="00442C50" w:rsidR="00325A48" w:rsidP="00B34B6D" w:rsidRDefault="00325A48" w14:paraId="309BD9BF" w14:textId="77777777">
      <w:pPr>
        <w:pStyle w:val="MDPI19line"/>
        <w:pBdr>
          <w:bottom w:val="single" w:color="000000" w:sz="4" w:space="1"/>
        </w:pBdr>
      </w:pPr>
    </w:p>
    <w:p w:rsidRPr="00442C50" w:rsidR="00325A48" w:rsidP="000C120F" w:rsidRDefault="00325A48" w14:paraId="65FD4023" w14:textId="7B19B39D">
      <w:pPr>
        <w:pStyle w:val="MDPI21heading1"/>
        <w:numPr>
          <w:ilvl w:val="0"/>
          <w:numId w:val="25"/>
        </w:numPr>
      </w:pPr>
      <w:r w:rsidRPr="00442C50">
        <w:t>Introduction</w:t>
      </w:r>
    </w:p>
    <w:p w:rsidRPr="00442C50" w:rsidR="00325A48" w:rsidP="00B34B6D" w:rsidRDefault="69A3F416" w14:paraId="3F92710E" w14:textId="40E66E0D">
      <w:pPr>
        <w:pStyle w:val="MDPI31text"/>
      </w:pPr>
      <w:proofErr w:type="spellStart"/>
      <w:r w:rsidRPr="00442C50">
        <w:rPr>
          <w:i/>
          <w:iCs/>
        </w:rPr>
        <w:t>Ustilago</w:t>
      </w:r>
      <w:proofErr w:type="spellEnd"/>
      <w:r w:rsidRPr="00442C50">
        <w:rPr>
          <w:i/>
          <w:iCs/>
        </w:rPr>
        <w:t xml:space="preserve"> maydis </w:t>
      </w:r>
      <w:r w:rsidRPr="00442C50">
        <w:t xml:space="preserve">is a model organism and economically important fungus from the division of </w:t>
      </w:r>
      <w:r w:rsidRPr="00442C50">
        <w:rPr>
          <w:i/>
          <w:iCs/>
        </w:rPr>
        <w:t>Basidiomycota</w:t>
      </w:r>
      <w:r w:rsidRPr="00442C50">
        <w:t xml:space="preserve">. The associated corn smut disease affects maize harvest, but the tumors are also used as food </w:t>
      </w:r>
      <w:r w:rsidRPr="00442C50">
        <w:rPr>
          <w:noProof/>
          <w:lang w:val="en-GB"/>
        </w:rPr>
        <w:t>[1]</w:t>
      </w:r>
      <w:r w:rsidRPr="00442C50">
        <w:rPr>
          <w:lang w:val="en-GB"/>
        </w:rPr>
        <w:t xml:space="preserve">. </w:t>
      </w:r>
      <w:r w:rsidRPr="00442C50">
        <w:t xml:space="preserve">As a parasite, </w:t>
      </w:r>
      <w:r w:rsidRPr="00442C50">
        <w:rPr>
          <w:i/>
          <w:iCs/>
        </w:rPr>
        <w:t xml:space="preserve">U. maydis </w:t>
      </w:r>
      <w:r w:rsidRPr="00442C50">
        <w:t xml:space="preserve">grows into the plant tissue to extract substrates for its own metabolic activity. </w:t>
      </w:r>
      <w:proofErr w:type="spellStart"/>
      <w:r w:rsidRPr="00442C50">
        <w:rPr>
          <w:i/>
          <w:iCs/>
        </w:rPr>
        <w:t>Ustilaginaceae</w:t>
      </w:r>
      <w:proofErr w:type="spellEnd"/>
      <w:r w:rsidRPr="00442C50">
        <w:t xml:space="preserve"> show a versatile product spectrum, such as organic acids (e.g., itaconate, malate, succinate), polyols (e.g., erythritol, mannitol), and extracellular glycolipids, which are considered value-added chemicals with potential applications in the pharmaceutical, food, and chemical industries. </w:t>
      </w:r>
      <w:r w:rsidRPr="00442C50">
        <w:rPr>
          <w:i/>
          <w:iCs/>
        </w:rPr>
        <w:t>U. maydis</w:t>
      </w:r>
      <w:r w:rsidRPr="00442C50">
        <w:t xml:space="preserve"> has developed an effective native production of itaconic acid, an important platform chemical. Indeed, the itaconic acid production in </w:t>
      </w:r>
      <w:r w:rsidRPr="00442C50">
        <w:rPr>
          <w:i/>
          <w:iCs/>
        </w:rPr>
        <w:t xml:space="preserve">U. maydis </w:t>
      </w:r>
      <w:r w:rsidRPr="00442C50">
        <w:t xml:space="preserve">was improved to surpass the current biotechnological route of </w:t>
      </w:r>
      <w:r w:rsidRPr="00442C50">
        <w:rPr>
          <w:i/>
          <w:iCs/>
        </w:rPr>
        <w:t xml:space="preserve">Aspergillus </w:t>
      </w:r>
      <w:proofErr w:type="spellStart"/>
      <w:r w:rsidRPr="00442C50">
        <w:rPr>
          <w:i/>
          <w:iCs/>
        </w:rPr>
        <w:t>terreus</w:t>
      </w:r>
      <w:proofErr w:type="spellEnd"/>
      <w:r w:rsidRPr="00442C50">
        <w:t xml:space="preserve">-based production. The advantages are yeast-like growth; high productivities, yields, and titer; and reduced byproduct formation </w:t>
      </w:r>
      <w:r w:rsidRPr="00442C50">
        <w:rPr>
          <w:noProof/>
        </w:rPr>
        <w:t>[2–4]</w:t>
      </w:r>
      <w:r w:rsidRPr="00442C50">
        <w:t xml:space="preserve">, and since it is a model organism, efficient genetic tools are available </w:t>
      </w:r>
      <w:r w:rsidRPr="00442C50">
        <w:rPr>
          <w:noProof/>
        </w:rPr>
        <w:t>[5]</w:t>
      </w:r>
      <w:r w:rsidRPr="00442C50">
        <w:t>.</w:t>
      </w:r>
    </w:p>
    <w:p w:rsidRPr="00442C50" w:rsidR="00325A48" w:rsidP="00B34B6D" w:rsidRDefault="00325A48" w14:paraId="7F002C9C" w14:textId="56F02C3A">
      <w:pPr>
        <w:pStyle w:val="MDPI31text"/>
      </w:pPr>
      <w:r w:rsidRPr="00442C50">
        <w:lastRenderedPageBreak/>
        <w:t xml:space="preserve">The annotated genome sequence of </w:t>
      </w:r>
      <w:proofErr w:type="spellStart"/>
      <w:r w:rsidRPr="00442C50">
        <w:rPr>
          <w:i/>
          <w:iCs/>
        </w:rPr>
        <w:t>Ustilago</w:t>
      </w:r>
      <w:proofErr w:type="spellEnd"/>
      <w:r w:rsidRPr="00442C50">
        <w:rPr>
          <w:i/>
          <w:iCs/>
        </w:rPr>
        <w:t xml:space="preserve"> maydis </w:t>
      </w:r>
      <w:r w:rsidRPr="00442C50">
        <w:t>strain 512</w:t>
      </w:r>
      <w:r w:rsidRPr="00442C50">
        <w:rPr>
          <w:i/>
          <w:iCs/>
        </w:rPr>
        <w:t xml:space="preserve"> </w:t>
      </w:r>
      <w:r w:rsidRPr="00442C50">
        <w:t xml:space="preserve">enabled a deeper understanding of </w:t>
      </w:r>
      <w:r w:rsidRPr="00442C50" w:rsidR="00960938">
        <w:t xml:space="preserve">its </w:t>
      </w:r>
      <w:r w:rsidRPr="00442C50">
        <w:t xml:space="preserve">pathogenic mechanisms as well as metabolic competencies </w:t>
      </w:r>
      <w:r w:rsidRPr="00442C50">
        <w:rPr>
          <w:noProof/>
        </w:rPr>
        <w:t>[6]</w:t>
      </w:r>
      <w:r w:rsidRPr="00442C50">
        <w:t xml:space="preserve">. Annotated genomes can be used to construct genome-scale metabolic models (GSMM), which serve as a knowledgebase of metabolic capacities and allow rational biotechnological engineering </w:t>
      </w:r>
      <w:r w:rsidRPr="00442C50">
        <w:rPr>
          <w:noProof/>
        </w:rPr>
        <w:t>[7]</w:t>
      </w:r>
      <w:r w:rsidRPr="00442C50">
        <w:t xml:space="preserve">. GSMM can be optimized to identify genetic modifications for metabolic engineering that maximize the production of metabolic intermediates. In addition, optimal biotechnological production routes regarding different organisms and metabolic pathways can be computationally evaluated using their respective GSMM </w:t>
      </w:r>
      <w:r w:rsidRPr="00442C50">
        <w:rPr>
          <w:noProof/>
        </w:rPr>
        <w:t>[8]</w:t>
      </w:r>
      <w:r w:rsidRPr="00442C50">
        <w:t>. The performance of metabolic microbial and cross-kingdom interactions can be interrogated</w:t>
      </w:r>
      <w:r w:rsidRPr="00442C50" w:rsidR="00960938">
        <w:t xml:space="preserve"> in order</w:t>
      </w:r>
      <w:r w:rsidRPr="00442C50">
        <w:t xml:space="preserve"> to identify exchange metabolites, community stability</w:t>
      </w:r>
      <w:r w:rsidRPr="00442C50" w:rsidR="00960938">
        <w:t>,</w:t>
      </w:r>
      <w:r w:rsidRPr="00442C50">
        <w:t xml:space="preserve"> and metabolic properties that mark transitions from mutualism to parasitism </w:t>
      </w:r>
      <w:r w:rsidRPr="00442C50">
        <w:rPr>
          <w:noProof/>
        </w:rPr>
        <w:t>[9–11]</w:t>
      </w:r>
      <w:r w:rsidRPr="00442C50">
        <w:t>.</w:t>
      </w:r>
    </w:p>
    <w:p w:rsidRPr="00442C50" w:rsidR="00325A48" w:rsidP="00B34B6D" w:rsidRDefault="69A3F416" w14:paraId="08A2D65E" w14:textId="25E007D2">
      <w:pPr>
        <w:pStyle w:val="MDPI31text"/>
      </w:pPr>
      <w:r w:rsidRPr="00442C50">
        <w:t xml:space="preserve">Here, we present the first high-quality genome-scale metabolic model for </w:t>
      </w:r>
      <w:r w:rsidRPr="00442C50">
        <w:rPr>
          <w:i/>
          <w:iCs/>
        </w:rPr>
        <w:t>U. maydis</w:t>
      </w:r>
      <w:r w:rsidRPr="00442C50">
        <w:t xml:space="preserve">, called iUma22. Growth phenotype assays based on BIOLOG with 190 substrates were conducted to reveal the metabolic versatility of </w:t>
      </w:r>
      <w:r w:rsidRPr="00442C50">
        <w:rPr>
          <w:i/>
          <w:iCs/>
        </w:rPr>
        <w:t>U. maydis</w:t>
      </w:r>
      <w:r w:rsidRPr="00442C50">
        <w:t xml:space="preserve"> for more realistic model predictions in native habitats. Moreover, growth kinetics across a range of high glucose concentrations were performed, which allowed for improved metabolic characterization during biotechnological fermentations. To judge the metabolic completeness of iUma22, as well as metabolic capacities in comparison to the </w:t>
      </w:r>
      <w:proofErr w:type="spellStart"/>
      <w:r w:rsidRPr="00442C50">
        <w:rPr>
          <w:i/>
          <w:iCs/>
        </w:rPr>
        <w:t>Ustilago</w:t>
      </w:r>
      <w:proofErr w:type="spellEnd"/>
      <w:r w:rsidRPr="00442C50">
        <w:t xml:space="preserve"> genus, a pangenome of annotated enzymes of different </w:t>
      </w:r>
      <w:r w:rsidRPr="00442C50">
        <w:rPr>
          <w:i/>
          <w:iCs/>
        </w:rPr>
        <w:t>U. maydis</w:t>
      </w:r>
      <w:r w:rsidRPr="00442C50">
        <w:t xml:space="preserve"> strains was constructed. The model is freely available online via the </w:t>
      </w:r>
      <w:proofErr w:type="spellStart"/>
      <w:r w:rsidRPr="00442C50">
        <w:t>Biomodels</w:t>
      </w:r>
      <w:proofErr w:type="spellEnd"/>
      <w:r w:rsidRPr="00442C50">
        <w:t xml:space="preserve"> database ID: MODEL2203250001 and GitHub: https://github.com/iAMB-RWTH-Aachen/Ustilago_maydis-GEM (accessed on 18</w:t>
      </w:r>
      <w:r w:rsidRPr="00442C50" w:rsidR="006A11D7">
        <w:t xml:space="preserve"> </w:t>
      </w:r>
      <w:r w:rsidRPr="00442C50" w:rsidR="006A11D7">
        <w:rPr>
          <w:rFonts w:hint="eastAsia"/>
        </w:rPr>
        <w:t>May</w:t>
      </w:r>
      <w:r w:rsidRPr="00442C50" w:rsidR="006A11D7">
        <w:t xml:space="preserve"> </w:t>
      </w:r>
      <w:r w:rsidRPr="00442C50">
        <w:t xml:space="preserve">2022). The quality of the model was assessed using the </w:t>
      </w:r>
      <w:proofErr w:type="spellStart"/>
      <w:r w:rsidRPr="00442C50">
        <w:t>Memote</w:t>
      </w:r>
      <w:proofErr w:type="spellEnd"/>
      <w:r w:rsidRPr="00442C50">
        <w:t xml:space="preserve"> evaluation tool, as well as FROG reports for reproducibility (see Supplementary Materials). </w:t>
      </w:r>
    </w:p>
    <w:p w:rsidRPr="00442C50" w:rsidR="00325A48" w:rsidP="00B34B6D" w:rsidRDefault="00B34B6D" w14:paraId="6A068EBD" w14:textId="00C4D209">
      <w:pPr>
        <w:pStyle w:val="MDPI21heading1"/>
      </w:pPr>
      <w:r w:rsidRPr="00442C50">
        <w:rPr>
          <w:lang w:eastAsia="zh-CN"/>
        </w:rPr>
        <w:t xml:space="preserve">2. </w:t>
      </w:r>
      <w:r w:rsidRPr="00442C50" w:rsidR="00325A48">
        <w:t>Materials and Methods</w:t>
      </w:r>
    </w:p>
    <w:p w:rsidRPr="00442C50" w:rsidR="00325A48" w:rsidP="00B34B6D" w:rsidRDefault="00B34B6D" w14:paraId="189EEA83" w14:textId="7B6B947C">
      <w:pPr>
        <w:pStyle w:val="MDPI22heading2"/>
      </w:pPr>
      <w:r w:rsidRPr="00442C50">
        <w:t xml:space="preserve">2.1. </w:t>
      </w:r>
      <w:r w:rsidRPr="00442C50" w:rsidR="00325A48">
        <w:t>Draft GSMM from Pathway Tools</w:t>
      </w:r>
    </w:p>
    <w:p w:rsidRPr="00442C50" w:rsidR="00325A48" w:rsidP="00B34B6D" w:rsidRDefault="69A3F416" w14:paraId="2397751D" w14:textId="7E9F7A90">
      <w:pPr>
        <w:pStyle w:val="MDPI31text"/>
      </w:pPr>
      <w:r w:rsidRPr="00442C50">
        <w:t xml:space="preserve">The genomic DNA sequence of </w:t>
      </w:r>
      <w:proofErr w:type="spellStart"/>
      <w:r w:rsidRPr="00442C50">
        <w:rPr>
          <w:i/>
          <w:iCs/>
        </w:rPr>
        <w:t>Ustilago</w:t>
      </w:r>
      <w:proofErr w:type="spellEnd"/>
      <w:r w:rsidRPr="00442C50">
        <w:rPr>
          <w:i/>
          <w:iCs/>
        </w:rPr>
        <w:t xml:space="preserve"> maydis</w:t>
      </w:r>
      <w:r w:rsidRPr="00442C50">
        <w:t xml:space="preserve"> (Strain 521 FGSC 9021) </w:t>
      </w:r>
      <w:r w:rsidRPr="00442C50">
        <w:rPr>
          <w:noProof/>
        </w:rPr>
        <w:t>[6]</w:t>
      </w:r>
      <w:r w:rsidRPr="00442C50">
        <w:t xml:space="preserve"> was obtained from NCBI’s </w:t>
      </w:r>
      <w:proofErr w:type="spellStart"/>
      <w:r w:rsidRPr="00442C50">
        <w:t>RefSeq</w:t>
      </w:r>
      <w:proofErr w:type="spellEnd"/>
      <w:r w:rsidRPr="00442C50">
        <w:t xml:space="preserve"> project </w:t>
      </w:r>
      <w:r w:rsidRPr="00442C50">
        <w:rPr>
          <w:noProof/>
        </w:rPr>
        <w:t>[12]</w:t>
      </w:r>
      <w:r w:rsidRPr="00442C50">
        <w:t xml:space="preserve">. A corresponding annotation file was then exported from the MIPS </w:t>
      </w:r>
      <w:proofErr w:type="spellStart"/>
      <w:r w:rsidRPr="00442C50">
        <w:t>Ustilago</w:t>
      </w:r>
      <w:proofErr w:type="spellEnd"/>
      <w:r w:rsidRPr="00442C50">
        <w:t xml:space="preserve"> Maydis Database via the PEDANT Interface </w:t>
      </w:r>
      <w:r w:rsidRPr="00442C50">
        <w:rPr>
          <w:noProof/>
        </w:rPr>
        <w:t>[13]</w:t>
      </w:r>
      <w:r w:rsidRPr="00442C50">
        <w:t xml:space="preserve">. Using the </w:t>
      </w:r>
      <w:proofErr w:type="spellStart"/>
      <w:r w:rsidRPr="00442C50">
        <w:t>PathoLogic</w:t>
      </w:r>
      <w:proofErr w:type="spellEnd"/>
      <w:r w:rsidRPr="00442C50">
        <w:t xml:space="preserve"> Tool </w:t>
      </w:r>
      <w:r w:rsidRPr="00442C50">
        <w:rPr>
          <w:noProof/>
        </w:rPr>
        <w:t>[14]</w:t>
      </w:r>
      <w:r w:rsidRPr="00442C50">
        <w:t xml:space="preserve">, the sequence and annotation files were parsed and, in combination with the </w:t>
      </w:r>
      <w:proofErr w:type="spellStart"/>
      <w:r w:rsidRPr="00442C50">
        <w:t>MetaCyc</w:t>
      </w:r>
      <w:proofErr w:type="spellEnd"/>
      <w:r w:rsidRPr="00442C50">
        <w:t xml:space="preserve"> reactions database, a new Pathway/Genome Database (PGDB) was created. During pathway cleaning, reactions from other taxa are pruned, unless there were enzymes matching all of the reactions. Additional metabolic activity was identified using the ‘Pathway Hole Filler’ function and the sequence information of isoenzymes was used to query the proteome of </w:t>
      </w:r>
      <w:r w:rsidRPr="00442C50">
        <w:rPr>
          <w:i/>
          <w:iCs/>
        </w:rPr>
        <w:t>U. maydis</w:t>
      </w:r>
      <w:r w:rsidRPr="00442C50">
        <w:t xml:space="preserve"> via </w:t>
      </w:r>
      <w:proofErr w:type="spellStart"/>
      <w:r w:rsidRPr="00442C50">
        <w:t>pBlast</w:t>
      </w:r>
      <w:proofErr w:type="spellEnd"/>
      <w:r w:rsidRPr="00442C50">
        <w:t xml:space="preserve">. Protein sequences were queried on PEDANT, MUMDB, </w:t>
      </w:r>
      <w:proofErr w:type="spellStart"/>
      <w:r w:rsidRPr="00442C50">
        <w:t>MetaCyc</w:t>
      </w:r>
      <w:proofErr w:type="spellEnd"/>
      <w:r w:rsidRPr="00442C50">
        <w:t xml:space="preserve"> or KEGG </w:t>
      </w:r>
      <w:r w:rsidRPr="00442C50">
        <w:rPr>
          <w:noProof/>
        </w:rPr>
        <w:t>[15,16]</w:t>
      </w:r>
      <w:r w:rsidRPr="00442C50">
        <w:t xml:space="preserve"> and manually curated, while inconclusive polypeptides, as well as those that are involved in signaling and other nonmetabolic pathways, were discarded. While PEDANT and MUMDB are discontinued, information on the sequence and annotation for </w:t>
      </w:r>
      <w:r w:rsidRPr="00442C50">
        <w:rPr>
          <w:i/>
          <w:iCs/>
        </w:rPr>
        <w:t>U. maydis</w:t>
      </w:r>
      <w:r w:rsidRPr="00442C50">
        <w:t xml:space="preserve"> can be accessed via </w:t>
      </w:r>
      <w:proofErr w:type="spellStart"/>
      <w:r w:rsidRPr="00442C50">
        <w:t>EnsemblFungi</w:t>
      </w:r>
      <w:proofErr w:type="spellEnd"/>
      <w:r w:rsidRPr="00442C50">
        <w:t>: https://fungi.ensembl.org/Ustilago_maydis/Info/Index (accessed 18</w:t>
      </w:r>
      <w:r w:rsidRPr="00442C50" w:rsidR="006A11D7">
        <w:t xml:space="preserve"> May </w:t>
      </w:r>
      <w:r w:rsidRPr="00442C50">
        <w:t xml:space="preserve">2022) </w:t>
      </w:r>
      <w:r w:rsidRPr="00442C50">
        <w:rPr>
          <w:noProof/>
        </w:rPr>
        <w:t>[17]</w:t>
      </w:r>
      <w:r w:rsidRPr="00442C50">
        <w:t xml:space="preserve">, </w:t>
      </w:r>
      <w:proofErr w:type="spellStart"/>
      <w:r w:rsidRPr="00442C50">
        <w:t>MycoCosm</w:t>
      </w:r>
      <w:proofErr w:type="spellEnd"/>
      <w:r w:rsidRPr="00442C50">
        <w:t>: https://mycocosm.jgi.doe.gov/Ustma2_2/Ustma2_2.home.html (accessed on 18</w:t>
      </w:r>
      <w:r w:rsidRPr="00442C50" w:rsidR="006A11D7">
        <w:t xml:space="preserve"> May </w:t>
      </w:r>
      <w:r w:rsidRPr="00442C50">
        <w:t xml:space="preserve">2022), NCBI (genome assembly ID: 225285), and </w:t>
      </w:r>
      <w:proofErr w:type="spellStart"/>
      <w:r w:rsidRPr="00442C50">
        <w:t>Uniprot</w:t>
      </w:r>
      <w:proofErr w:type="spellEnd"/>
      <w:r w:rsidRPr="00442C50">
        <w:t xml:space="preserve"> (Proteome ID: UP000000561).</w:t>
      </w:r>
    </w:p>
    <w:p w:rsidRPr="00442C50" w:rsidR="00325A48" w:rsidP="00B34B6D" w:rsidRDefault="00B34B6D" w14:paraId="09EA5462" w14:textId="3DD724DA">
      <w:pPr>
        <w:pStyle w:val="MDPI22heading2"/>
        <w:spacing w:before="240"/>
      </w:pPr>
      <w:r w:rsidRPr="00442C50">
        <w:t xml:space="preserve">2.2. </w:t>
      </w:r>
      <w:r w:rsidRPr="00442C50" w:rsidR="00325A48">
        <w:t xml:space="preserve">Strains </w:t>
      </w:r>
      <w:r w:rsidRPr="00442C50">
        <w:t>Sequenced</w:t>
      </w:r>
      <w:r w:rsidRPr="00442C50" w:rsidR="00325A48">
        <w:t xml:space="preserve">, </w:t>
      </w:r>
      <w:r w:rsidRPr="00442C50" w:rsidR="00890359">
        <w:t>Pangenome</w:t>
      </w:r>
      <w:r w:rsidRPr="00442C50" w:rsidR="00325A48">
        <w:t xml:space="preserve">, KEGG </w:t>
      </w:r>
      <w:r w:rsidRPr="00442C50">
        <w:t xml:space="preserve">Pathway Enrichment </w:t>
      </w:r>
    </w:p>
    <w:p w:rsidRPr="00442C50" w:rsidR="00325A48" w:rsidP="00747293" w:rsidRDefault="69A3F416" w14:paraId="7DB3D83D" w14:textId="17C0E9A9">
      <w:pPr>
        <w:pStyle w:val="MDPI31text"/>
      </w:pPr>
      <w:r w:rsidRPr="00442C50">
        <w:t xml:space="preserve">To identify metabolic differences within the </w:t>
      </w:r>
      <w:r w:rsidRPr="00442C50">
        <w:rPr>
          <w:i/>
          <w:iCs/>
        </w:rPr>
        <w:t>U. maydis</w:t>
      </w:r>
      <w:r w:rsidRPr="00442C50">
        <w:t xml:space="preserve"> strain family, a pangenome consisting of five </w:t>
      </w:r>
      <w:proofErr w:type="spellStart"/>
      <w:r w:rsidRPr="00442C50">
        <w:rPr>
          <w:i/>
          <w:iCs/>
        </w:rPr>
        <w:t>Ustilago</w:t>
      </w:r>
      <w:proofErr w:type="spellEnd"/>
      <w:r w:rsidRPr="00442C50">
        <w:rPr>
          <w:i/>
          <w:iCs/>
        </w:rPr>
        <w:t xml:space="preserve"> maydis</w:t>
      </w:r>
      <w:r w:rsidRPr="00442C50">
        <w:t xml:space="preserve"> strains was assembled, including strains 198, 482, 485, and 512 </w:t>
      </w:r>
      <w:r w:rsidRPr="00442C50">
        <w:rPr>
          <w:noProof/>
        </w:rPr>
        <w:t>[18]</w:t>
      </w:r>
      <w:r w:rsidRPr="00442C50">
        <w:t xml:space="preserve">. The Nanopore Rapid DNA Sequencing kit (SQK-RAD04, Oxford Nanopore Technologies, Oxford, UK) was used for preparation, and sequencing was performed on an Oxford Nanopore </w:t>
      </w:r>
      <w:proofErr w:type="spellStart"/>
      <w:r w:rsidRPr="00442C50">
        <w:t>GridION</w:t>
      </w:r>
      <w:proofErr w:type="spellEnd"/>
      <w:r w:rsidRPr="00442C50">
        <w:t xml:space="preserve"> Mk1 sequencer using a R9.4.1 flow cell. The </w:t>
      </w:r>
      <w:proofErr w:type="spellStart"/>
      <w:r w:rsidRPr="00442C50">
        <w:t>Nextera</w:t>
      </w:r>
      <w:proofErr w:type="spellEnd"/>
      <w:r w:rsidRPr="00442C50">
        <w:t xml:space="preserve"> XT DNA Sample Preparation Kit (Illumina, San Diego, CA, USA) was used for whole-genome-shotgun PCR-free libraries from 5 </w:t>
      </w:r>
      <w:proofErr w:type="spellStart"/>
      <w:r w:rsidRPr="00442C50">
        <w:t>μg</w:t>
      </w:r>
      <w:proofErr w:type="spellEnd"/>
      <w:r w:rsidRPr="00442C50">
        <w:t xml:space="preserve"> of gDNA. The library quality was assessed </w:t>
      </w:r>
      <w:r w:rsidRPr="00442C50">
        <w:lastRenderedPageBreak/>
        <w:t xml:space="preserve">by an Agilent 2000 Bioanalyzer with Agilent High Sensitivity DNA Kit (Agilent Technologies, Santa Clara, CA, USA) for fragment sizes of 500–1000 bp. Paired-end sequencing was performed on the Illumina MiSeq platform (2 × 300 bp, v3 chemistry). Adapters and low-quality reads were removed by an in-house software pipeline prior to polishing, as recently described in </w:t>
      </w:r>
      <w:r w:rsidRPr="00442C50">
        <w:rPr>
          <w:noProof/>
        </w:rPr>
        <w:t>[19]</w:t>
      </w:r>
      <w:r w:rsidRPr="00442C50">
        <w:t xml:space="preserve">. Run control was based on </w:t>
      </w:r>
      <w:proofErr w:type="spellStart"/>
      <w:r w:rsidRPr="00442C50">
        <w:t>MinKNOW</w:t>
      </w:r>
      <w:proofErr w:type="spellEnd"/>
      <w:r w:rsidRPr="00442C50">
        <w:t xml:space="preserve"> (Oxford Nanopore Technologies, Oxford, UK) with the 48-h sequencing run protocol. Base-calling was performed offline using a Bonito assembly with </w:t>
      </w:r>
      <w:proofErr w:type="spellStart"/>
      <w:r w:rsidRPr="00442C50">
        <w:t>canu</w:t>
      </w:r>
      <w:proofErr w:type="spellEnd"/>
      <w:r w:rsidRPr="00442C50">
        <w:t xml:space="preserve"> v2.1.1 </w:t>
      </w:r>
      <w:r w:rsidRPr="00442C50">
        <w:rPr>
          <w:noProof/>
        </w:rPr>
        <w:t>[20]</w:t>
      </w:r>
      <w:r w:rsidRPr="00442C50">
        <w:t xml:space="preserve">, contigs were polished with Pilon </w:t>
      </w:r>
      <w:r w:rsidRPr="00442C50">
        <w:rPr>
          <w:noProof/>
        </w:rPr>
        <w:t>[21]</w:t>
      </w:r>
      <w:r w:rsidRPr="00442C50">
        <w:t xml:space="preserve"> for ten iterative cycles, and for read mapping, BWA-MEM </w:t>
      </w:r>
      <w:r w:rsidRPr="00442C50">
        <w:rPr>
          <w:noProof/>
        </w:rPr>
        <w:t>[22]</w:t>
      </w:r>
      <w:r w:rsidRPr="00442C50">
        <w:t xml:space="preserve"> and Bowtie2 v2.3.2 </w:t>
      </w:r>
      <w:r w:rsidRPr="00442C50">
        <w:rPr>
          <w:noProof/>
        </w:rPr>
        <w:t>[23]</w:t>
      </w:r>
      <w:r w:rsidRPr="00442C50">
        <w:t xml:space="preserve"> were used in the first and second five iterations, respectively.</w:t>
      </w:r>
    </w:p>
    <w:p w:rsidRPr="00442C50" w:rsidR="00325A48" w:rsidP="00747293" w:rsidRDefault="00325A48" w14:paraId="5B24D939" w14:textId="6EF52EBA">
      <w:pPr>
        <w:pStyle w:val="MDPI31text"/>
      </w:pPr>
      <w:r w:rsidRPr="00442C50">
        <w:t xml:space="preserve">Genes were predicted using </w:t>
      </w:r>
      <w:proofErr w:type="spellStart"/>
      <w:r w:rsidRPr="00442C50">
        <w:t>GeneMark</w:t>
      </w:r>
      <w:proofErr w:type="spellEnd"/>
      <w:r w:rsidRPr="00442C50">
        <w:t xml:space="preserve">-ES 4.6.2. </w:t>
      </w:r>
      <w:r w:rsidRPr="00442C50">
        <w:rPr>
          <w:noProof/>
        </w:rPr>
        <w:t>[24]</w:t>
      </w:r>
      <w:r w:rsidRPr="00442C50">
        <w:t xml:space="preserve"> and functionally annotated using a modified version of the genome annotation platform </w:t>
      </w:r>
      <w:proofErr w:type="spellStart"/>
      <w:r w:rsidRPr="00442C50">
        <w:t>GenDB</w:t>
      </w:r>
      <w:proofErr w:type="spellEnd"/>
      <w:r w:rsidRPr="00442C50">
        <w:t xml:space="preserve"> 2.0 </w:t>
      </w:r>
      <w:r w:rsidRPr="00442C50">
        <w:rPr>
          <w:noProof/>
        </w:rPr>
        <w:t>[25]</w:t>
      </w:r>
      <w:r w:rsidRPr="00442C50">
        <w:t xml:space="preserve"> for eukaryotic genomes </w:t>
      </w:r>
      <w:r w:rsidRPr="00442C50">
        <w:rPr>
          <w:noProof/>
        </w:rPr>
        <w:t>[26]</w:t>
      </w:r>
      <w:r w:rsidRPr="00442C50">
        <w:t xml:space="preserve">. Similarity searches were conducted against COG </w:t>
      </w:r>
      <w:r w:rsidRPr="00442C50">
        <w:rPr>
          <w:noProof/>
        </w:rPr>
        <w:t>[27]</w:t>
      </w:r>
      <w:r w:rsidRPr="00442C50">
        <w:t xml:space="preserve">, KEGG </w:t>
      </w:r>
      <w:r w:rsidRPr="00442C50">
        <w:rPr>
          <w:noProof/>
        </w:rPr>
        <w:t>[16]</w:t>
      </w:r>
      <w:r w:rsidRPr="00442C50">
        <w:t xml:space="preserve"> and SWISS-PROT </w:t>
      </w:r>
      <w:r w:rsidRPr="00442C50">
        <w:rPr>
          <w:noProof/>
        </w:rPr>
        <w:t>[28]</w:t>
      </w:r>
      <w:r w:rsidRPr="00442C50">
        <w:t xml:space="preserve">. Identification of putative tRNA genes was conducted with </w:t>
      </w:r>
      <w:proofErr w:type="spellStart"/>
      <w:r w:rsidRPr="00442C50">
        <w:t>tRNAscan</w:t>
      </w:r>
      <w:proofErr w:type="spellEnd"/>
      <w:r w:rsidRPr="00442C50">
        <w:t xml:space="preserve">-SE </w:t>
      </w:r>
      <w:r w:rsidRPr="00442C50">
        <w:rPr>
          <w:noProof/>
        </w:rPr>
        <w:t>[29]</w:t>
      </w:r>
      <w:r w:rsidRPr="00442C50">
        <w:t xml:space="preserve">. Completeness, contamination, and strain heterogeneity were estimated with BUSCO (v3.0.2 </w:t>
      </w:r>
      <w:r w:rsidRPr="00442C50">
        <w:rPr>
          <w:noProof/>
        </w:rPr>
        <w:t>[30]</w:t>
      </w:r>
      <w:r w:rsidRPr="00442C50">
        <w:t xml:space="preserve">) using the fungi-specific single-copy marker genes database (odb9). The obtained genome sequences are compared and documented in more detail in Ullmann et al. (2022) </w:t>
      </w:r>
      <w:r w:rsidRPr="00442C50">
        <w:rPr>
          <w:noProof/>
        </w:rPr>
        <w:t>[18]</w:t>
      </w:r>
      <w:r w:rsidRPr="00442C50">
        <w:t xml:space="preserve">. The </w:t>
      </w:r>
      <w:r w:rsidRPr="00442C50" w:rsidR="00890359">
        <w:t>pangenome</w:t>
      </w:r>
      <w:r w:rsidRPr="00442C50">
        <w:t xml:space="preserve"> of all available </w:t>
      </w:r>
      <w:r w:rsidRPr="00442C50">
        <w:rPr>
          <w:i/>
          <w:iCs/>
        </w:rPr>
        <w:t xml:space="preserve">U. maydis </w:t>
      </w:r>
      <w:r w:rsidRPr="00442C50">
        <w:t xml:space="preserve">strains was calculated by means of EDGAR 3.0 </w:t>
      </w:r>
      <w:r w:rsidRPr="00442C50">
        <w:rPr>
          <w:noProof/>
        </w:rPr>
        <w:t>[31]</w:t>
      </w:r>
      <w:r w:rsidRPr="00442C50">
        <w:t xml:space="preserve">. The KEGG pathway annotation was performed by comparison of E.C. numbers in the </w:t>
      </w:r>
      <w:r w:rsidRPr="00442C50" w:rsidR="00890359">
        <w:t>pangenome</w:t>
      </w:r>
      <w:r w:rsidRPr="00442C50">
        <w:t xml:space="preserve"> annotation and E.C. numbers in the reaction description of iUma22. The comparison resulted in three lists</w:t>
      </w:r>
      <w:r w:rsidRPr="00442C50" w:rsidR="004B21DD">
        <w:t>:</w:t>
      </w:r>
      <w:r w:rsidRPr="00442C50">
        <w:t xml:space="preserve"> E.C. numbers only present in iUma22 (</w:t>
      </w:r>
      <w:proofErr w:type="spellStart"/>
      <w:r w:rsidRPr="00442C50">
        <w:t>iUmaNOTpan</w:t>
      </w:r>
      <w:proofErr w:type="spellEnd"/>
      <w:r w:rsidRPr="00442C50">
        <w:t xml:space="preserve">), present in the </w:t>
      </w:r>
      <w:r w:rsidRPr="00442C50" w:rsidR="00890359">
        <w:t>pangenome</w:t>
      </w:r>
      <w:r w:rsidRPr="00442C50">
        <w:t xml:space="preserve"> and </w:t>
      </w:r>
      <w:proofErr w:type="spellStart"/>
      <w:r w:rsidRPr="00442C50">
        <w:t>iUma</w:t>
      </w:r>
      <w:proofErr w:type="spellEnd"/>
      <w:r w:rsidRPr="00442C50">
        <w:t xml:space="preserve"> (</w:t>
      </w:r>
      <w:proofErr w:type="spellStart"/>
      <w:r w:rsidRPr="00442C50">
        <w:t>iUmaANDpan</w:t>
      </w:r>
      <w:proofErr w:type="spellEnd"/>
      <w:r w:rsidRPr="00442C50">
        <w:t xml:space="preserve">), and only present in </w:t>
      </w:r>
      <w:r w:rsidRPr="00442C50" w:rsidR="00890359">
        <w:t>pangenome</w:t>
      </w:r>
      <w:r w:rsidRPr="00442C50">
        <w:t xml:space="preserve"> (</w:t>
      </w:r>
      <w:proofErr w:type="spellStart"/>
      <w:r w:rsidRPr="00442C50">
        <w:t>panNOTiUma</w:t>
      </w:r>
      <w:proofErr w:type="spellEnd"/>
      <w:r w:rsidRPr="00442C50">
        <w:t xml:space="preserve">). The </w:t>
      </w:r>
      <w:proofErr w:type="spellStart"/>
      <w:r w:rsidRPr="00442C50">
        <w:t>panNOTiUma</w:t>
      </w:r>
      <w:proofErr w:type="spellEnd"/>
      <w:r w:rsidRPr="00442C50">
        <w:t xml:space="preserve"> list was exported as </w:t>
      </w:r>
      <w:r w:rsidRPr="00442C50" w:rsidR="004B21DD">
        <w:t xml:space="preserve">a </w:t>
      </w:r>
      <w:proofErr w:type="spellStart"/>
      <w:r w:rsidRPr="00442C50">
        <w:t>fasta</w:t>
      </w:r>
      <w:proofErr w:type="spellEnd"/>
      <w:r w:rsidRPr="00442C50">
        <w:t>-file</w:t>
      </w:r>
      <w:r w:rsidRPr="00442C50" w:rsidR="004B21DD">
        <w:t>,</w:t>
      </w:r>
      <w:r w:rsidRPr="00442C50">
        <w:t xml:space="preserve"> and KAAS </w:t>
      </w:r>
      <w:r w:rsidRPr="00442C50">
        <w:rPr>
          <w:noProof/>
        </w:rPr>
        <w:t>[32]</w:t>
      </w:r>
      <w:r w:rsidRPr="00442C50">
        <w:t xml:space="preserve"> was used to annotate the list with KEGG pathway information. The annotation of the genes in the SBML-file was achieved with the </w:t>
      </w:r>
      <w:proofErr w:type="spellStart"/>
      <w:r w:rsidRPr="00442C50">
        <w:t>BioServices</w:t>
      </w:r>
      <w:proofErr w:type="spellEnd"/>
      <w:r w:rsidRPr="00442C50">
        <w:t xml:space="preserve"> Python package </w:t>
      </w:r>
      <w:r w:rsidRPr="00442C50">
        <w:rPr>
          <w:noProof/>
        </w:rPr>
        <w:t>[33]</w:t>
      </w:r>
      <w:r w:rsidRPr="00442C50">
        <w:t xml:space="preserve">. </w:t>
      </w:r>
    </w:p>
    <w:p w:rsidRPr="00442C50" w:rsidR="00325A48" w:rsidP="00747293" w:rsidRDefault="00747293" w14:paraId="4E494ED6" w14:textId="70FFC611">
      <w:pPr>
        <w:pStyle w:val="MDPI22heading2"/>
        <w:spacing w:before="240"/>
      </w:pPr>
      <w:r w:rsidRPr="00442C50">
        <w:t xml:space="preserve">2.3. </w:t>
      </w:r>
      <w:r w:rsidRPr="00442C50" w:rsidR="00325A48">
        <w:t xml:space="preserve">Biomass </w:t>
      </w:r>
      <w:r w:rsidRPr="00442C50" w:rsidR="00B34B6D">
        <w:t xml:space="preserve">Equation </w:t>
      </w:r>
      <w:r w:rsidRPr="00442C50" w:rsidR="00325A48">
        <w:t xml:space="preserve">and </w:t>
      </w:r>
      <w:r w:rsidRPr="00442C50" w:rsidR="00B34B6D">
        <w:t>Growth</w:t>
      </w:r>
      <w:r w:rsidRPr="00442C50" w:rsidR="00325A48">
        <w:t>/</w:t>
      </w:r>
      <w:r w:rsidRPr="00442C50" w:rsidR="00B34B6D">
        <w:t>Non</w:t>
      </w:r>
      <w:r w:rsidRPr="00442C50" w:rsidR="00325A48">
        <w:t>-</w:t>
      </w:r>
      <w:r w:rsidRPr="00442C50" w:rsidR="00B34B6D">
        <w:t xml:space="preserve">Growth Maintenance </w:t>
      </w:r>
    </w:p>
    <w:p w:rsidRPr="00442C50" w:rsidR="00325A48" w:rsidP="00B80D54" w:rsidRDefault="69A3F416" w14:paraId="6D623CEF" w14:textId="21082510">
      <w:pPr>
        <w:pStyle w:val="MDPI31text"/>
        <w:spacing w:after="120"/>
      </w:pPr>
      <w:r w:rsidRPr="00442C50">
        <w:t xml:space="preserve">The composition of proteins, RNA, and DNA was estimated based on the respective protein and genome sequences, whereas the composition of lipids and the cell wall were results-mined from scientific articles </w:t>
      </w:r>
      <w:r w:rsidRPr="00442C50">
        <w:rPr>
          <w:noProof/>
        </w:rPr>
        <w:t>[34,35]</w:t>
      </w:r>
      <w:r w:rsidRPr="00442C50">
        <w:t xml:space="preserve">. The exact biomass composition of </w:t>
      </w:r>
      <w:r w:rsidRPr="00442C50">
        <w:rPr>
          <w:i/>
          <w:iCs/>
        </w:rPr>
        <w:t>U. maydis</w:t>
      </w:r>
      <w:r w:rsidRPr="00442C50">
        <w:t xml:space="preserve"> is not available; however, the specific elemental composition </w:t>
      </w:r>
      <w:r w:rsidRPr="00442C50">
        <w:rPr>
          <w:noProof/>
        </w:rPr>
        <w:t>[36]</w:t>
      </w:r>
      <w:r w:rsidRPr="00442C50">
        <w:t xml:space="preserve"> (and the biomass composition for fungi in general </w:t>
      </w:r>
      <w:r w:rsidRPr="00442C50">
        <w:rPr>
          <w:noProof/>
        </w:rPr>
        <w:t>[37]</w:t>
      </w:r>
      <w:r w:rsidRPr="00442C50">
        <w:t xml:space="preserve">) was used as a starting point, and linear programming was applied to approximate the total biomass composition (Supplement). The composition values of each monomer were converted into stoichiometric values </w:t>
      </w:r>
      <w:r w:rsidRPr="00442C50">
        <w:rPr>
          <w:noProof/>
        </w:rPr>
        <w:t>[38]</w:t>
      </w:r>
      <w:r w:rsidRPr="00442C50">
        <w:t xml:space="preserve">. For example, to determine the amino acid (AA) composition contribution (in </w:t>
      </w:r>
      <w:proofErr w:type="spellStart"/>
      <w:r w:rsidRPr="00442C50">
        <w:t>mol</w:t>
      </w:r>
      <w:r w:rsidRPr="00442C50">
        <w:rPr>
          <w:vertAlign w:val="subscript"/>
        </w:rPr>
        <w:t>AA</w:t>
      </w:r>
      <w:proofErr w:type="spellEnd"/>
      <w:r w:rsidRPr="00442C50">
        <w:t>/</w:t>
      </w:r>
      <w:proofErr w:type="spellStart"/>
      <w:r w:rsidRPr="00442C50">
        <w:t>g</w:t>
      </w:r>
      <w:r w:rsidRPr="00442C50">
        <w:rPr>
          <w:vertAlign w:val="subscript"/>
        </w:rPr>
        <w:t>Prot</w:t>
      </w:r>
      <w:proofErr w:type="spellEnd"/>
      <w:r w:rsidRPr="00442C50">
        <w:t>), first, the AA-protein molarity (MP</w:t>
      </w:r>
      <w:r w:rsidRPr="00442C50">
        <w:rPr>
          <w:vertAlign w:val="subscript"/>
        </w:rPr>
        <w:t>AA</w:t>
      </w:r>
      <w:r w:rsidRPr="00442C50">
        <w:t xml:space="preserve"> in </w:t>
      </w:r>
      <w:proofErr w:type="spellStart"/>
      <w:r w:rsidRPr="00442C50">
        <w:t>g</w:t>
      </w:r>
      <w:r w:rsidRPr="00442C50">
        <w:rPr>
          <w:vertAlign w:val="subscript"/>
        </w:rPr>
        <w:t>AA</w:t>
      </w:r>
      <w:proofErr w:type="spellEnd"/>
      <w:r w:rsidRPr="00442C50">
        <w:t>/</w:t>
      </w:r>
      <w:proofErr w:type="spellStart"/>
      <w:r w:rsidRPr="00442C50">
        <w:t>mol</w:t>
      </w:r>
      <w:r w:rsidRPr="00442C50">
        <w:rPr>
          <w:vertAlign w:val="subscript"/>
        </w:rPr>
        <w:t>Prot</w:t>
      </w:r>
      <w:proofErr w:type="spellEnd"/>
      <w:r w:rsidRPr="00442C50">
        <w:t>) was calculated by multiplying the AA codon frequency with the AA molar mass (minus the molar mass of water released during polymerization) (Equation (1)). Normalizing each AA-protein molarity by the overall sum yields the weight fraction of each AA (WP</w:t>
      </w:r>
      <w:r w:rsidRPr="00442C50">
        <w:rPr>
          <w:vertAlign w:val="subscript"/>
        </w:rPr>
        <w:t>AA</w:t>
      </w:r>
      <w:r w:rsidRPr="00442C50">
        <w:t>) (Equation (2)). Division of the AA weight fraction (WP</w:t>
      </w:r>
      <w:r w:rsidRPr="00442C50">
        <w:rPr>
          <w:vertAlign w:val="subscript"/>
        </w:rPr>
        <w:t>AA</w:t>
      </w:r>
      <w:r w:rsidRPr="00442C50">
        <w:t>) by its molar mass and multiplication with the weight fraction of protein to the dry weight (</w:t>
      </w:r>
      <w:r w:rsidRPr="00442C50">
        <w:rPr>
          <w:i/>
          <w:iCs/>
        </w:rPr>
        <w:t xml:space="preserve">X </w:t>
      </w:r>
      <w:r w:rsidRPr="00442C50">
        <w:t xml:space="preserve">in </w:t>
      </w:r>
      <w:proofErr w:type="spellStart"/>
      <w:r w:rsidRPr="00442C50">
        <w:t>g</w:t>
      </w:r>
      <w:r w:rsidRPr="00442C50">
        <w:rPr>
          <w:vertAlign w:val="subscript"/>
        </w:rPr>
        <w:t>Prot</w:t>
      </w:r>
      <w:proofErr w:type="spellEnd"/>
      <w:r w:rsidRPr="00442C50">
        <w:t>/</w:t>
      </w:r>
      <w:proofErr w:type="spellStart"/>
      <w:r w:rsidRPr="00442C50">
        <w:t>g</w:t>
      </w:r>
      <w:r w:rsidRPr="00442C50">
        <w:rPr>
          <w:vertAlign w:val="subscript"/>
        </w:rPr>
        <w:t>CDW</w:t>
      </w:r>
      <w:proofErr w:type="spellEnd"/>
      <w:r w:rsidRPr="00442C50">
        <w:t>) and conversion from mol to mmol (factor 1000) provides the stoichiometric factor (SF</w:t>
      </w:r>
      <w:r w:rsidRPr="00442C50">
        <w:rPr>
          <w:vertAlign w:val="subscript"/>
        </w:rPr>
        <w:t>AA</w:t>
      </w:r>
      <w:r w:rsidRPr="00442C50">
        <w:t>) (Equation (3)). To calculate the stoichiometric factor of an AA (</w:t>
      </w:r>
      <w:r w:rsidRPr="00442C50">
        <w:rPr>
          <w:i/>
          <w:iCs/>
        </w:rPr>
        <w:t>SF</w:t>
      </w:r>
      <w:r w:rsidRPr="00442C50">
        <w:rPr>
          <w:i/>
          <w:iCs/>
          <w:vertAlign w:val="subscript"/>
        </w:rPr>
        <w:t>AA</w:t>
      </w:r>
      <w:r w:rsidRPr="00442C50">
        <w:t>), the molar percentage (</w:t>
      </w:r>
      <w:r w:rsidRPr="00442C50">
        <w:rPr>
          <w:i/>
          <w:iCs/>
        </w:rPr>
        <w:t>MP</w:t>
      </w:r>
      <w:r w:rsidRPr="00442C50">
        <w:t>) is multiplied with the fractional protein mass per biomass (</w:t>
      </w:r>
      <w:r w:rsidRPr="00442C50">
        <w:rPr>
          <w:i/>
          <w:iCs/>
        </w:rPr>
        <w:t>X</w:t>
      </w:r>
      <w:r w:rsidRPr="00442C50">
        <w:t>) (Equation (2)).</w:t>
      </w:r>
    </w:p>
    <w:tbl>
      <w:tblPr>
        <w:tblW w:w="7859" w:type="dxa"/>
        <w:tblInd w:w="2608" w:type="dxa"/>
        <w:tblLayout w:type="fixed"/>
        <w:tblCellMar>
          <w:left w:w="0" w:type="dxa"/>
          <w:right w:w="0" w:type="dxa"/>
        </w:tblCellMar>
        <w:tblLook w:val="04A0" w:firstRow="1" w:lastRow="0" w:firstColumn="1" w:lastColumn="0" w:noHBand="0" w:noVBand="1"/>
      </w:tblPr>
      <w:tblGrid>
        <w:gridCol w:w="7428"/>
        <w:gridCol w:w="431"/>
      </w:tblGrid>
      <w:tr w:rsidRPr="00442C50" w:rsidR="00325A48" w:rsidTr="69A3F416" w14:paraId="79A87F03" w14:textId="77777777">
        <w:tc>
          <w:tcPr>
            <w:tcW w:w="7428" w:type="dxa"/>
          </w:tcPr>
          <w:p w:rsidRPr="00442C50" w:rsidR="00325A48" w:rsidP="0026776A" w:rsidRDefault="69A3F416" w14:paraId="6CC88AD1" w14:textId="71D61086">
            <w:pPr>
              <w:pStyle w:val="MDPI39equation"/>
            </w:pPr>
            <w:r w:rsidRPr="00442C50">
              <w:t>MP</w:t>
            </w:r>
            <w:r w:rsidRPr="00442C50">
              <w:rPr>
                <w:vertAlign w:val="subscript"/>
              </w:rPr>
              <w:t>AA</w:t>
            </w:r>
            <w:r w:rsidRPr="00442C50">
              <w:t xml:space="preserve"> [</w:t>
            </w:r>
            <w:proofErr w:type="spellStart"/>
            <w:r w:rsidRPr="00442C50">
              <w:t>g</w:t>
            </w:r>
            <w:r w:rsidRPr="00442C50">
              <w:rPr>
                <w:vertAlign w:val="subscript"/>
              </w:rPr>
              <w:t>AA</w:t>
            </w:r>
            <w:proofErr w:type="spellEnd"/>
            <w:r w:rsidRPr="00442C50">
              <w:t>/</w:t>
            </w:r>
            <w:proofErr w:type="spellStart"/>
            <w:r w:rsidRPr="00442C50">
              <w:t>mol</w:t>
            </w:r>
            <w:r w:rsidRPr="00442C50">
              <w:rPr>
                <w:vertAlign w:val="subscript"/>
              </w:rPr>
              <w:t>Prot</w:t>
            </w:r>
            <w:proofErr w:type="spellEnd"/>
            <w:r w:rsidRPr="00442C50">
              <w:t>] = CDN</w:t>
            </w:r>
            <w:r w:rsidRPr="00442C50">
              <w:rPr>
                <w:vertAlign w:val="subscript"/>
              </w:rPr>
              <w:t>AA</w:t>
            </w:r>
            <w:r w:rsidRPr="00442C50">
              <w:t>/</w:t>
            </w:r>
            <w:r w:rsidRPr="00442C50">
              <w:rPr>
                <w:rFonts w:ascii="Symbol" w:hAnsi="Symbol"/>
              </w:rPr>
              <w:t></w:t>
            </w:r>
            <w:r w:rsidRPr="00442C50">
              <w:t xml:space="preserve"> CDN • (M</w:t>
            </w:r>
            <w:r w:rsidRPr="00442C50">
              <w:rPr>
                <w:vertAlign w:val="subscript"/>
              </w:rPr>
              <w:t>AA</w:t>
            </w:r>
            <w:r w:rsidRPr="00442C50">
              <w:t xml:space="preserve"> − M</w:t>
            </w:r>
            <w:r w:rsidRPr="00442C50">
              <w:rPr>
                <w:vertAlign w:val="subscript"/>
              </w:rPr>
              <w:t>H2O</w:t>
            </w:r>
            <w:r w:rsidRPr="00442C50">
              <w:t>)</w:t>
            </w:r>
          </w:p>
        </w:tc>
        <w:tc>
          <w:tcPr>
            <w:tcW w:w="431" w:type="dxa"/>
            <w:vAlign w:val="center"/>
          </w:tcPr>
          <w:p w:rsidRPr="00442C50" w:rsidR="00325A48" w:rsidP="0026776A" w:rsidRDefault="00325A48" w14:paraId="648266A4" w14:textId="77777777">
            <w:pPr>
              <w:pStyle w:val="MDPI3aequationnumber"/>
              <w:spacing w:line="260" w:lineRule="atLeast"/>
            </w:pPr>
            <w:r w:rsidRPr="00442C50">
              <w:t>(1)</w:t>
            </w:r>
          </w:p>
        </w:tc>
      </w:tr>
      <w:tr w:rsidRPr="00442C50" w:rsidR="00325A48" w:rsidTr="69A3F416" w14:paraId="3269062A" w14:textId="77777777">
        <w:tc>
          <w:tcPr>
            <w:tcW w:w="7428" w:type="dxa"/>
          </w:tcPr>
          <w:p w:rsidRPr="00442C50" w:rsidR="00325A48" w:rsidP="0026776A" w:rsidRDefault="00325A48" w14:paraId="501D8356" w14:textId="39D40670">
            <w:pPr>
              <w:pStyle w:val="MDPI39equation"/>
              <w:rPr>
                <w:b/>
              </w:rPr>
            </w:pPr>
            <w:r w:rsidRPr="00442C50">
              <w:t>WP</w:t>
            </w:r>
            <w:r w:rsidRPr="00442C50">
              <w:rPr>
                <w:vertAlign w:val="subscript"/>
              </w:rPr>
              <w:t>AA</w:t>
            </w:r>
            <w:r w:rsidRPr="00442C50">
              <w:t xml:space="preserve"> [</w:t>
            </w:r>
            <w:proofErr w:type="spellStart"/>
            <w:r w:rsidRPr="00442C50">
              <w:t>g</w:t>
            </w:r>
            <w:r w:rsidRPr="00442C50">
              <w:rPr>
                <w:vertAlign w:val="subscript"/>
              </w:rPr>
              <w:t>AA</w:t>
            </w:r>
            <w:proofErr w:type="spellEnd"/>
            <w:r w:rsidRPr="00442C50">
              <w:t>/</w:t>
            </w:r>
            <w:proofErr w:type="spellStart"/>
            <w:r w:rsidRPr="00442C50">
              <w:t>g</w:t>
            </w:r>
            <w:r w:rsidRPr="00442C50">
              <w:rPr>
                <w:vertAlign w:val="subscript"/>
              </w:rPr>
              <w:t>Prot</w:t>
            </w:r>
            <w:proofErr w:type="spellEnd"/>
            <w:r w:rsidRPr="00442C50">
              <w:t>] = MP</w:t>
            </w:r>
            <w:r w:rsidRPr="00442C50">
              <w:rPr>
                <w:vertAlign w:val="subscript"/>
              </w:rPr>
              <w:t>AA</w:t>
            </w:r>
            <w:r w:rsidRPr="00442C50">
              <w:t>/</w:t>
            </w:r>
            <w:r w:rsidRPr="00442C50">
              <w:rPr>
                <w:rFonts w:ascii="Symbol" w:hAnsi="Symbol"/>
              </w:rPr>
              <w:t></w:t>
            </w:r>
            <w:r w:rsidRPr="00442C50">
              <w:rPr>
                <w:rFonts w:ascii="Symbol" w:hAnsi="Symbol"/>
              </w:rPr>
              <w:t></w:t>
            </w:r>
            <w:r w:rsidRPr="00442C50">
              <w:t>MP</w:t>
            </w:r>
          </w:p>
        </w:tc>
        <w:tc>
          <w:tcPr>
            <w:tcW w:w="431" w:type="dxa"/>
            <w:vAlign w:val="center"/>
          </w:tcPr>
          <w:p w:rsidRPr="00442C50" w:rsidR="00325A48" w:rsidP="0026776A" w:rsidRDefault="00325A48" w14:paraId="17444DCA" w14:textId="77777777">
            <w:pPr>
              <w:pStyle w:val="MDPI3aequationnumber"/>
              <w:spacing w:line="260" w:lineRule="atLeast"/>
            </w:pPr>
            <w:r w:rsidRPr="00442C50">
              <w:t>(2)</w:t>
            </w:r>
          </w:p>
        </w:tc>
      </w:tr>
      <w:tr w:rsidRPr="00442C50" w:rsidR="00325A48" w:rsidTr="69A3F416" w14:paraId="754ABBD9" w14:textId="77777777">
        <w:tc>
          <w:tcPr>
            <w:tcW w:w="7428" w:type="dxa"/>
          </w:tcPr>
          <w:p w:rsidRPr="00442C50" w:rsidR="00325A48" w:rsidP="0026776A" w:rsidRDefault="00325A48" w14:paraId="021E538D" w14:textId="6BA53AB3">
            <w:pPr>
              <w:pStyle w:val="MDPI39equation"/>
            </w:pPr>
            <w:r w:rsidRPr="00442C50">
              <w:t>SF</w:t>
            </w:r>
            <w:r w:rsidRPr="00442C50">
              <w:rPr>
                <w:vertAlign w:val="subscript"/>
              </w:rPr>
              <w:t>AA</w:t>
            </w:r>
            <w:r w:rsidRPr="00442C50">
              <w:t xml:space="preserve"> [</w:t>
            </w:r>
            <w:proofErr w:type="spellStart"/>
            <w:r w:rsidRPr="00442C50">
              <w:t>mol</w:t>
            </w:r>
            <w:r w:rsidRPr="00442C50">
              <w:rPr>
                <w:vertAlign w:val="subscript"/>
              </w:rPr>
              <w:t>AA</w:t>
            </w:r>
            <w:proofErr w:type="spellEnd"/>
            <w:r w:rsidRPr="00442C50">
              <w:t>/</w:t>
            </w:r>
            <w:proofErr w:type="spellStart"/>
            <w:r w:rsidRPr="00442C50">
              <w:t>g</w:t>
            </w:r>
            <w:r w:rsidRPr="00442C50">
              <w:rPr>
                <w:vertAlign w:val="subscript"/>
              </w:rPr>
              <w:t>CDW</w:t>
            </w:r>
            <w:proofErr w:type="spellEnd"/>
            <w:r w:rsidRPr="00442C50">
              <w:t>] = WP</w:t>
            </w:r>
            <w:r w:rsidRPr="00442C50">
              <w:rPr>
                <w:vertAlign w:val="subscript"/>
              </w:rPr>
              <w:t>AA</w:t>
            </w:r>
            <w:r w:rsidRPr="00442C50">
              <w:t>/(M</w:t>
            </w:r>
            <w:r w:rsidRPr="00442C50">
              <w:rPr>
                <w:vertAlign w:val="subscript"/>
              </w:rPr>
              <w:t>AA</w:t>
            </w:r>
            <w:r w:rsidRPr="00442C50" w:rsidR="00FD3F59">
              <w:t xml:space="preserve"> − </w:t>
            </w:r>
            <w:r w:rsidRPr="00442C50">
              <w:t>M</w:t>
            </w:r>
            <w:r w:rsidRPr="00442C50">
              <w:rPr>
                <w:vertAlign w:val="subscript"/>
              </w:rPr>
              <w:t>H2O</w:t>
            </w:r>
            <w:r w:rsidRPr="00442C50">
              <w:t xml:space="preserve">) • </w:t>
            </w:r>
            <w:r w:rsidRPr="00442C50">
              <w:rPr>
                <w:i/>
                <w:iCs/>
              </w:rPr>
              <w:t>X</w:t>
            </w:r>
            <w:r w:rsidRPr="00442C50">
              <w:t xml:space="preserve"> • 1000</w:t>
            </w:r>
          </w:p>
        </w:tc>
        <w:tc>
          <w:tcPr>
            <w:tcW w:w="431" w:type="dxa"/>
            <w:vAlign w:val="center"/>
          </w:tcPr>
          <w:p w:rsidRPr="00442C50" w:rsidR="00325A48" w:rsidP="0026776A" w:rsidRDefault="00325A48" w14:paraId="6077F6FA" w14:textId="77777777">
            <w:pPr>
              <w:pStyle w:val="MDPI3aequationnumber"/>
              <w:spacing w:line="260" w:lineRule="atLeast"/>
            </w:pPr>
            <w:r w:rsidRPr="00442C50">
              <w:t>(3)</w:t>
            </w:r>
          </w:p>
        </w:tc>
      </w:tr>
    </w:tbl>
    <w:p w:rsidRPr="00442C50" w:rsidR="00325A48" w:rsidP="00B80D54" w:rsidRDefault="69A3F416" w14:paraId="4F155B4F" w14:textId="65105002">
      <w:pPr>
        <w:pStyle w:val="MDPI31text"/>
        <w:spacing w:before="120" w:after="120"/>
      </w:pPr>
      <w:r w:rsidRPr="00442C50">
        <w:t>The fraction of protein on total biomass (</w:t>
      </w:r>
      <w:r w:rsidRPr="00442C50">
        <w:rPr>
          <w:i/>
          <w:iCs/>
        </w:rPr>
        <w:t>X</w:t>
      </w:r>
      <w:r w:rsidRPr="00442C50">
        <w:t xml:space="preserve">) is unknown and was determined by linear optimization. The average elemental composition of each macromolecule (protein, DNA., RNA, lipid, cell wall) was determined by summing up the products of the absolute </w:t>
      </w:r>
      <w:r w:rsidRPr="00442C50">
        <w:lastRenderedPageBreak/>
        <w:t xml:space="preserve">amount of each element, and the corresponding C-mole content was calculated </w:t>
      </w:r>
      <w:r w:rsidRPr="00442C50">
        <w:rPr>
          <w:noProof/>
        </w:rPr>
        <w:t>[36]</w:t>
      </w:r>
      <w:r w:rsidRPr="00442C50">
        <w:t xml:space="preserve">. Phosphorous and Sulfur were added from the elemental composition of </w:t>
      </w:r>
      <w:proofErr w:type="spellStart"/>
      <w:r w:rsidRPr="00442C50">
        <w:rPr>
          <w:rFonts w:ascii="Times-Italic" w:hAnsi="Times-Italic" w:cs="Times-Italic"/>
          <w:i/>
          <w:iCs/>
        </w:rPr>
        <w:t>Sacharomyces</w:t>
      </w:r>
      <w:proofErr w:type="spellEnd"/>
      <w:r w:rsidRPr="00442C50">
        <w:rPr>
          <w:rFonts w:ascii="Times-Italic" w:hAnsi="Times-Italic" w:cs="Times-Italic"/>
          <w:i/>
          <w:iCs/>
        </w:rPr>
        <w:t xml:space="preserve"> cerevisiae</w:t>
      </w:r>
      <w:r w:rsidRPr="00442C50">
        <w:t>. The optimization followed the formula:</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Pr="00442C50" w:rsidR="00325A48" w:rsidTr="0026776A" w14:paraId="281E64F2" w14:textId="77777777">
        <w:trPr>
          <w:trHeight w:val="308"/>
        </w:trPr>
        <w:tc>
          <w:tcPr>
            <w:tcW w:w="7428" w:type="dxa"/>
          </w:tcPr>
          <w:p w:rsidRPr="00442C50" w:rsidR="00325A48" w:rsidP="0026776A" w:rsidRDefault="00325A48" w14:paraId="5D4CACE4" w14:textId="77777777">
            <w:pPr>
              <w:pStyle w:val="MDPI39equation"/>
            </w:pPr>
            <w:r w:rsidRPr="00442C50">
              <w:t>A•</w:t>
            </w:r>
            <w:r w:rsidRPr="00442C50">
              <w:rPr>
                <w:i/>
                <w:iCs/>
              </w:rPr>
              <w:t>X</w:t>
            </w:r>
            <w:r w:rsidRPr="00442C50">
              <w:t xml:space="preserve"> = b</w:t>
            </w:r>
          </w:p>
        </w:tc>
        <w:tc>
          <w:tcPr>
            <w:tcW w:w="431" w:type="dxa"/>
            <w:vAlign w:val="center"/>
          </w:tcPr>
          <w:p w:rsidRPr="00442C50" w:rsidR="00325A48" w:rsidP="0026776A" w:rsidRDefault="00325A48" w14:paraId="61918EC1" w14:textId="77777777">
            <w:pPr>
              <w:pStyle w:val="MDPI3aequationnumber"/>
              <w:spacing w:line="260" w:lineRule="atLeast"/>
            </w:pPr>
            <w:r w:rsidRPr="00442C50">
              <w:t>(4)</w:t>
            </w:r>
          </w:p>
        </w:tc>
      </w:tr>
      <w:tr w:rsidRPr="00442C50" w:rsidR="00325A48" w:rsidTr="0026776A" w14:paraId="1C7D3FB3" w14:textId="77777777">
        <w:trPr>
          <w:trHeight w:val="57"/>
        </w:trPr>
        <w:tc>
          <w:tcPr>
            <w:tcW w:w="7428" w:type="dxa"/>
          </w:tcPr>
          <w:p w:rsidRPr="00442C50" w:rsidR="00325A48" w:rsidP="0026776A" w:rsidRDefault="00325A48" w14:paraId="311361CB" w14:textId="77777777">
            <w:pPr>
              <w:pStyle w:val="MDPI39equation"/>
            </w:pPr>
            <w:r w:rsidRPr="00442C50">
              <w:t xml:space="preserve">subject to: </w:t>
            </w:r>
            <w:proofErr w:type="spellStart"/>
            <w:r w:rsidRPr="00442C50">
              <w:t>x</w:t>
            </w:r>
            <w:r w:rsidRPr="00442C50">
              <w:rPr>
                <w:vertAlign w:val="subscript"/>
              </w:rPr>
              <w:t>lbi</w:t>
            </w:r>
            <w:proofErr w:type="spellEnd"/>
            <w:r w:rsidRPr="00442C50">
              <w:t xml:space="preserve"> ≤ x</w:t>
            </w:r>
            <w:r w:rsidRPr="00442C50">
              <w:rPr>
                <w:vertAlign w:val="subscript"/>
              </w:rPr>
              <w:t>i</w:t>
            </w:r>
            <w:r w:rsidRPr="00442C50">
              <w:t xml:space="preserve"> ≤ </w:t>
            </w:r>
            <w:proofErr w:type="spellStart"/>
            <w:r w:rsidRPr="00442C50">
              <w:t>x</w:t>
            </w:r>
            <w:r w:rsidRPr="00442C50">
              <w:rPr>
                <w:vertAlign w:val="subscript"/>
              </w:rPr>
              <w:t>ubi</w:t>
            </w:r>
            <w:proofErr w:type="spellEnd"/>
          </w:p>
        </w:tc>
        <w:tc>
          <w:tcPr>
            <w:tcW w:w="431" w:type="dxa"/>
            <w:vAlign w:val="center"/>
          </w:tcPr>
          <w:p w:rsidRPr="00442C50" w:rsidR="00325A48" w:rsidP="0026776A" w:rsidRDefault="00325A48" w14:paraId="4F9B8655" w14:textId="77777777">
            <w:pPr>
              <w:pStyle w:val="MDPI3aequationnumber"/>
              <w:spacing w:line="260" w:lineRule="atLeast"/>
            </w:pPr>
            <w:r w:rsidRPr="00442C50">
              <w:t>(5)</w:t>
            </w:r>
          </w:p>
        </w:tc>
      </w:tr>
    </w:tbl>
    <w:p w:rsidRPr="00442C50" w:rsidR="00325A48" w:rsidP="00B80D54" w:rsidRDefault="69A3F416" w14:paraId="30C5A2AB" w14:textId="081D089A">
      <w:pPr>
        <w:pStyle w:val="MDPI31text"/>
        <w:spacing w:before="120"/>
      </w:pPr>
      <w:r w:rsidRPr="00442C50">
        <w:t>The rows of matrix A</w:t>
      </w:r>
      <w:r w:rsidRPr="00442C50">
        <w:rPr>
          <w:rFonts w:ascii="CambriaMath" w:eastAsia="CambriaMath" w:cs="CambriaMath"/>
        </w:rPr>
        <w:t xml:space="preserve"> </w:t>
      </w:r>
      <w:r w:rsidRPr="00442C50">
        <w:t xml:space="preserve">correspond to elements </w:t>
      </w:r>
      <w:r w:rsidRPr="00442C50">
        <w:rPr>
          <w:i/>
          <w:iCs/>
        </w:rPr>
        <w:t>C</w:t>
      </w:r>
      <w:r w:rsidRPr="00442C50">
        <w:t>,</w:t>
      </w:r>
      <w:r w:rsidRPr="00442C50">
        <w:rPr>
          <w:i/>
          <w:iCs/>
        </w:rPr>
        <w:t xml:space="preserve"> H</w:t>
      </w:r>
      <w:r w:rsidRPr="00442C50">
        <w:t xml:space="preserve">, </w:t>
      </w:r>
      <w:r w:rsidRPr="00442C50">
        <w:rPr>
          <w:i/>
          <w:iCs/>
        </w:rPr>
        <w:t>O</w:t>
      </w:r>
      <w:r w:rsidRPr="00442C50">
        <w:t>,</w:t>
      </w:r>
      <w:r w:rsidRPr="00442C50">
        <w:rPr>
          <w:i/>
          <w:iCs/>
        </w:rPr>
        <w:t xml:space="preserve"> N</w:t>
      </w:r>
      <w:r w:rsidRPr="00442C50">
        <w:t>,</w:t>
      </w:r>
      <w:r w:rsidRPr="00442C50">
        <w:rPr>
          <w:i/>
          <w:iCs/>
        </w:rPr>
        <w:t xml:space="preserve"> P</w:t>
      </w:r>
      <w:r w:rsidRPr="00442C50">
        <w:t>, and</w:t>
      </w:r>
      <w:r w:rsidRPr="00442C50">
        <w:rPr>
          <w:i/>
          <w:iCs/>
        </w:rPr>
        <w:t xml:space="preserve"> S</w:t>
      </w:r>
      <w:r w:rsidRPr="00442C50">
        <w:t>,</w:t>
      </w:r>
      <w:r w:rsidRPr="00442C50">
        <w:rPr>
          <w:rFonts w:ascii="CambriaMath" w:eastAsia="CambriaMath" w:cs="CambriaMath"/>
        </w:rPr>
        <w:t xml:space="preserve"> </w:t>
      </w:r>
      <w:r w:rsidRPr="00442C50">
        <w:t xml:space="preserve">whereas the columns correspond to the macromolecule types (protein, DNA, RNA, lipids, cell wall). Vector b represents the measured elemental biomass, </w:t>
      </w:r>
      <w:r w:rsidRPr="00442C50">
        <w:rPr>
          <w:i/>
          <w:iCs/>
        </w:rPr>
        <w:t>C</w:t>
      </w:r>
      <w:r w:rsidRPr="00442C50">
        <w:t xml:space="preserve">, </w:t>
      </w:r>
      <w:r w:rsidRPr="00442C50">
        <w:rPr>
          <w:i/>
          <w:iCs/>
        </w:rPr>
        <w:t>H</w:t>
      </w:r>
      <w:r w:rsidRPr="00442C50">
        <w:t xml:space="preserve">, </w:t>
      </w:r>
      <w:r w:rsidRPr="00442C50">
        <w:rPr>
          <w:i/>
          <w:iCs/>
        </w:rPr>
        <w:t>O</w:t>
      </w:r>
      <w:r w:rsidRPr="00442C50">
        <w:t xml:space="preserve">, and </w:t>
      </w:r>
      <w:r w:rsidRPr="00442C50">
        <w:rPr>
          <w:i/>
          <w:iCs/>
        </w:rPr>
        <w:t>N</w:t>
      </w:r>
      <w:r w:rsidRPr="00442C50">
        <w:t xml:space="preserve">, supplemented by the elemental content of the </w:t>
      </w:r>
      <w:r w:rsidRPr="00442C50">
        <w:rPr>
          <w:i/>
          <w:iCs/>
        </w:rPr>
        <w:t>P</w:t>
      </w:r>
      <w:r w:rsidRPr="00442C50">
        <w:t xml:space="preserve"> and </w:t>
      </w:r>
      <w:r w:rsidRPr="00442C50">
        <w:rPr>
          <w:i/>
          <w:iCs/>
        </w:rPr>
        <w:t>S</w:t>
      </w:r>
      <w:r w:rsidRPr="00442C50">
        <w:t xml:space="preserve"> of </w:t>
      </w:r>
      <w:r w:rsidRPr="00442C50">
        <w:rPr>
          <w:rFonts w:cs="Times-Italic"/>
          <w:i/>
          <w:iCs/>
        </w:rPr>
        <w:t>S. cerevisiae</w:t>
      </w:r>
      <w:r w:rsidRPr="00442C50">
        <w:t xml:space="preserve">. The equation was solved for vector </w:t>
      </w:r>
      <w:r w:rsidRPr="00442C50">
        <w:rPr>
          <w:i/>
          <w:iCs/>
        </w:rPr>
        <w:t>X</w:t>
      </w:r>
      <w:r w:rsidRPr="00442C50">
        <w:t>, the biomass fractions of each of the macromolecules (Table 1 and Supplementary Materials). The ATP-associated growth-maintenance (GAM) with ATP-dependent glucose uptake was calculated as 31 mmol</w:t>
      </w:r>
      <w:r w:rsidRPr="00442C50">
        <w:rPr>
          <w:sz w:val="16"/>
          <w:szCs w:val="16"/>
        </w:rPr>
        <w:t>/</w:t>
      </w:r>
      <w:proofErr w:type="spellStart"/>
      <w:r w:rsidRPr="00442C50">
        <w:t>g</w:t>
      </w:r>
      <w:r w:rsidRPr="00442C50">
        <w:rPr>
          <w:vertAlign w:val="subscript"/>
        </w:rPr>
        <w:t>CDW</w:t>
      </w:r>
      <w:proofErr w:type="spellEnd"/>
      <w:r w:rsidRPr="00442C50">
        <w:rPr>
          <w:sz w:val="16"/>
          <w:szCs w:val="16"/>
        </w:rPr>
        <w:t xml:space="preserve"> </w:t>
      </w:r>
      <w:r w:rsidRPr="00442C50">
        <w:t xml:space="preserve">by optimization of the sum of the squared errors of growth experiments (see </w:t>
      </w:r>
      <w:r w:rsidRPr="00442C50" w:rsidR="00FC0B7A">
        <w:t>Section 3</w:t>
      </w:r>
      <w:r w:rsidRPr="00442C50">
        <w:t>). The nongrowth-associated maintenance (NGAM) w</w:t>
      </w:r>
      <w:r w:rsidRPr="00442C50">
        <w:rPr>
          <w:sz w:val="16"/>
          <w:szCs w:val="16"/>
        </w:rPr>
        <w:t>a</w:t>
      </w:r>
      <w:r w:rsidRPr="00442C50">
        <w:t>s calculated as 0.75 mmol</w:t>
      </w:r>
      <w:r w:rsidRPr="00442C50">
        <w:rPr>
          <w:sz w:val="16"/>
          <w:szCs w:val="16"/>
        </w:rPr>
        <w:t>/</w:t>
      </w:r>
      <w:proofErr w:type="spellStart"/>
      <w:r w:rsidRPr="00442C50">
        <w:t>g</w:t>
      </w:r>
      <w:r w:rsidRPr="00442C50">
        <w:rPr>
          <w:vertAlign w:val="subscript"/>
        </w:rPr>
        <w:t>CDW</w:t>
      </w:r>
      <w:proofErr w:type="spellEnd"/>
      <w:r w:rsidRPr="00442C50">
        <w:rPr>
          <w:sz w:val="16"/>
          <w:szCs w:val="16"/>
        </w:rPr>
        <w:t>/</w:t>
      </w:r>
      <w:r w:rsidRPr="00442C50">
        <w:t>h by maximization of NGAM with the lowest, not infeasible glucose uptake rate of 0.22 mmol/</w:t>
      </w:r>
      <w:proofErr w:type="spellStart"/>
      <w:r w:rsidRPr="00442C50">
        <w:t>g</w:t>
      </w:r>
      <w:r w:rsidRPr="00442C50">
        <w:rPr>
          <w:vertAlign w:val="subscript"/>
        </w:rPr>
        <w:t>CDW</w:t>
      </w:r>
      <w:proofErr w:type="spellEnd"/>
      <w:r w:rsidRPr="00442C50">
        <w:t>/h close to the experimentally determined glucose maintenance requirement of 0.2 mmol/</w:t>
      </w:r>
      <w:proofErr w:type="spellStart"/>
      <w:r w:rsidRPr="00442C50">
        <w:t>g</w:t>
      </w:r>
      <w:r w:rsidRPr="00442C50">
        <w:rPr>
          <w:vertAlign w:val="subscript"/>
        </w:rPr>
        <w:t>CDW</w:t>
      </w:r>
      <w:proofErr w:type="spellEnd"/>
      <w:r w:rsidRPr="00442C50">
        <w:t xml:space="preserve">/h (see </w:t>
      </w:r>
      <w:r w:rsidRPr="00442C50" w:rsidR="000A4C0B">
        <w:t>S</w:t>
      </w:r>
      <w:r w:rsidRPr="00442C50">
        <w:t>ection 3.3).</w:t>
      </w:r>
    </w:p>
    <w:p w:rsidRPr="00442C50" w:rsidR="00325A48" w:rsidP="00B80D54" w:rsidRDefault="00B80D54" w14:paraId="28FE559C" w14:textId="3ADF74C9">
      <w:pPr>
        <w:pStyle w:val="MDPI41tablecaption"/>
      </w:pPr>
      <w:r w:rsidRPr="00442C50">
        <w:rPr>
          <w:b/>
        </w:rPr>
        <w:t xml:space="preserve">Table 1. </w:t>
      </w:r>
      <w:r w:rsidRPr="00442C50" w:rsidR="00325A48">
        <w:t xml:space="preserve">Macromolecular composition of </w:t>
      </w:r>
      <w:r w:rsidRPr="00442C50" w:rsidR="00325A48">
        <w:rPr>
          <w:i/>
        </w:rPr>
        <w:t>U. maydis</w:t>
      </w:r>
      <w:r w:rsidRPr="00442C50" w:rsidR="00325A48">
        <w:t xml:space="preserve"> calculated by linear optimization. The full composition is provided as </w:t>
      </w:r>
      <w:r w:rsidRPr="00442C50" w:rsidR="006566C0">
        <w:t xml:space="preserve">a </w:t>
      </w:r>
      <w:r w:rsidRPr="00442C50" w:rsidR="00325A48">
        <w:t>Supplement.</w:t>
      </w:r>
    </w:p>
    <w:tbl>
      <w:tblPr>
        <w:tblW w:w="7857" w:type="dxa"/>
        <w:tblInd w:w="2608" w:type="dxa"/>
        <w:tblBorders>
          <w:top w:val="single" w:color="auto" w:sz="8" w:space="0"/>
          <w:bottom w:val="single" w:color="auto" w:sz="8" w:space="0"/>
        </w:tblBorders>
        <w:tblLayout w:type="fixed"/>
        <w:tblCellMar>
          <w:left w:w="0" w:type="dxa"/>
          <w:right w:w="0" w:type="dxa"/>
        </w:tblCellMar>
        <w:tblLook w:val="04A0" w:firstRow="1" w:lastRow="0" w:firstColumn="1" w:lastColumn="0" w:noHBand="0" w:noVBand="1"/>
      </w:tblPr>
      <w:tblGrid>
        <w:gridCol w:w="1309"/>
        <w:gridCol w:w="1309"/>
        <w:gridCol w:w="1309"/>
        <w:gridCol w:w="1310"/>
        <w:gridCol w:w="1310"/>
        <w:gridCol w:w="1310"/>
      </w:tblGrid>
      <w:tr w:rsidRPr="00442C50" w:rsidR="00325A48" w:rsidTr="69A3F416" w14:paraId="070ED6E6" w14:textId="77777777">
        <w:tc>
          <w:tcPr>
            <w:tcW w:w="1302" w:type="dxa"/>
            <w:tcBorders>
              <w:top w:val="single" w:color="auto" w:sz="8" w:space="0"/>
              <w:bottom w:val="single" w:color="auto" w:sz="4" w:space="0"/>
            </w:tcBorders>
            <w:shd w:val="clear" w:color="auto" w:fill="auto"/>
            <w:vAlign w:val="center"/>
          </w:tcPr>
          <w:p w:rsidRPr="00442C50" w:rsidR="00325A48" w:rsidP="00B80D54" w:rsidRDefault="00325A48" w14:paraId="40271332" w14:textId="77777777">
            <w:pPr>
              <w:pStyle w:val="MDPI42tablebody"/>
              <w:autoSpaceDE w:val="0"/>
              <w:autoSpaceDN w:val="0"/>
              <w:spacing w:line="240" w:lineRule="auto"/>
              <w:rPr>
                <w:b/>
                <w:snapToGrid/>
              </w:rPr>
            </w:pPr>
            <w:r w:rsidRPr="00442C50">
              <w:rPr>
                <w:b/>
                <w:snapToGrid/>
              </w:rPr>
              <w:t>Component</w:t>
            </w:r>
          </w:p>
        </w:tc>
        <w:tc>
          <w:tcPr>
            <w:tcW w:w="1302" w:type="dxa"/>
            <w:tcBorders>
              <w:top w:val="single" w:color="auto" w:sz="8" w:space="0"/>
              <w:bottom w:val="single" w:color="auto" w:sz="4" w:space="0"/>
            </w:tcBorders>
            <w:shd w:val="clear" w:color="auto" w:fill="auto"/>
            <w:vAlign w:val="center"/>
          </w:tcPr>
          <w:p w:rsidRPr="00442C50" w:rsidR="00325A48" w:rsidP="00B80D54" w:rsidRDefault="00325A48" w14:paraId="3618309E" w14:textId="77777777">
            <w:pPr>
              <w:pStyle w:val="MDPI42tablebody"/>
              <w:autoSpaceDE w:val="0"/>
              <w:autoSpaceDN w:val="0"/>
              <w:spacing w:line="240" w:lineRule="auto"/>
              <w:rPr>
                <w:b/>
                <w:snapToGrid/>
              </w:rPr>
            </w:pPr>
            <w:r w:rsidRPr="00442C50">
              <w:rPr>
                <w:b/>
                <w:snapToGrid/>
              </w:rPr>
              <w:t>Protein</w:t>
            </w:r>
          </w:p>
        </w:tc>
        <w:tc>
          <w:tcPr>
            <w:tcW w:w="1302" w:type="dxa"/>
            <w:tcBorders>
              <w:top w:val="single" w:color="auto" w:sz="8" w:space="0"/>
              <w:bottom w:val="single" w:color="auto" w:sz="4" w:space="0"/>
            </w:tcBorders>
            <w:shd w:val="clear" w:color="auto" w:fill="auto"/>
            <w:vAlign w:val="center"/>
          </w:tcPr>
          <w:p w:rsidRPr="00442C50" w:rsidR="00325A48" w:rsidP="00B80D54" w:rsidRDefault="00325A48" w14:paraId="590DF3DD" w14:textId="77777777">
            <w:pPr>
              <w:pStyle w:val="MDPI42tablebody"/>
              <w:autoSpaceDE w:val="0"/>
              <w:autoSpaceDN w:val="0"/>
              <w:spacing w:line="240" w:lineRule="auto"/>
              <w:rPr>
                <w:b/>
                <w:snapToGrid/>
              </w:rPr>
            </w:pPr>
            <w:r w:rsidRPr="00442C50">
              <w:rPr>
                <w:b/>
                <w:snapToGrid/>
              </w:rPr>
              <w:t>DNA</w:t>
            </w:r>
          </w:p>
        </w:tc>
        <w:tc>
          <w:tcPr>
            <w:tcW w:w="1302" w:type="dxa"/>
            <w:tcBorders>
              <w:top w:val="single" w:color="auto" w:sz="8" w:space="0"/>
              <w:bottom w:val="single" w:color="auto" w:sz="4" w:space="0"/>
            </w:tcBorders>
            <w:shd w:val="clear" w:color="auto" w:fill="auto"/>
            <w:vAlign w:val="center"/>
          </w:tcPr>
          <w:p w:rsidRPr="00442C50" w:rsidR="00325A48" w:rsidP="00B80D54" w:rsidRDefault="00325A48" w14:paraId="075156A8" w14:textId="77777777">
            <w:pPr>
              <w:pStyle w:val="MDPI42tablebody"/>
              <w:autoSpaceDE w:val="0"/>
              <w:autoSpaceDN w:val="0"/>
              <w:spacing w:line="240" w:lineRule="auto"/>
              <w:rPr>
                <w:b/>
                <w:snapToGrid/>
              </w:rPr>
            </w:pPr>
            <w:r w:rsidRPr="00442C50">
              <w:rPr>
                <w:b/>
                <w:snapToGrid/>
              </w:rPr>
              <w:t>RNA</w:t>
            </w:r>
          </w:p>
        </w:tc>
        <w:tc>
          <w:tcPr>
            <w:tcW w:w="1302" w:type="dxa"/>
            <w:tcBorders>
              <w:top w:val="single" w:color="auto" w:sz="8" w:space="0"/>
              <w:bottom w:val="single" w:color="auto" w:sz="4" w:space="0"/>
            </w:tcBorders>
            <w:shd w:val="clear" w:color="auto" w:fill="auto"/>
            <w:vAlign w:val="center"/>
          </w:tcPr>
          <w:p w:rsidRPr="00442C50" w:rsidR="00325A48" w:rsidP="00B80D54" w:rsidRDefault="00325A48" w14:paraId="567617B0" w14:textId="77777777">
            <w:pPr>
              <w:pStyle w:val="MDPI42tablebody"/>
              <w:autoSpaceDE w:val="0"/>
              <w:autoSpaceDN w:val="0"/>
              <w:spacing w:line="240" w:lineRule="auto"/>
              <w:rPr>
                <w:b/>
                <w:snapToGrid/>
              </w:rPr>
            </w:pPr>
            <w:r w:rsidRPr="00442C50">
              <w:rPr>
                <w:b/>
                <w:snapToGrid/>
              </w:rPr>
              <w:t>Lipids</w:t>
            </w:r>
          </w:p>
        </w:tc>
        <w:tc>
          <w:tcPr>
            <w:tcW w:w="1302" w:type="dxa"/>
            <w:tcBorders>
              <w:top w:val="single" w:color="auto" w:sz="8" w:space="0"/>
              <w:bottom w:val="single" w:color="auto" w:sz="4" w:space="0"/>
            </w:tcBorders>
            <w:shd w:val="clear" w:color="auto" w:fill="auto"/>
            <w:vAlign w:val="center"/>
          </w:tcPr>
          <w:p w:rsidRPr="00442C50" w:rsidR="00325A48" w:rsidP="00B80D54" w:rsidRDefault="00325A48" w14:paraId="0B779EAC" w14:textId="77777777">
            <w:pPr>
              <w:pStyle w:val="MDPI42tablebody"/>
              <w:autoSpaceDE w:val="0"/>
              <w:autoSpaceDN w:val="0"/>
              <w:spacing w:line="240" w:lineRule="auto"/>
              <w:rPr>
                <w:b/>
                <w:snapToGrid/>
              </w:rPr>
            </w:pPr>
            <w:r w:rsidRPr="00442C50">
              <w:rPr>
                <w:b/>
                <w:snapToGrid/>
              </w:rPr>
              <w:t>Cell Wall</w:t>
            </w:r>
          </w:p>
        </w:tc>
      </w:tr>
      <w:tr w:rsidRPr="00442C50" w:rsidR="00325A48" w:rsidTr="69A3F416" w14:paraId="6BDCBAE3" w14:textId="77777777">
        <w:tc>
          <w:tcPr>
            <w:tcW w:w="1302" w:type="dxa"/>
            <w:tcBorders>
              <w:top w:val="single" w:color="auto" w:sz="4" w:space="0"/>
            </w:tcBorders>
            <w:shd w:val="clear" w:color="auto" w:fill="auto"/>
            <w:vAlign w:val="center"/>
          </w:tcPr>
          <w:p w:rsidRPr="00442C50" w:rsidR="00325A48" w:rsidP="69A3F416" w:rsidRDefault="00325A48" w14:paraId="5F56E1B0" w14:textId="77777777">
            <w:pPr>
              <w:pStyle w:val="MDPI42tablebody"/>
              <w:autoSpaceDE w:val="0"/>
              <w:autoSpaceDN w:val="0"/>
              <w:spacing w:line="240" w:lineRule="auto"/>
              <w:rPr>
                <w:snapToGrid/>
              </w:rPr>
            </w:pPr>
            <w:r w:rsidRPr="00442C50">
              <w:rPr>
                <w:snapToGrid/>
              </w:rPr>
              <w:t xml:space="preserve">g/100 </w:t>
            </w:r>
            <w:proofErr w:type="spellStart"/>
            <w:r w:rsidRPr="00442C50">
              <w:rPr>
                <w:snapToGrid/>
              </w:rPr>
              <w:t>gCDW</w:t>
            </w:r>
            <w:proofErr w:type="spellEnd"/>
          </w:p>
        </w:tc>
        <w:tc>
          <w:tcPr>
            <w:tcW w:w="1302" w:type="dxa"/>
            <w:tcBorders>
              <w:top w:val="single" w:color="auto" w:sz="4" w:space="0"/>
            </w:tcBorders>
            <w:shd w:val="clear" w:color="auto" w:fill="auto"/>
            <w:vAlign w:val="center"/>
          </w:tcPr>
          <w:p w:rsidRPr="00442C50" w:rsidR="00325A48" w:rsidP="00B80D54" w:rsidRDefault="00325A48" w14:paraId="231CF641" w14:textId="77777777">
            <w:pPr>
              <w:pStyle w:val="MDPI42tablebody"/>
              <w:autoSpaceDE w:val="0"/>
              <w:autoSpaceDN w:val="0"/>
              <w:spacing w:line="240" w:lineRule="auto"/>
              <w:rPr>
                <w:snapToGrid/>
              </w:rPr>
            </w:pPr>
            <w:r w:rsidRPr="00442C50">
              <w:rPr>
                <w:snapToGrid/>
              </w:rPr>
              <w:t>30</w:t>
            </w:r>
          </w:p>
        </w:tc>
        <w:tc>
          <w:tcPr>
            <w:tcW w:w="1302" w:type="dxa"/>
            <w:tcBorders>
              <w:top w:val="single" w:color="auto" w:sz="4" w:space="0"/>
            </w:tcBorders>
            <w:shd w:val="clear" w:color="auto" w:fill="auto"/>
            <w:vAlign w:val="center"/>
          </w:tcPr>
          <w:p w:rsidRPr="00442C50" w:rsidR="00325A48" w:rsidP="00B80D54" w:rsidRDefault="00325A48" w14:paraId="291FE2DF" w14:textId="77777777">
            <w:pPr>
              <w:pStyle w:val="MDPI42tablebody"/>
              <w:autoSpaceDE w:val="0"/>
              <w:autoSpaceDN w:val="0"/>
              <w:spacing w:line="240" w:lineRule="auto"/>
              <w:rPr>
                <w:snapToGrid/>
              </w:rPr>
            </w:pPr>
            <w:r w:rsidRPr="00442C50">
              <w:rPr>
                <w:snapToGrid/>
              </w:rPr>
              <w:t>0.3</w:t>
            </w:r>
          </w:p>
        </w:tc>
        <w:tc>
          <w:tcPr>
            <w:tcW w:w="1302" w:type="dxa"/>
            <w:tcBorders>
              <w:top w:val="single" w:color="auto" w:sz="4" w:space="0"/>
            </w:tcBorders>
            <w:shd w:val="clear" w:color="auto" w:fill="auto"/>
            <w:vAlign w:val="center"/>
          </w:tcPr>
          <w:p w:rsidRPr="00442C50" w:rsidR="00325A48" w:rsidP="00B80D54" w:rsidRDefault="00325A48" w14:paraId="474F54E3" w14:textId="77777777">
            <w:pPr>
              <w:pStyle w:val="MDPI42tablebody"/>
              <w:autoSpaceDE w:val="0"/>
              <w:autoSpaceDN w:val="0"/>
              <w:spacing w:line="240" w:lineRule="auto"/>
              <w:rPr>
                <w:snapToGrid/>
              </w:rPr>
            </w:pPr>
            <w:r w:rsidRPr="00442C50">
              <w:rPr>
                <w:snapToGrid/>
              </w:rPr>
              <w:t>10</w:t>
            </w:r>
          </w:p>
        </w:tc>
        <w:tc>
          <w:tcPr>
            <w:tcW w:w="1302" w:type="dxa"/>
            <w:tcBorders>
              <w:top w:val="single" w:color="auto" w:sz="4" w:space="0"/>
            </w:tcBorders>
            <w:shd w:val="clear" w:color="auto" w:fill="auto"/>
            <w:vAlign w:val="center"/>
          </w:tcPr>
          <w:p w:rsidRPr="00442C50" w:rsidR="00325A48" w:rsidP="00B80D54" w:rsidRDefault="00325A48" w14:paraId="49785411" w14:textId="77777777">
            <w:pPr>
              <w:pStyle w:val="MDPI42tablebody"/>
              <w:autoSpaceDE w:val="0"/>
              <w:autoSpaceDN w:val="0"/>
              <w:spacing w:line="240" w:lineRule="auto"/>
              <w:rPr>
                <w:snapToGrid/>
              </w:rPr>
            </w:pPr>
            <w:r w:rsidRPr="00442C50">
              <w:rPr>
                <w:snapToGrid/>
              </w:rPr>
              <w:t>40</w:t>
            </w:r>
          </w:p>
        </w:tc>
        <w:tc>
          <w:tcPr>
            <w:tcW w:w="1302" w:type="dxa"/>
            <w:tcBorders>
              <w:top w:val="single" w:color="auto" w:sz="4" w:space="0"/>
            </w:tcBorders>
            <w:shd w:val="clear" w:color="auto" w:fill="auto"/>
            <w:vAlign w:val="center"/>
          </w:tcPr>
          <w:p w:rsidRPr="00442C50" w:rsidR="00325A48" w:rsidP="69A3F416" w:rsidRDefault="00325A48" w14:paraId="283DF495" w14:textId="77777777">
            <w:pPr>
              <w:pStyle w:val="MDPI42tablebody"/>
              <w:autoSpaceDE w:val="0"/>
              <w:autoSpaceDN w:val="0"/>
              <w:spacing w:line="240" w:lineRule="auto"/>
              <w:rPr>
                <w:snapToGrid/>
              </w:rPr>
            </w:pPr>
            <w:r w:rsidRPr="00442C50">
              <w:rPr>
                <w:snapToGrid/>
              </w:rPr>
              <w:t>16</w:t>
            </w:r>
          </w:p>
        </w:tc>
      </w:tr>
    </w:tbl>
    <w:p w:rsidRPr="00442C50" w:rsidR="00325A48" w:rsidP="00B80D54" w:rsidRDefault="00B80D54" w14:paraId="2D2456BC" w14:textId="53184999">
      <w:pPr>
        <w:pStyle w:val="MDPI22heading2"/>
        <w:spacing w:before="240"/>
      </w:pPr>
      <w:r w:rsidRPr="00442C50">
        <w:t xml:space="preserve">2.4. </w:t>
      </w:r>
      <w:r w:rsidRPr="00442C50" w:rsidR="00325A48">
        <w:t xml:space="preserve">Substrate and </w:t>
      </w:r>
      <w:r w:rsidRPr="00442C50">
        <w:t>Growth Experiments</w:t>
      </w:r>
    </w:p>
    <w:p w:rsidRPr="00442C50" w:rsidR="00325A48" w:rsidP="00B80D54" w:rsidRDefault="69A3F416" w14:paraId="6620384C" w14:textId="4FF10817">
      <w:pPr>
        <w:pStyle w:val="MDPI31text"/>
      </w:pPr>
      <w:r w:rsidRPr="00442C50">
        <w:t xml:space="preserve">For the substrate utilization experiments, the BIOLOG Phenotype Microplates™ PM1 and PM2A were used with </w:t>
      </w:r>
      <w:proofErr w:type="spellStart"/>
      <w:r w:rsidRPr="00442C50">
        <w:rPr>
          <w:i/>
          <w:iCs/>
        </w:rPr>
        <w:t>Ustilago</w:t>
      </w:r>
      <w:proofErr w:type="spellEnd"/>
      <w:r w:rsidRPr="00442C50">
        <w:rPr>
          <w:i/>
          <w:iCs/>
        </w:rPr>
        <w:t xml:space="preserve"> maydis</w:t>
      </w:r>
      <w:r w:rsidRPr="00442C50">
        <w:t xml:space="preserve"> strain FB1. Cultures were first grown on YEPS-agar plates at 30 °C for at least 24 h. To prepare the precultures, 25 mL of YEPS medium were inoculated from the plates of each strain then performed in 100 mL Erlenmeyer flasks and incubated at 30 °C, 200 rpm for 24 h (</w:t>
      </w:r>
      <w:proofErr w:type="spellStart"/>
      <w:r w:rsidRPr="00442C50">
        <w:t>Ecotron</w:t>
      </w:r>
      <w:proofErr w:type="spellEnd"/>
      <w:r w:rsidRPr="00442C50">
        <w:t xml:space="preserve"> Incubation shaker, </w:t>
      </w:r>
      <w:proofErr w:type="spellStart"/>
      <w:r w:rsidRPr="00442C50">
        <w:t>Infors</w:t>
      </w:r>
      <w:proofErr w:type="spellEnd"/>
      <w:r w:rsidRPr="00442C50">
        <w:t xml:space="preserve"> HT AG, </w:t>
      </w:r>
      <w:proofErr w:type="spellStart"/>
      <w:r w:rsidRPr="00442C50" w:rsidR="001212A1">
        <w:t>Bottmingen</w:t>
      </w:r>
      <w:proofErr w:type="spellEnd"/>
      <w:r w:rsidRPr="00442C50">
        <w:t>, Switzerland). The inoculation fluid was prepared with IFY-0 (1.2</w:t>
      </w:r>
      <w:r w:rsidRPr="00442C50" w:rsidR="000A4C0B">
        <w:t>×</w:t>
      </w:r>
      <w:r w:rsidRPr="00442C50">
        <w:t xml:space="preserve">), cell suspension, and sterile water to obtain a starting turbidity of 62% T, with 100 </w:t>
      </w:r>
      <w:r w:rsidRPr="00442C50">
        <w:rPr>
          <w:rFonts w:ascii="Symbol" w:hAnsi="Symbol"/>
        </w:rPr>
        <w:t></w:t>
      </w:r>
      <w:r w:rsidRPr="00442C50">
        <w:t>L for each well. The inoculated plates were shaken at 200 rpm with a shaking diameter of 50 mm at 30 °C and with a humidity of 70% for up to 168 h (</w:t>
      </w:r>
      <w:proofErr w:type="spellStart"/>
      <w:r w:rsidRPr="00442C50">
        <w:t>Multitron</w:t>
      </w:r>
      <w:proofErr w:type="spellEnd"/>
      <w:r w:rsidRPr="00442C50">
        <w:t xml:space="preserve"> Incubation shaker, </w:t>
      </w:r>
      <w:proofErr w:type="spellStart"/>
      <w:r w:rsidRPr="00442C50">
        <w:t>Infors</w:t>
      </w:r>
      <w:proofErr w:type="spellEnd"/>
      <w:r w:rsidRPr="00442C50">
        <w:t xml:space="preserve"> HT AG, </w:t>
      </w:r>
      <w:proofErr w:type="spellStart"/>
      <w:r w:rsidRPr="00442C50">
        <w:t>Bottmingen</w:t>
      </w:r>
      <w:proofErr w:type="spellEnd"/>
      <w:r w:rsidRPr="00442C50">
        <w:t xml:space="preserve">, Switzerland). Microbial growth was measured with the </w:t>
      </w:r>
      <w:proofErr w:type="spellStart"/>
      <w:r w:rsidRPr="00442C50">
        <w:t>SynergyMX</w:t>
      </w:r>
      <w:proofErr w:type="spellEnd"/>
      <w:r w:rsidRPr="00442C50">
        <w:t xml:space="preserve"> (</w:t>
      </w:r>
      <w:proofErr w:type="spellStart"/>
      <w:r w:rsidRPr="00442C50">
        <w:t>BioTek</w:t>
      </w:r>
      <w:proofErr w:type="spellEnd"/>
      <w:r w:rsidRPr="00442C50">
        <w:t xml:space="preserve"> Instruments, Winooski, VT, USA) with an optical density of 600 nm. The BIOLOG raw data is available in the Supplements.</w:t>
      </w:r>
    </w:p>
    <w:p w:rsidRPr="00442C50" w:rsidR="00325A48" w:rsidP="00B80D54" w:rsidRDefault="69A3F416" w14:paraId="4D1F88A1" w14:textId="62DC956B">
      <w:pPr>
        <w:pStyle w:val="MDPI31text"/>
        <w:rPr>
          <w:color w:val="000000" w:themeColor="text1"/>
        </w:rPr>
      </w:pPr>
      <w:r w:rsidRPr="00442C50">
        <w:t xml:space="preserve">The threshold for positive growth was determined by examining the optical density (OD) histograms for each plate. A normal distribution at low OD values represents the OD range below positive growth (see </w:t>
      </w:r>
      <w:r w:rsidRPr="00442C50" w:rsidR="001212A1">
        <w:t xml:space="preserve">Section </w:t>
      </w:r>
      <w:r w:rsidRPr="00442C50">
        <w:t xml:space="preserve">3.2). The final growth threshold of 0.4 </w:t>
      </w:r>
      <w:proofErr w:type="spellStart"/>
      <w:r w:rsidRPr="00442C50">
        <w:t>a.u</w:t>
      </w:r>
      <w:proofErr w:type="spellEnd"/>
      <w:r w:rsidRPr="00442C50">
        <w:t xml:space="preserve">. (absorbance units) was empirically determined to maximize logic consistency and to minimize the integration of false positive metabolic activity. The value approximates the end of a normal distribution of non-growth at low ODs. Separate glucose shake-flask batch experiments in modified Tabuchi medium </w:t>
      </w:r>
      <w:r w:rsidRPr="00442C50">
        <w:rPr>
          <w:noProof/>
        </w:rPr>
        <w:t>[39]</w:t>
      </w:r>
      <w:r w:rsidRPr="00442C50">
        <w:t xml:space="preserve"> were conducted with strains MB215, FB1 mating type a1b1, and literature data was used to estimate growth rates and glucose uptake rates. The OD measurements of the growth data were converted into </w:t>
      </w:r>
      <w:proofErr w:type="spellStart"/>
      <w:r w:rsidRPr="00442C50">
        <w:t>g</w:t>
      </w:r>
      <w:r w:rsidRPr="00442C50">
        <w:rPr>
          <w:color w:val="000000" w:themeColor="text1"/>
          <w:vertAlign w:val="subscript"/>
        </w:rPr>
        <w:t>CDW</w:t>
      </w:r>
      <w:proofErr w:type="spellEnd"/>
      <w:r w:rsidRPr="00442C50">
        <w:rPr>
          <w:color w:val="000000" w:themeColor="text1"/>
        </w:rPr>
        <w:t xml:space="preserve">/L using the empirical relation from yeast of 0.62 </w:t>
      </w:r>
      <w:proofErr w:type="spellStart"/>
      <w:r w:rsidRPr="00442C50">
        <w:rPr>
          <w:color w:val="000000" w:themeColor="text1"/>
        </w:rPr>
        <w:t>g</w:t>
      </w:r>
      <w:r w:rsidRPr="00442C50">
        <w:rPr>
          <w:color w:val="000000" w:themeColor="text1"/>
          <w:vertAlign w:val="subscript"/>
        </w:rPr>
        <w:t>CDW</w:t>
      </w:r>
      <w:proofErr w:type="spellEnd"/>
      <w:r w:rsidRPr="00442C50">
        <w:rPr>
          <w:color w:val="000000" w:themeColor="text1"/>
        </w:rPr>
        <w:t xml:space="preserve">/L /OD (BNID 111182, </w:t>
      </w:r>
      <w:r w:rsidRPr="00442C50">
        <w:rPr>
          <w:noProof/>
          <w:color w:val="000000" w:themeColor="text1"/>
        </w:rPr>
        <w:t>[40]</w:t>
      </w:r>
      <w:r w:rsidRPr="00442C50">
        <w:rPr>
          <w:color w:val="000000" w:themeColor="text1"/>
        </w:rPr>
        <w:t>). The growth rates were identified using a nonlinear fit of the biomass to the Verhulst equation,</w:t>
      </w:r>
    </w:p>
    <w:tbl>
      <w:tblPr>
        <w:tblW w:w="0" w:type="dxa"/>
        <w:tblInd w:w="2608" w:type="dxa"/>
        <w:tblLayout w:type="fixed"/>
        <w:tblCellMar>
          <w:left w:w="0" w:type="dxa"/>
          <w:right w:w="0" w:type="dxa"/>
        </w:tblCellMar>
        <w:tblLook w:val="0000" w:firstRow="0" w:lastRow="0" w:firstColumn="0" w:lastColumn="0" w:noHBand="0" w:noVBand="0"/>
      </w:tblPr>
      <w:tblGrid>
        <w:gridCol w:w="7426"/>
        <w:gridCol w:w="430"/>
      </w:tblGrid>
      <w:tr w:rsidRPr="00442C50" w:rsidR="00B80D54" w:rsidTr="00B80D54" w14:paraId="74965E5D" w14:textId="77777777">
        <w:trPr>
          <w:trHeight w:val="340"/>
        </w:trPr>
        <w:tc>
          <w:tcPr>
            <w:tcW w:w="7426" w:type="dxa"/>
            <w:shd w:val="clear" w:color="auto" w:fill="auto"/>
            <w:vAlign w:val="center"/>
          </w:tcPr>
          <w:p w:rsidRPr="00442C50" w:rsidR="00B80D54" w:rsidP="00B80D54" w:rsidRDefault="00B80D54" w14:paraId="77185A2B" w14:textId="7A80A0B3">
            <w:pPr>
              <w:pStyle w:val="MDPI31text"/>
              <w:spacing w:before="120" w:after="120" w:line="260" w:lineRule="atLeast"/>
              <w:ind w:left="706" w:firstLine="0"/>
              <w:jc w:val="center"/>
              <w:rPr>
                <w:color w:val="000000" w:themeColor="text1"/>
              </w:rPr>
            </w:pPr>
            <w:r w:rsidRPr="00442C50">
              <w:t>X(t) = X</w:t>
            </w:r>
            <w:r w:rsidRPr="00442C50">
              <w:rPr>
                <w:vertAlign w:val="subscript"/>
              </w:rPr>
              <w:t>0</w:t>
            </w:r>
            <w:r w:rsidRPr="00442C50">
              <w:t>*C/(X</w:t>
            </w:r>
            <w:r w:rsidRPr="00442C50">
              <w:rPr>
                <w:vertAlign w:val="subscript"/>
              </w:rPr>
              <w:t>0</w:t>
            </w:r>
            <w:r w:rsidRPr="00442C50">
              <w:t xml:space="preserve"> + (C</w:t>
            </w:r>
            <w:r w:rsidRPr="00442C50" w:rsidR="006225CC">
              <w:t xml:space="preserve"> </w:t>
            </w:r>
            <w:r w:rsidRPr="00442C50" w:rsidR="00490AF5">
              <w:t>–</w:t>
            </w:r>
            <w:r w:rsidRPr="00442C50" w:rsidR="006225CC">
              <w:t xml:space="preserve"> </w:t>
            </w:r>
            <w:r w:rsidRPr="00442C50">
              <w:t>X</w:t>
            </w:r>
            <w:r w:rsidRPr="00442C50">
              <w:rPr>
                <w:vertAlign w:val="subscript"/>
              </w:rPr>
              <w:t>0</w:t>
            </w:r>
            <w:r w:rsidRPr="00442C50">
              <w:t>)*exp(</w:t>
            </w:r>
            <w:r w:rsidRPr="00442C50" w:rsidR="00FD3F59">
              <w:t>−</w:t>
            </w:r>
            <w:r w:rsidRPr="00442C50">
              <w:rPr>
                <w:rFonts w:ascii="Symbol" w:hAnsi="Symbol" w:eastAsia="Symbol" w:cs="Symbol"/>
              </w:rPr>
              <w:t></w:t>
            </w:r>
            <w:r w:rsidRPr="00442C50">
              <w:t>*t)),</w:t>
            </w:r>
          </w:p>
        </w:tc>
        <w:tc>
          <w:tcPr>
            <w:tcW w:w="430" w:type="dxa"/>
            <w:shd w:val="clear" w:color="auto" w:fill="auto"/>
            <w:vAlign w:val="center"/>
          </w:tcPr>
          <w:p w:rsidRPr="00442C50" w:rsidR="00B80D54" w:rsidP="00B80D54" w:rsidRDefault="00B80D54" w14:paraId="7C48168F" w14:textId="78771953">
            <w:pPr>
              <w:pStyle w:val="MDPI31text"/>
              <w:spacing w:before="120" w:after="120" w:line="260" w:lineRule="atLeast"/>
              <w:ind w:left="0" w:firstLine="0"/>
              <w:jc w:val="right"/>
              <w:rPr>
                <w:color w:val="000000" w:themeColor="text1"/>
              </w:rPr>
            </w:pPr>
            <w:r w:rsidRPr="00442C50">
              <w:rPr>
                <w:color w:val="000000" w:themeColor="text1"/>
              </w:rPr>
              <w:t>(6)</w:t>
            </w:r>
          </w:p>
        </w:tc>
      </w:tr>
    </w:tbl>
    <w:p w:rsidRPr="00442C50" w:rsidR="00325A48" w:rsidP="00B80D54" w:rsidRDefault="69A3F416" w14:paraId="0F10AECD" w14:textId="42737D23">
      <w:pPr>
        <w:pStyle w:val="MDPI31text"/>
        <w:ind w:firstLine="0"/>
      </w:pPr>
      <w:r w:rsidRPr="00442C50">
        <w:lastRenderedPageBreak/>
        <w:t>Which calculates the biomass from the initial biomass (X</w:t>
      </w:r>
      <w:r w:rsidRPr="00442C50">
        <w:rPr>
          <w:vertAlign w:val="subscript"/>
        </w:rPr>
        <w:t>0</w:t>
      </w:r>
      <w:r w:rsidRPr="00442C50">
        <w:t xml:space="preserve">), the max biomass capacity </w:t>
      </w:r>
      <w:r w:rsidRPr="00442C50" w:rsidR="006E0C7B">
        <w:t>(C)</w:t>
      </w:r>
      <w:r w:rsidRPr="00442C50" w:rsidR="006E0C7B">
        <w:rPr>
          <w:rStyle w:val="CommentReference"/>
        </w:rPr>
        <w:annotationRef/>
      </w:r>
      <w:r w:rsidRPr="00442C50">
        <w:t xml:space="preserve">, the growth rate (m), and time (t). The substrate uptake rate was estimated with a linear equation </w:t>
      </w:r>
      <w:r w:rsidRPr="00442C50">
        <w:rPr>
          <w:noProof/>
        </w:rPr>
        <w:t>[41]</w:t>
      </w:r>
      <w:r w:rsidRPr="00442C50">
        <w:t>.</w:t>
      </w:r>
    </w:p>
    <w:p w:rsidRPr="00442C50" w:rsidR="00325A48" w:rsidP="00B80D54" w:rsidRDefault="00B80D54" w14:paraId="0E0E954A" w14:textId="3E682A78">
      <w:pPr>
        <w:pStyle w:val="MDPI21heading1"/>
      </w:pPr>
      <w:r w:rsidRPr="00442C50">
        <w:t xml:space="preserve">3. </w:t>
      </w:r>
      <w:r w:rsidRPr="00442C50" w:rsidR="00325A48">
        <w:t xml:space="preserve">Results and </w:t>
      </w:r>
      <w:r w:rsidRPr="00442C50">
        <w:t>Discussion</w:t>
      </w:r>
    </w:p>
    <w:p w:rsidRPr="00442C50" w:rsidR="00325A48" w:rsidP="00B80D54" w:rsidRDefault="00B80D54" w14:paraId="6081EECE" w14:textId="5B713BAD">
      <w:pPr>
        <w:pStyle w:val="MDPI22heading2"/>
      </w:pPr>
      <w:r w:rsidRPr="00442C50">
        <w:t xml:space="preserve">3.1. </w:t>
      </w:r>
      <w:r w:rsidRPr="00442C50" w:rsidR="00325A48">
        <w:t>Description of iUma22</w:t>
      </w:r>
    </w:p>
    <w:p w:rsidRPr="00442C50" w:rsidR="00325A48" w:rsidP="00B80D54" w:rsidRDefault="69A3F416" w14:paraId="73B33424" w14:textId="7424376D">
      <w:pPr>
        <w:pStyle w:val="MDPI31text"/>
      </w:pPr>
      <w:r w:rsidRPr="00442C50">
        <w:t xml:space="preserve">The genome-scale model for </w:t>
      </w:r>
      <w:proofErr w:type="spellStart"/>
      <w:r w:rsidRPr="00442C50">
        <w:rPr>
          <w:i/>
          <w:iCs/>
        </w:rPr>
        <w:t>Ustilago</w:t>
      </w:r>
      <w:proofErr w:type="spellEnd"/>
      <w:r w:rsidRPr="00442C50">
        <w:rPr>
          <w:i/>
          <w:iCs/>
        </w:rPr>
        <w:t xml:space="preserve"> maydis </w:t>
      </w:r>
      <w:r w:rsidRPr="00442C50">
        <w:t xml:space="preserve">was constructed based on the genome sequence and annotation of strain 521 </w:t>
      </w:r>
      <w:r w:rsidRPr="00442C50">
        <w:rPr>
          <w:noProof/>
        </w:rPr>
        <w:t>[6]</w:t>
      </w:r>
      <w:r w:rsidRPr="00442C50">
        <w:t>. Table 2 shows the number of represented genes, metabolites, and reactions in the new reconstruction, as well as a comparison to the community yeast model (</w:t>
      </w:r>
      <w:r w:rsidRPr="00442C50">
        <w:rPr>
          <w:noProof/>
        </w:rPr>
        <w:t>[42]</w:t>
      </w:r>
      <w:r w:rsidRPr="00442C50">
        <w:t xml:space="preserve">, version 8.5.0). Whereas the community yeast model was more comprehensive, iUma22 had a higher gene-to-reaction ratio as well as gene-protein-reaction relationships (GPR), as we aimed to include well-connected metabolic pathways with (predicted) annotated genes. </w:t>
      </w:r>
      <w:r w:rsidRPr="00442C50">
        <w:rPr>
          <w:i/>
          <w:iCs/>
        </w:rPr>
        <w:t xml:space="preserve">U. maydis </w:t>
      </w:r>
      <w:r w:rsidRPr="00442C50">
        <w:t xml:space="preserve">and </w:t>
      </w:r>
      <w:r w:rsidRPr="00442C50">
        <w:rPr>
          <w:i/>
          <w:iCs/>
        </w:rPr>
        <w:t xml:space="preserve">S. cerevisiae </w:t>
      </w:r>
      <w:r w:rsidRPr="00442C50">
        <w:t xml:space="preserve">have a similar number of predicted genes and, when assuming yeast 8.5.0 as a benchmark of metabolic representation, the iUma22 reached 70% of genes completeness. There are likely gaps in the secondary metabolism discussed in Ullmann et al. (2022) </w:t>
      </w:r>
      <w:r w:rsidRPr="00442C50">
        <w:rPr>
          <w:noProof/>
        </w:rPr>
        <w:t>[18]</w:t>
      </w:r>
      <w:r w:rsidRPr="00442C50">
        <w:t>, as well as adaptations to the pathogenic lifestyle.</w:t>
      </w:r>
    </w:p>
    <w:p w:rsidRPr="00442C50" w:rsidR="00325A48" w:rsidP="00B80D54" w:rsidRDefault="69A3F416" w14:paraId="3CE44B14" w14:textId="4ABB30DE">
      <w:pPr>
        <w:pStyle w:val="MDPI41tablecaption"/>
      </w:pPr>
      <w:r w:rsidRPr="00442C50">
        <w:rPr>
          <w:b/>
          <w:bCs/>
        </w:rPr>
        <w:t xml:space="preserve">Table 2. </w:t>
      </w:r>
      <w:r w:rsidRPr="00442C50">
        <w:t xml:space="preserve">Number of metabolites, reactions, and genes of the genome-scale metabolic model of </w:t>
      </w:r>
      <w:r w:rsidRPr="00442C50">
        <w:rPr>
          <w:i/>
          <w:iCs/>
        </w:rPr>
        <w:t>U. maydis</w:t>
      </w:r>
      <w:r w:rsidRPr="00442C50">
        <w:t xml:space="preserve"> iUma22 and, in comparison, the community yeast model (8.5.0 </w:t>
      </w:r>
      <w:r w:rsidRPr="00442C50">
        <w:rPr>
          <w:noProof/>
        </w:rPr>
        <w:t>[42]</w:t>
      </w:r>
      <w:r w:rsidRPr="00442C50">
        <w:t>).</w:t>
      </w:r>
    </w:p>
    <w:tbl>
      <w:tblPr>
        <w:tblW w:w="7857" w:type="dxa"/>
        <w:tblInd w:w="2608" w:type="dxa"/>
        <w:tblBorders>
          <w:top w:val="single" w:color="auto" w:sz="8" w:space="0"/>
          <w:bottom w:val="single" w:color="auto" w:sz="8" w:space="0"/>
        </w:tblBorders>
        <w:tblLayout w:type="fixed"/>
        <w:tblCellMar>
          <w:left w:w="0" w:type="dxa"/>
          <w:right w:w="0" w:type="dxa"/>
        </w:tblCellMar>
        <w:tblLook w:val="04A0" w:firstRow="1" w:lastRow="0" w:firstColumn="1" w:lastColumn="0" w:noHBand="0" w:noVBand="1"/>
      </w:tblPr>
      <w:tblGrid>
        <w:gridCol w:w="2619"/>
        <w:gridCol w:w="2619"/>
        <w:gridCol w:w="2619"/>
      </w:tblGrid>
      <w:tr w:rsidRPr="00442C50" w:rsidR="00325A48" w:rsidTr="00B80D54" w14:paraId="5F909B89" w14:textId="77777777">
        <w:tc>
          <w:tcPr>
            <w:tcW w:w="2619" w:type="dxa"/>
            <w:tcBorders>
              <w:top w:val="single" w:color="auto" w:sz="8" w:space="0"/>
              <w:bottom w:val="single" w:color="auto" w:sz="4" w:space="0"/>
            </w:tcBorders>
            <w:shd w:val="clear" w:color="auto" w:fill="auto"/>
            <w:vAlign w:val="center"/>
          </w:tcPr>
          <w:p w:rsidRPr="00442C50" w:rsidR="00325A48" w:rsidP="00B80D54" w:rsidRDefault="00325A48" w14:paraId="1D211DCD" w14:textId="77777777">
            <w:pPr>
              <w:pStyle w:val="MDPI42tablebody"/>
              <w:autoSpaceDE w:val="0"/>
              <w:autoSpaceDN w:val="0"/>
              <w:spacing w:line="240" w:lineRule="auto"/>
              <w:rPr>
                <w:b/>
                <w:snapToGrid/>
              </w:rPr>
            </w:pPr>
            <w:r w:rsidRPr="00442C50">
              <w:rPr>
                <w:b/>
                <w:snapToGrid/>
              </w:rPr>
              <w:t>Component</w:t>
            </w:r>
          </w:p>
        </w:tc>
        <w:tc>
          <w:tcPr>
            <w:tcW w:w="2619" w:type="dxa"/>
            <w:tcBorders>
              <w:top w:val="single" w:color="auto" w:sz="8" w:space="0"/>
              <w:bottom w:val="single" w:color="auto" w:sz="4" w:space="0"/>
            </w:tcBorders>
            <w:shd w:val="clear" w:color="auto" w:fill="auto"/>
            <w:vAlign w:val="center"/>
          </w:tcPr>
          <w:p w:rsidRPr="00442C50" w:rsidR="00325A48" w:rsidP="00B80D54" w:rsidRDefault="00325A48" w14:paraId="1A810BA7" w14:textId="77777777">
            <w:pPr>
              <w:pStyle w:val="MDPI42tablebody"/>
              <w:autoSpaceDE w:val="0"/>
              <w:autoSpaceDN w:val="0"/>
              <w:spacing w:line="240" w:lineRule="auto"/>
              <w:rPr>
                <w:b/>
                <w:snapToGrid/>
              </w:rPr>
            </w:pPr>
            <w:r w:rsidRPr="00442C50">
              <w:rPr>
                <w:b/>
                <w:snapToGrid/>
              </w:rPr>
              <w:t>iUma22</w:t>
            </w:r>
          </w:p>
        </w:tc>
        <w:tc>
          <w:tcPr>
            <w:tcW w:w="2619" w:type="dxa"/>
            <w:tcBorders>
              <w:top w:val="single" w:color="auto" w:sz="8" w:space="0"/>
              <w:bottom w:val="single" w:color="auto" w:sz="4" w:space="0"/>
            </w:tcBorders>
            <w:shd w:val="clear" w:color="auto" w:fill="auto"/>
            <w:vAlign w:val="center"/>
          </w:tcPr>
          <w:p w:rsidRPr="00442C50" w:rsidR="00325A48" w:rsidP="00B80D54" w:rsidRDefault="00325A48" w14:paraId="63A8D8C3" w14:textId="045E7234">
            <w:pPr>
              <w:pStyle w:val="MDPI42tablebody"/>
              <w:autoSpaceDE w:val="0"/>
              <w:autoSpaceDN w:val="0"/>
              <w:spacing w:line="240" w:lineRule="auto"/>
              <w:rPr>
                <w:b/>
                <w:bCs/>
                <w:snapToGrid/>
              </w:rPr>
            </w:pPr>
            <w:r w:rsidRPr="00442C50">
              <w:rPr>
                <w:b/>
                <w:bCs/>
                <w:snapToGrid/>
              </w:rPr>
              <w:t>Yeast 7.6</w:t>
            </w:r>
            <w:r w:rsidRPr="00442C50" w:rsidR="00903BBA">
              <w:rPr>
                <w:b/>
                <w:bCs/>
                <w:snapToGrid/>
                <w:vertAlign w:val="superscript"/>
              </w:rPr>
              <w:t xml:space="preserve"> </w:t>
            </w:r>
            <w:r w:rsidRPr="00442C50">
              <w:rPr>
                <w:b/>
                <w:bCs/>
                <w:snapToGrid/>
                <w:vertAlign w:val="superscript"/>
              </w:rPr>
              <w:t>1</w:t>
            </w:r>
          </w:p>
        </w:tc>
      </w:tr>
      <w:tr w:rsidRPr="00442C50" w:rsidR="00325A48" w:rsidTr="00B80D54" w14:paraId="1D3ED2C7" w14:textId="77777777">
        <w:tc>
          <w:tcPr>
            <w:tcW w:w="2619" w:type="dxa"/>
            <w:shd w:val="clear" w:color="auto" w:fill="auto"/>
            <w:vAlign w:val="center"/>
          </w:tcPr>
          <w:p w:rsidRPr="00442C50" w:rsidR="00325A48" w:rsidP="00B80D54" w:rsidRDefault="00325A48" w14:paraId="49ABC9C9" w14:textId="77777777">
            <w:pPr>
              <w:pStyle w:val="MDPI42tablebody"/>
              <w:autoSpaceDE w:val="0"/>
              <w:autoSpaceDN w:val="0"/>
              <w:spacing w:line="240" w:lineRule="auto"/>
            </w:pPr>
            <w:r w:rsidRPr="00442C50">
              <w:t>Genes</w:t>
            </w:r>
          </w:p>
        </w:tc>
        <w:tc>
          <w:tcPr>
            <w:tcW w:w="2619" w:type="dxa"/>
            <w:shd w:val="clear" w:color="auto" w:fill="auto"/>
            <w:vAlign w:val="center"/>
          </w:tcPr>
          <w:p w:rsidRPr="00442C50" w:rsidR="00325A48" w:rsidP="00B80D54" w:rsidRDefault="00325A48" w14:paraId="5E68F6E4" w14:textId="77777777">
            <w:pPr>
              <w:pStyle w:val="MDPI42tablebody"/>
              <w:autoSpaceDE w:val="0"/>
              <w:autoSpaceDN w:val="0"/>
              <w:spacing w:line="240" w:lineRule="auto"/>
            </w:pPr>
            <w:r w:rsidRPr="00442C50">
              <w:t>814</w:t>
            </w:r>
          </w:p>
        </w:tc>
        <w:tc>
          <w:tcPr>
            <w:tcW w:w="2619" w:type="dxa"/>
            <w:shd w:val="clear" w:color="auto" w:fill="auto"/>
            <w:vAlign w:val="center"/>
          </w:tcPr>
          <w:p w:rsidRPr="00442C50" w:rsidR="00325A48" w:rsidP="00B80D54" w:rsidRDefault="00325A48" w14:paraId="7BD45E9E" w14:textId="4A742E9C">
            <w:pPr>
              <w:pStyle w:val="MDPI42tablebody"/>
              <w:autoSpaceDE w:val="0"/>
              <w:autoSpaceDN w:val="0"/>
              <w:spacing w:line="240" w:lineRule="auto"/>
            </w:pPr>
            <w:r w:rsidRPr="00442C50">
              <w:t>1150</w:t>
            </w:r>
          </w:p>
        </w:tc>
      </w:tr>
      <w:tr w:rsidRPr="00442C50" w:rsidR="00325A48" w:rsidTr="00B80D54" w14:paraId="2F18C45E" w14:textId="77777777">
        <w:tc>
          <w:tcPr>
            <w:tcW w:w="2619" w:type="dxa"/>
            <w:shd w:val="clear" w:color="auto" w:fill="auto"/>
            <w:vAlign w:val="center"/>
          </w:tcPr>
          <w:p w:rsidRPr="00442C50" w:rsidR="00325A48" w:rsidP="00B80D54" w:rsidRDefault="00325A48" w14:paraId="0E28EE0B" w14:textId="77777777">
            <w:pPr>
              <w:pStyle w:val="MDPI42tablebody"/>
              <w:autoSpaceDE w:val="0"/>
              <w:autoSpaceDN w:val="0"/>
              <w:spacing w:line="240" w:lineRule="auto"/>
            </w:pPr>
            <w:r w:rsidRPr="00442C50">
              <w:t>Metabolites</w:t>
            </w:r>
          </w:p>
        </w:tc>
        <w:tc>
          <w:tcPr>
            <w:tcW w:w="2619" w:type="dxa"/>
            <w:shd w:val="clear" w:color="auto" w:fill="auto"/>
            <w:vAlign w:val="center"/>
          </w:tcPr>
          <w:p w:rsidRPr="00442C50" w:rsidR="00325A48" w:rsidP="00B80D54" w:rsidRDefault="00325A48" w14:paraId="5340D5FD" w14:textId="36B5528B">
            <w:pPr>
              <w:pStyle w:val="MDPI42tablebody"/>
              <w:autoSpaceDE w:val="0"/>
              <w:autoSpaceDN w:val="0"/>
              <w:spacing w:line="240" w:lineRule="auto"/>
            </w:pPr>
            <w:r w:rsidRPr="00442C50">
              <w:t>1233</w:t>
            </w:r>
          </w:p>
        </w:tc>
        <w:tc>
          <w:tcPr>
            <w:tcW w:w="2619" w:type="dxa"/>
            <w:shd w:val="clear" w:color="auto" w:fill="auto"/>
            <w:vAlign w:val="center"/>
          </w:tcPr>
          <w:p w:rsidRPr="00442C50" w:rsidR="00325A48" w:rsidP="00B80D54" w:rsidRDefault="00325A48" w14:paraId="795E3B60" w14:textId="662CE126">
            <w:pPr>
              <w:pStyle w:val="MDPI42tablebody"/>
              <w:autoSpaceDE w:val="0"/>
              <w:autoSpaceDN w:val="0"/>
              <w:spacing w:line="240" w:lineRule="auto"/>
            </w:pPr>
            <w:r w:rsidRPr="00442C50">
              <w:t>2742</w:t>
            </w:r>
          </w:p>
        </w:tc>
      </w:tr>
      <w:tr w:rsidRPr="00442C50" w:rsidR="00325A48" w:rsidTr="00B80D54" w14:paraId="7FA3E892" w14:textId="77777777">
        <w:tc>
          <w:tcPr>
            <w:tcW w:w="2619" w:type="dxa"/>
            <w:shd w:val="clear" w:color="auto" w:fill="auto"/>
            <w:vAlign w:val="center"/>
          </w:tcPr>
          <w:p w:rsidRPr="00442C50" w:rsidR="00325A48" w:rsidP="00B80D54" w:rsidRDefault="00325A48" w14:paraId="6432129A" w14:textId="77777777">
            <w:pPr>
              <w:pStyle w:val="MDPI42tablebody"/>
              <w:autoSpaceDE w:val="0"/>
              <w:autoSpaceDN w:val="0"/>
              <w:spacing w:line="240" w:lineRule="auto"/>
            </w:pPr>
            <w:r w:rsidRPr="00442C50">
              <w:t>Reactions</w:t>
            </w:r>
          </w:p>
        </w:tc>
        <w:tc>
          <w:tcPr>
            <w:tcW w:w="2619" w:type="dxa"/>
            <w:shd w:val="clear" w:color="auto" w:fill="auto"/>
            <w:vAlign w:val="center"/>
          </w:tcPr>
          <w:p w:rsidRPr="00442C50" w:rsidR="00325A48" w:rsidP="00B80D54" w:rsidRDefault="00325A48" w14:paraId="70009095" w14:textId="652C641A">
            <w:pPr>
              <w:pStyle w:val="MDPI42tablebody"/>
              <w:autoSpaceDE w:val="0"/>
              <w:autoSpaceDN w:val="0"/>
              <w:spacing w:line="240" w:lineRule="auto"/>
            </w:pPr>
            <w:r w:rsidRPr="00442C50">
              <w:t>1856</w:t>
            </w:r>
          </w:p>
        </w:tc>
        <w:tc>
          <w:tcPr>
            <w:tcW w:w="2619" w:type="dxa"/>
            <w:shd w:val="clear" w:color="auto" w:fill="auto"/>
            <w:vAlign w:val="center"/>
          </w:tcPr>
          <w:p w:rsidRPr="00442C50" w:rsidR="00325A48" w:rsidP="00B80D54" w:rsidRDefault="00325A48" w14:paraId="60B7A0E2" w14:textId="62C65DC6">
            <w:pPr>
              <w:pStyle w:val="MDPI42tablebody"/>
              <w:autoSpaceDE w:val="0"/>
              <w:autoSpaceDN w:val="0"/>
              <w:spacing w:line="240" w:lineRule="auto"/>
            </w:pPr>
            <w:r w:rsidRPr="00442C50">
              <w:t>4058</w:t>
            </w:r>
          </w:p>
        </w:tc>
      </w:tr>
      <w:tr w:rsidRPr="00442C50" w:rsidR="00325A48" w:rsidTr="00B80D54" w14:paraId="0F145586" w14:textId="77777777">
        <w:tc>
          <w:tcPr>
            <w:tcW w:w="2619" w:type="dxa"/>
            <w:shd w:val="clear" w:color="auto" w:fill="auto"/>
            <w:vAlign w:val="center"/>
          </w:tcPr>
          <w:p w:rsidRPr="00442C50" w:rsidR="00325A48" w:rsidP="00B80D54" w:rsidRDefault="00325A48" w14:paraId="4E1E2D83" w14:textId="77777777">
            <w:pPr>
              <w:pStyle w:val="MDPI42tablebody"/>
              <w:autoSpaceDE w:val="0"/>
              <w:autoSpaceDN w:val="0"/>
              <w:spacing w:line="240" w:lineRule="auto"/>
              <w:rPr>
                <w:color w:val="000000" w:themeColor="text1"/>
              </w:rPr>
            </w:pPr>
            <w:r w:rsidRPr="00442C50">
              <w:rPr>
                <w:color w:val="000000" w:themeColor="text1"/>
              </w:rPr>
              <w:t>Reactions with GPR</w:t>
            </w:r>
          </w:p>
        </w:tc>
        <w:tc>
          <w:tcPr>
            <w:tcW w:w="2619" w:type="dxa"/>
            <w:shd w:val="clear" w:color="auto" w:fill="auto"/>
            <w:vAlign w:val="center"/>
          </w:tcPr>
          <w:p w:rsidRPr="00442C50" w:rsidR="00325A48" w:rsidP="00B80D54" w:rsidRDefault="00325A48" w14:paraId="76C4D9D2" w14:textId="73092FD4">
            <w:pPr>
              <w:pStyle w:val="MDPI42tablebody"/>
              <w:autoSpaceDE w:val="0"/>
              <w:autoSpaceDN w:val="0"/>
              <w:spacing w:line="240" w:lineRule="auto"/>
              <w:rPr>
                <w:color w:val="000000" w:themeColor="text1"/>
              </w:rPr>
            </w:pPr>
            <w:r w:rsidRPr="00442C50">
              <w:rPr>
                <w:color w:val="000000" w:themeColor="text1"/>
              </w:rPr>
              <w:t>1434</w:t>
            </w:r>
          </w:p>
        </w:tc>
        <w:tc>
          <w:tcPr>
            <w:tcW w:w="2619" w:type="dxa"/>
            <w:shd w:val="clear" w:color="auto" w:fill="auto"/>
            <w:vAlign w:val="center"/>
          </w:tcPr>
          <w:p w:rsidRPr="00442C50" w:rsidR="00325A48" w:rsidP="00B80D54" w:rsidRDefault="00325A48" w14:paraId="78E54851" w14:textId="6F084F24">
            <w:pPr>
              <w:pStyle w:val="MDPI42tablebody"/>
              <w:autoSpaceDE w:val="0"/>
              <w:autoSpaceDN w:val="0"/>
              <w:spacing w:line="240" w:lineRule="auto"/>
              <w:rPr>
                <w:color w:val="000000" w:themeColor="text1"/>
              </w:rPr>
            </w:pPr>
            <w:r w:rsidRPr="00442C50">
              <w:rPr>
                <w:color w:val="000000" w:themeColor="text1"/>
              </w:rPr>
              <w:t>2633</w:t>
            </w:r>
          </w:p>
        </w:tc>
      </w:tr>
      <w:tr w:rsidRPr="00442C50" w:rsidR="00325A48" w:rsidTr="00B80D54" w14:paraId="652F310C" w14:textId="77777777">
        <w:tc>
          <w:tcPr>
            <w:tcW w:w="2619" w:type="dxa"/>
            <w:tcBorders>
              <w:bottom w:val="single" w:color="auto" w:sz="8" w:space="0"/>
            </w:tcBorders>
            <w:shd w:val="clear" w:color="auto" w:fill="auto"/>
            <w:vAlign w:val="center"/>
          </w:tcPr>
          <w:p w:rsidRPr="00442C50" w:rsidR="00325A48" w:rsidP="00B80D54" w:rsidRDefault="00325A48" w14:paraId="1A21A02B" w14:textId="364FF3FB">
            <w:pPr>
              <w:pStyle w:val="MDPI42tablebody"/>
              <w:autoSpaceDE w:val="0"/>
              <w:autoSpaceDN w:val="0"/>
              <w:spacing w:line="240" w:lineRule="auto"/>
              <w:rPr>
                <w:color w:val="000000" w:themeColor="text1"/>
              </w:rPr>
            </w:pPr>
            <w:r w:rsidRPr="00442C50">
              <w:rPr>
                <w:color w:val="000000" w:themeColor="text1"/>
              </w:rPr>
              <w:t>Predicted genes</w:t>
            </w:r>
            <w:r w:rsidRPr="00442C50" w:rsidR="00903BBA">
              <w:rPr>
                <w:color w:val="000000" w:themeColor="text1"/>
                <w:vertAlign w:val="superscript"/>
              </w:rPr>
              <w:t xml:space="preserve"> </w:t>
            </w:r>
            <w:r w:rsidRPr="00442C50">
              <w:rPr>
                <w:color w:val="000000" w:themeColor="text1"/>
                <w:vertAlign w:val="superscript"/>
              </w:rPr>
              <w:t>2</w:t>
            </w:r>
          </w:p>
        </w:tc>
        <w:tc>
          <w:tcPr>
            <w:tcW w:w="2619" w:type="dxa"/>
            <w:tcBorders>
              <w:bottom w:val="single" w:color="auto" w:sz="8" w:space="0"/>
            </w:tcBorders>
            <w:shd w:val="clear" w:color="auto" w:fill="auto"/>
            <w:vAlign w:val="center"/>
          </w:tcPr>
          <w:p w:rsidRPr="00442C50" w:rsidR="00325A48" w:rsidP="00B80D54" w:rsidRDefault="00325A48" w14:paraId="170A44BA" w14:textId="427CD7EB">
            <w:pPr>
              <w:pStyle w:val="MDPI42tablebody"/>
              <w:autoSpaceDE w:val="0"/>
              <w:autoSpaceDN w:val="0"/>
              <w:spacing w:line="240" w:lineRule="auto"/>
              <w:rPr>
                <w:color w:val="000000" w:themeColor="text1"/>
              </w:rPr>
            </w:pPr>
            <w:r w:rsidRPr="00442C50">
              <w:rPr>
                <w:color w:val="000000" w:themeColor="text1"/>
              </w:rPr>
              <w:t>6909</w:t>
            </w:r>
          </w:p>
        </w:tc>
        <w:tc>
          <w:tcPr>
            <w:tcW w:w="2619" w:type="dxa"/>
            <w:tcBorders>
              <w:bottom w:val="single" w:color="auto" w:sz="8" w:space="0"/>
            </w:tcBorders>
            <w:shd w:val="clear" w:color="auto" w:fill="auto"/>
            <w:vAlign w:val="center"/>
          </w:tcPr>
          <w:p w:rsidRPr="00442C50" w:rsidR="00325A48" w:rsidP="00B80D54" w:rsidRDefault="00325A48" w14:paraId="7FFB4266" w14:textId="2CD10C98">
            <w:pPr>
              <w:pStyle w:val="MDPI42tablebody"/>
              <w:autoSpaceDE w:val="0"/>
              <w:autoSpaceDN w:val="0"/>
              <w:spacing w:line="240" w:lineRule="auto"/>
              <w:rPr>
                <w:color w:val="000000" w:themeColor="text1"/>
              </w:rPr>
            </w:pPr>
            <w:r w:rsidRPr="00442C50">
              <w:rPr>
                <w:color w:val="000000" w:themeColor="text1"/>
              </w:rPr>
              <w:t>6464</w:t>
            </w:r>
          </w:p>
        </w:tc>
      </w:tr>
    </w:tbl>
    <w:p w:rsidRPr="00442C50" w:rsidR="00325A48" w:rsidP="00903BBA" w:rsidRDefault="69A3F416" w14:paraId="229AFA9E" w14:textId="12658063">
      <w:pPr>
        <w:pStyle w:val="MDPI43tablefooter"/>
      </w:pPr>
      <w:r w:rsidRPr="00442C50">
        <w:rPr>
          <w:vertAlign w:val="superscript"/>
        </w:rPr>
        <w:t>1</w:t>
      </w:r>
      <w:r w:rsidRPr="00442C50">
        <w:t xml:space="preserve"> https://github.com/SysBioChalmers/yeast-GEM, commit 24 June 2021. </w:t>
      </w:r>
      <w:r w:rsidRPr="00442C50">
        <w:rPr>
          <w:vertAlign w:val="superscript"/>
        </w:rPr>
        <w:t xml:space="preserve">2 </w:t>
      </w:r>
      <w:r w:rsidRPr="00442C50">
        <w:t>https://www.ncbi.nlm.</w:t>
      </w:r>
      <w:r w:rsidRPr="00442C50" w:rsidR="00325A48">
        <w:br/>
      </w:r>
      <w:r w:rsidRPr="00442C50">
        <w:t>nih.gov/datasets, accessed on 4 February 2022.</w:t>
      </w:r>
    </w:p>
    <w:p w:rsidRPr="00442C50" w:rsidR="00325A48" w:rsidP="00CD30E4" w:rsidRDefault="69A3F416" w14:paraId="7F4F0EB5" w14:textId="506F07B7">
      <w:pPr>
        <w:pStyle w:val="MDPI31text"/>
        <w:spacing w:before="120"/>
      </w:pPr>
      <w:r w:rsidRPr="00442C50">
        <w:t xml:space="preserve">The quality of iUma22 was tested with </w:t>
      </w:r>
      <w:proofErr w:type="spellStart"/>
      <w:r w:rsidRPr="00442C50">
        <w:t>Memote</w:t>
      </w:r>
      <w:proofErr w:type="spellEnd"/>
      <w:r w:rsidRPr="00442C50">
        <w:t xml:space="preserve"> with an overall performance of 57% </w:t>
      </w:r>
      <w:r w:rsidRPr="00442C50">
        <w:rPr>
          <w:noProof/>
        </w:rPr>
        <w:t>[43]</w:t>
      </w:r>
      <w:r w:rsidRPr="00442C50">
        <w:t xml:space="preserve"> (Figure 1). Mass and charge balance, as well as metabolite connectivity, showed high quality, with scores of over 98%. </w:t>
      </w:r>
      <w:proofErr w:type="spellStart"/>
      <w:r w:rsidRPr="00442C50">
        <w:t>Memote</w:t>
      </w:r>
      <w:proofErr w:type="spellEnd"/>
      <w:r w:rsidRPr="00442C50">
        <w:t xml:space="preserve"> detected unbounded fluxes that reached boundary conditions during flux variability analysis for 203 reactions on standard media. The stoichiometric consistency of the model could not be evaluated, thus decreasing the overall consistency quality to 53%. Note, however, that for the </w:t>
      </w:r>
      <w:r w:rsidRPr="00442C50">
        <w:rPr>
          <w:i/>
          <w:iCs/>
        </w:rPr>
        <w:t xml:space="preserve">S. cerevisiae </w:t>
      </w:r>
      <w:r w:rsidRPr="00442C50">
        <w:t>community model (</w:t>
      </w:r>
      <w:r w:rsidRPr="00442C50">
        <w:rPr>
          <w:noProof/>
        </w:rPr>
        <w:t>[42]</w:t>
      </w:r>
      <w:r w:rsidRPr="00442C50">
        <w:t xml:space="preserve">, version 8.5.0), the stoichiometric consistency test also failed. Annotations for metabolites, reactions, and genes contained detailed and unique annotations. The community yeast model, developed for more than a decade, was evaluated by </w:t>
      </w:r>
      <w:proofErr w:type="spellStart"/>
      <w:r w:rsidRPr="00442C50">
        <w:t>Memote</w:t>
      </w:r>
      <w:proofErr w:type="spellEnd"/>
      <w:r w:rsidRPr="00442C50">
        <w:t xml:space="preserve"> with a total score of 65%.</w:t>
      </w:r>
    </w:p>
    <w:p w:rsidRPr="00442C50" w:rsidR="00CD30E4" w:rsidP="00CD30E4" w:rsidRDefault="00CD30E4" w14:paraId="73AAE1A1" w14:textId="788FFAD5">
      <w:pPr>
        <w:pStyle w:val="MDPI52figure"/>
        <w:ind w:left="2608"/>
        <w:jc w:val="left"/>
      </w:pPr>
      <w:r w:rsidRPr="00442C50">
        <w:rPr>
          <w:noProof/>
          <w:lang w:val="de-DE" w:bidi="ar-SA"/>
        </w:rPr>
        <w:lastRenderedPageBreak/>
        <w:drawing>
          <wp:inline distT="0" distB="0" distL="0" distR="0" wp14:anchorId="525844DF" wp14:editId="5B8DDAEF">
            <wp:extent cx="4931085" cy="2547257"/>
            <wp:effectExtent l="0" t="0" r="3175" b="5715"/>
            <wp:docPr id="8" name="Picture 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41678" name="Picture 1697641678" descr="Chart, bar ch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940314" cy="2552025"/>
                    </a:xfrm>
                    <a:prstGeom prst="rect">
                      <a:avLst/>
                    </a:prstGeom>
                  </pic:spPr>
                </pic:pic>
              </a:graphicData>
            </a:graphic>
          </wp:inline>
        </w:drawing>
      </w:r>
    </w:p>
    <w:p w:rsidRPr="00442C50" w:rsidR="00CD30E4" w:rsidP="00CD30E4" w:rsidRDefault="00CD30E4" w14:paraId="4696A501" w14:textId="3AEFFEED">
      <w:pPr>
        <w:pStyle w:val="MDPI51figurecaption"/>
      </w:pPr>
      <w:r w:rsidRPr="00442C50">
        <w:rPr>
          <w:b/>
          <w:bCs/>
        </w:rPr>
        <w:t xml:space="preserve">Figure 1. </w:t>
      </w:r>
      <w:proofErr w:type="spellStart"/>
      <w:r w:rsidRPr="00442C50">
        <w:t>Memote</w:t>
      </w:r>
      <w:proofErr w:type="spellEnd"/>
      <w:r w:rsidRPr="00442C50">
        <w:t xml:space="preserve"> quality report of iUma22 with total score of 57%. The full </w:t>
      </w:r>
      <w:r w:rsidRPr="00442C50" w:rsidR="00E47FBE">
        <w:t xml:space="preserve">HTML </w:t>
      </w:r>
      <w:r w:rsidRPr="00442C50">
        <w:t>report is provided as Supplement 3.</w:t>
      </w:r>
    </w:p>
    <w:p w:rsidRPr="00442C50" w:rsidR="00325A48" w:rsidP="00CD30E4" w:rsidRDefault="00CD30E4" w14:paraId="1FB11AC6" w14:textId="17E0DA10">
      <w:pPr>
        <w:pStyle w:val="MDPI22heading2"/>
        <w:spacing w:before="240"/>
      </w:pPr>
      <w:r w:rsidRPr="00442C50">
        <w:t xml:space="preserve">3.2. </w:t>
      </w:r>
      <w:r w:rsidRPr="00442C50" w:rsidR="00325A48">
        <w:t xml:space="preserve">Carbon Substrate </w:t>
      </w:r>
      <w:r w:rsidRPr="00442C50">
        <w:t xml:space="preserve">Tests </w:t>
      </w:r>
      <w:r w:rsidRPr="00442C50" w:rsidR="00325A48">
        <w:t xml:space="preserve">with BIOLOG Phenotype </w:t>
      </w:r>
      <w:r w:rsidRPr="00442C50">
        <w:t>Arrays</w:t>
      </w:r>
    </w:p>
    <w:p w:rsidRPr="00442C50" w:rsidR="000E6C12" w:rsidP="000E6C12" w:rsidRDefault="00325A48" w14:paraId="3F8FA4D8" w14:textId="2D71B440">
      <w:pPr>
        <w:pStyle w:val="MDPI31text"/>
      </w:pPr>
      <w:r w:rsidRPr="00442C50">
        <w:t>The model iUma22 correctly reproduce</w:t>
      </w:r>
      <w:r w:rsidRPr="00442C50" w:rsidR="00713B60">
        <w:t>d</w:t>
      </w:r>
      <w:r w:rsidRPr="00442C50">
        <w:t xml:space="preserve"> 96% of </w:t>
      </w:r>
      <w:r w:rsidRPr="00442C50" w:rsidR="00E47FBE">
        <w:t xml:space="preserve">the </w:t>
      </w:r>
      <w:r w:rsidRPr="00442C50">
        <w:t>growth phenotypes tested in BIOLOG carbon source assays. In th</w:t>
      </w:r>
      <w:r w:rsidRPr="00442C50" w:rsidR="00E47FBE">
        <w:t>e</w:t>
      </w:r>
      <w:r w:rsidRPr="00442C50">
        <w:t>s</w:t>
      </w:r>
      <w:r w:rsidRPr="00442C50" w:rsidR="00E47FBE">
        <w:t>e</w:t>
      </w:r>
      <w:r w:rsidRPr="00442C50">
        <w:t xml:space="preserve"> assays, each well of a 96-well plate </w:t>
      </w:r>
      <w:r w:rsidRPr="00442C50" w:rsidR="00713B60">
        <w:t>wa</w:t>
      </w:r>
      <w:r w:rsidRPr="00442C50">
        <w:t>s equipped with a different substrate</w:t>
      </w:r>
      <w:r w:rsidRPr="00442C50" w:rsidR="00E47FBE">
        <w:t xml:space="preserve">; </w:t>
      </w:r>
      <w:r w:rsidRPr="00442C50">
        <w:t xml:space="preserve">we chose carbon substrate plates PM1 and PM2A </w:t>
      </w:r>
      <w:r w:rsidRPr="00442C50" w:rsidR="00E47FBE">
        <w:t xml:space="preserve">from </w:t>
      </w:r>
      <w:r w:rsidRPr="00442C50">
        <w:t xml:space="preserve">the manufacturer (an overview of the carbon source distribution in the wells is provided in the Supplements). Substrate utilization </w:t>
      </w:r>
      <w:r w:rsidRPr="00442C50" w:rsidR="00E47FBE">
        <w:t>wa</w:t>
      </w:r>
      <w:r w:rsidRPr="00442C50">
        <w:t>s tested photometric</w:t>
      </w:r>
      <w:r w:rsidRPr="00442C50" w:rsidR="00E47FBE">
        <w:t>ally,</w:t>
      </w:r>
      <w:r w:rsidRPr="00442C50">
        <w:t xml:space="preserve"> and we chose an OD threshold of 0.4 </w:t>
      </w:r>
      <w:proofErr w:type="spellStart"/>
      <w:r w:rsidRPr="00442C50">
        <w:t>a.u</w:t>
      </w:r>
      <w:proofErr w:type="spellEnd"/>
      <w:r w:rsidRPr="00442C50">
        <w:t>. for growth, a value right after the apparent normal distribution of nongrowth for low final OD values (</w:t>
      </w:r>
      <w:r w:rsidRPr="00442C50">
        <w:rPr>
          <w:bCs/>
        </w:rPr>
        <w:t>Figure 2</w:t>
      </w:r>
      <w:r w:rsidRPr="00442C50">
        <w:t xml:space="preserve">). The threshold </w:t>
      </w:r>
      <w:r w:rsidRPr="00442C50" w:rsidR="00E47FBE">
        <w:t>wa</w:t>
      </w:r>
      <w:r w:rsidRPr="00442C50">
        <w:t>s a compromise to include growth for glycine dipeptides (PM1: E1, G1, G6, H1), but also include</w:t>
      </w:r>
      <w:r w:rsidRPr="00442C50" w:rsidR="00E47FBE">
        <w:t>d</w:t>
      </w:r>
      <w:r w:rsidRPr="00442C50">
        <w:t xml:space="preserve"> TCA cycle intermediates (succinate (PM1:A5), fumarate (PM1:F5), aspartate (PM1:A7), </w:t>
      </w:r>
      <w:r w:rsidRPr="00442C50" w:rsidR="00E47FBE">
        <w:t xml:space="preserve">and </w:t>
      </w:r>
      <w:r w:rsidRPr="00442C50">
        <w:t>malate (PM1:G12)). These TCA cycle intermediates could not be enabled for growth in the model. The largest set of reactions added because of the BIOLOG plates include</w:t>
      </w:r>
      <w:r w:rsidRPr="00442C50" w:rsidR="00713B60">
        <w:t>d</w:t>
      </w:r>
      <w:r w:rsidRPr="00442C50">
        <w:t xml:space="preserve"> di- and oligosaccharide metabolism and methylated central carbon metabolites (detailed list in the Supplements). Overall, growth took place in 52 wells (36 in PM1 and 28 in PM2A). iUma22 was manually adjusted to reproduce the majority of the growth phenotypes (Figure 2).</w:t>
      </w:r>
    </w:p>
    <w:p w:rsidRPr="00442C50" w:rsidR="000E6C12" w:rsidP="000E6C12" w:rsidRDefault="000E6C12" w14:paraId="363346C0" w14:textId="0F2CAA58">
      <w:pPr>
        <w:pStyle w:val="MDPI52figure"/>
        <w:ind w:left="2608"/>
        <w:jc w:val="left"/>
      </w:pPr>
      <w:r w:rsidRPr="00442C50">
        <w:rPr>
          <w:noProof/>
          <w:lang w:val="de-DE" w:bidi="ar-SA"/>
        </w:rPr>
        <w:lastRenderedPageBreak/>
        <w:drawing>
          <wp:inline distT="0" distB="0" distL="0" distR="0" wp14:anchorId="560FDC23" wp14:editId="778DFE00">
            <wp:extent cx="4909457" cy="3763917"/>
            <wp:effectExtent l="0" t="0" r="5715" b="8255"/>
            <wp:docPr id="9" name="Picture 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hist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915754" cy="3768744"/>
                    </a:xfrm>
                    <a:prstGeom prst="rect">
                      <a:avLst/>
                    </a:prstGeom>
                  </pic:spPr>
                </pic:pic>
              </a:graphicData>
            </a:graphic>
          </wp:inline>
        </w:drawing>
      </w:r>
    </w:p>
    <w:p w:rsidRPr="00442C50" w:rsidR="000E6C12" w:rsidP="000E6C12" w:rsidRDefault="000E6C12" w14:paraId="682E13F5" w14:textId="281EE557">
      <w:pPr>
        <w:pStyle w:val="MDPI51figurecaption"/>
      </w:pPr>
      <w:r w:rsidRPr="00442C50">
        <w:rPr>
          <w:b/>
          <w:bCs/>
        </w:rPr>
        <w:t xml:space="preserve">Figure 2. </w:t>
      </w:r>
      <w:r w:rsidRPr="00442C50">
        <w:t>BIOLOG phenotype experiments with carbon sources from PM1 and PM2A. Growth was evaluated by OD 600 after 144 h for PM1 (</w:t>
      </w:r>
      <w:r w:rsidRPr="00442C50">
        <w:rPr>
          <w:b/>
          <w:bCs/>
        </w:rPr>
        <w:t>A</w:t>
      </w:r>
      <w:r w:rsidRPr="00442C50">
        <w:t>) and 288 h for PM2A (</w:t>
      </w:r>
      <w:r w:rsidRPr="00442C50">
        <w:rPr>
          <w:b/>
          <w:bCs/>
        </w:rPr>
        <w:t>B</w:t>
      </w:r>
      <w:r w:rsidRPr="00442C50">
        <w:t xml:space="preserve">) with a threshold of 0.4 </w:t>
      </w:r>
      <w:proofErr w:type="spellStart"/>
      <w:r w:rsidRPr="00442C50">
        <w:t>a.u</w:t>
      </w:r>
      <w:proofErr w:type="spellEnd"/>
      <w:r w:rsidRPr="00442C50">
        <w:t xml:space="preserve"> (black line with triangle)</w:t>
      </w:r>
      <w:r w:rsidRPr="00442C50" w:rsidR="00713B60">
        <w:t>,</w:t>
      </w:r>
      <w:r w:rsidRPr="00442C50">
        <w:t xml:space="preserve"> which excludes the normal distribution at low ODs representing no growth. </w:t>
      </w:r>
      <w:r w:rsidRPr="00442C50" w:rsidR="00713B60">
        <w:t xml:space="preserve">Fifty-two </w:t>
      </w:r>
      <w:r w:rsidRPr="00442C50">
        <w:t>substrates were correctly predicted to growth (true positive, green)</w:t>
      </w:r>
      <w:r w:rsidRPr="00442C50" w:rsidR="00713B60">
        <w:t>,</w:t>
      </w:r>
      <w:r w:rsidRPr="00442C50">
        <w:t xml:space="preserve"> and 128 </w:t>
      </w:r>
      <w:r w:rsidRPr="00442C50" w:rsidR="00713B60">
        <w:t xml:space="preserve">were </w:t>
      </w:r>
      <w:r w:rsidRPr="00442C50">
        <w:t>correctly assigned to nongrowth by iUma22 (true negative, yellow) in plates PM1 (</w:t>
      </w:r>
      <w:r w:rsidRPr="00442C50">
        <w:rPr>
          <w:b/>
          <w:bCs/>
        </w:rPr>
        <w:t>C</w:t>
      </w:r>
      <w:r w:rsidRPr="00442C50">
        <w:t>) and PM2A (</w:t>
      </w:r>
      <w:r w:rsidRPr="00442C50">
        <w:rPr>
          <w:b/>
          <w:bCs/>
        </w:rPr>
        <w:t>D</w:t>
      </w:r>
      <w:r w:rsidRPr="00442C50">
        <w:t>). Twelve substrates could not be balanced to enable growth in iUma22 (false negative). Results of PM1 and PM2A and an overview of the substrates on the plates are provided as Supplementary Materials.</w:t>
      </w:r>
    </w:p>
    <w:p w:rsidRPr="00442C50" w:rsidR="00325A48" w:rsidP="000E6C12" w:rsidRDefault="69A3F416" w14:paraId="75D0E95A" w14:textId="216283CA">
      <w:pPr>
        <w:pStyle w:val="MDPI31text"/>
      </w:pPr>
      <w:r w:rsidRPr="00442C50">
        <w:t xml:space="preserve">While the majority of the substrates were correctly reproduced, some metabolites failed to support growth in iUma22. Many intermediates from the TCA cycle did not support growth in the BIOLOG results (2-oxoglutarate, fumarate, succinate, aspartate) while others, such as lactate (PM1:B9), malate (PM1:G12), and succinamate (PM2A:F10), were positive (Figure 2). The degradation of arginine (PM2A:G4), isoleucine (PM2A:G9), and ornithine (H1) was dysfunctional in iUma22, although proline had been predicted to enable growth. These metabolites are carbon intermediates of the common carbon metabolization following the ornithine-glutamate aminotransferase reaction (E.C. 2.6.1.13, </w:t>
      </w:r>
      <w:proofErr w:type="spellStart"/>
      <w:r w:rsidRPr="00442C50">
        <w:t>ORNTArm</w:t>
      </w:r>
      <w:proofErr w:type="spellEnd"/>
      <w:r w:rsidRPr="00442C50">
        <w:t xml:space="preserve">). The metabolization of sebacic acid (PM2A:F8) is not represented in the model, because no information is available in the databases KEGG and </w:t>
      </w:r>
      <w:proofErr w:type="spellStart"/>
      <w:r w:rsidRPr="00442C50">
        <w:t>Metacyc</w:t>
      </w:r>
      <w:proofErr w:type="spellEnd"/>
      <w:r w:rsidRPr="00442C50">
        <w:t>. False positive growth predictions indicated exchange and transport reactions of metabolites in the model that could not actually be imported. Thus, growth predictions of the corresponding metabolites were corrected by removing exchange reactions of the associated metabolites.</w:t>
      </w:r>
    </w:p>
    <w:p w:rsidRPr="00442C50" w:rsidR="00325A48" w:rsidP="0026776A" w:rsidRDefault="0026776A" w14:paraId="6A950A98" w14:textId="4EEC3A73">
      <w:pPr>
        <w:pStyle w:val="MDPI22heading2"/>
        <w:spacing w:before="240"/>
      </w:pPr>
      <w:r w:rsidRPr="00442C50">
        <w:t xml:space="preserve">3.3. </w:t>
      </w:r>
      <w:r w:rsidRPr="00442C50" w:rsidR="00325A48">
        <w:t xml:space="preserve">Growth </w:t>
      </w:r>
      <w:r w:rsidRPr="00442C50">
        <w:t>Rate Correlation</w:t>
      </w:r>
    </w:p>
    <w:p w:rsidRPr="00442C50" w:rsidR="00325A48" w:rsidP="0026776A" w:rsidRDefault="69A3F416" w14:paraId="72C44E72" w14:textId="34F074CC">
      <w:pPr>
        <w:pStyle w:val="MDPI31text"/>
      </w:pPr>
      <w:r w:rsidRPr="00442C50">
        <w:t xml:space="preserve">We evaluated glucose growth characteristics and compared the results with iUma22 predictions. We used published batch data of </w:t>
      </w:r>
      <w:r w:rsidRPr="00442C50">
        <w:rPr>
          <w:i/>
          <w:iCs/>
        </w:rPr>
        <w:t>U. maydis</w:t>
      </w:r>
      <w:r w:rsidRPr="00442C50">
        <w:t xml:space="preserve"> MB215 control strains </w:t>
      </w:r>
      <w:r w:rsidRPr="00442C50">
        <w:rPr>
          <w:noProof/>
        </w:rPr>
        <w:t>[4]</w:t>
      </w:r>
      <w:r w:rsidRPr="00442C50">
        <w:t xml:space="preserve"> that were genetically modified for optimized biotechnological performance, as well as newly generated data (Table 3). Note that the model considers ATP-consuming glucose uptake via Hxt1 </w:t>
      </w:r>
      <w:r w:rsidRPr="00442C50">
        <w:rPr>
          <w:noProof/>
        </w:rPr>
        <w:t>[44]</w:t>
      </w:r>
      <w:r w:rsidRPr="00442C50">
        <w:t xml:space="preserve">. Experiments with high initial glucose concentrations of &gt;50 g/L resulted in lower glucose uptake rates, which is not associated with osmotic stress, because the yield </w:t>
      </w:r>
      <w:r w:rsidRPr="00442C50">
        <w:lastRenderedPageBreak/>
        <w:t>stayed high with increasing glucose levels. The correlation between substrate uptake rate and growth rate (Figure 3A) was strong, R</w:t>
      </w:r>
      <w:r w:rsidRPr="00442C50">
        <w:rPr>
          <w:vertAlign w:val="superscript"/>
        </w:rPr>
        <w:t>2</w:t>
      </w:r>
      <w:r w:rsidRPr="00442C50">
        <w:t xml:space="preserve"> = 0.99, with a realistic growth-associated yield (slope) of 0.47 </w:t>
      </w:r>
      <w:proofErr w:type="spellStart"/>
      <w:r w:rsidRPr="00442C50">
        <w:t>g</w:t>
      </w:r>
      <w:r w:rsidRPr="00442C50">
        <w:rPr>
          <w:vertAlign w:val="subscript"/>
        </w:rPr>
        <w:t>CDW</w:t>
      </w:r>
      <w:proofErr w:type="spellEnd"/>
      <w:r w:rsidRPr="00442C50">
        <w:t>/</w:t>
      </w:r>
      <w:proofErr w:type="spellStart"/>
      <w:r w:rsidRPr="00442C50">
        <w:t>g</w:t>
      </w:r>
      <w:r w:rsidRPr="00442C50">
        <w:rPr>
          <w:vertAlign w:val="subscript"/>
        </w:rPr>
        <w:t>glc</w:t>
      </w:r>
      <w:proofErr w:type="spellEnd"/>
      <w:r w:rsidRPr="00442C50">
        <w:t>. While experiments ‘130v1’ and ‘130v2’ displayed disparate substrate uptake and growth rates despite similar initial glucose concentrations, their yield was comparable, indicating a similar metabolic state. The maintenance parameter of the high-yield experiments was calculated as the x-axis interception, i.e., glucose uptake in the absence of growth, and resulted in 0.2 mmol/</w:t>
      </w:r>
      <w:proofErr w:type="spellStart"/>
      <w:r w:rsidRPr="00442C50">
        <w:t>g</w:t>
      </w:r>
      <w:r w:rsidRPr="00442C50">
        <w:rPr>
          <w:vertAlign w:val="subscript"/>
        </w:rPr>
        <w:t>CDW</w:t>
      </w:r>
      <w:proofErr w:type="spellEnd"/>
      <w:r w:rsidRPr="00442C50">
        <w:t xml:space="preserve">/h, comparable to </w:t>
      </w:r>
      <w:r w:rsidRPr="00442C50">
        <w:rPr>
          <w:i/>
          <w:iCs/>
        </w:rPr>
        <w:t>S. cerevisiae</w:t>
      </w:r>
      <w:r w:rsidRPr="00442C50">
        <w:t xml:space="preserve"> (0.2 mmol/</w:t>
      </w:r>
      <w:proofErr w:type="spellStart"/>
      <w:r w:rsidRPr="00442C50">
        <w:t>g</w:t>
      </w:r>
      <w:r w:rsidRPr="00442C50">
        <w:rPr>
          <w:vertAlign w:val="subscript"/>
        </w:rPr>
        <w:t>CDW</w:t>
      </w:r>
      <w:proofErr w:type="spellEnd"/>
      <w:r w:rsidRPr="00442C50">
        <w:t xml:space="preserve">/h </w:t>
      </w:r>
      <w:r w:rsidRPr="00442C50">
        <w:rPr>
          <w:noProof/>
        </w:rPr>
        <w:t>[45]</w:t>
      </w:r>
      <w:r w:rsidRPr="00442C50">
        <w:t>). The growth predictions of iUma22 are closely captured in the experimental results (Figure 3C).</w:t>
      </w:r>
    </w:p>
    <w:p w:rsidRPr="00442C50" w:rsidR="00325A48" w:rsidP="0026776A" w:rsidRDefault="69A3F416" w14:paraId="70025476" w14:textId="7B393EF9">
      <w:pPr>
        <w:pStyle w:val="MDPI41tablecaption"/>
      </w:pPr>
      <w:r w:rsidRPr="00442C50">
        <w:rPr>
          <w:b/>
          <w:bCs/>
        </w:rPr>
        <w:t xml:space="preserve">Table 3. </w:t>
      </w:r>
      <w:r w:rsidRPr="00442C50">
        <w:t xml:space="preserve">Glucose batch growth experiments were performed and used from the literature </w:t>
      </w:r>
      <w:r w:rsidRPr="00442C50">
        <w:rPr>
          <w:noProof/>
        </w:rPr>
        <w:t>[4]</w:t>
      </w:r>
      <w:r w:rsidRPr="00442C50">
        <w:t>. The data provided growth and substrate uptake rates for testing iUma22 predictions. Growth results for each experiment is provided in the Supplements.</w:t>
      </w:r>
    </w:p>
    <w:tbl>
      <w:tblPr>
        <w:tblW w:w="7857" w:type="dxa"/>
        <w:tblInd w:w="2608" w:type="dxa"/>
        <w:tblBorders>
          <w:top w:val="single" w:color="auto" w:sz="8" w:space="0"/>
          <w:bottom w:val="single" w:color="auto" w:sz="8" w:space="0"/>
          <w:insideH w:val="single" w:color="auto" w:sz="4" w:space="0"/>
        </w:tblBorders>
        <w:tblLayout w:type="fixed"/>
        <w:tblCellMar>
          <w:left w:w="0" w:type="dxa"/>
          <w:right w:w="0" w:type="dxa"/>
        </w:tblCellMar>
        <w:tblLook w:val="04A0" w:firstRow="1" w:lastRow="0" w:firstColumn="1" w:lastColumn="0" w:noHBand="0" w:noVBand="1"/>
      </w:tblPr>
      <w:tblGrid>
        <w:gridCol w:w="1239"/>
        <w:gridCol w:w="1007"/>
        <w:gridCol w:w="720"/>
        <w:gridCol w:w="1007"/>
        <w:gridCol w:w="1295"/>
        <w:gridCol w:w="1438"/>
        <w:gridCol w:w="1151"/>
      </w:tblGrid>
      <w:tr w:rsidRPr="00442C50" w:rsidR="00325A48" w:rsidTr="00D12DE6" w14:paraId="1F5E7D6A" w14:textId="77777777">
        <w:tc>
          <w:tcPr>
            <w:tcW w:w="1239" w:type="dxa"/>
            <w:tcBorders>
              <w:top w:val="single" w:color="auto" w:sz="8" w:space="0"/>
              <w:bottom w:val="single" w:color="auto" w:sz="4" w:space="0"/>
            </w:tcBorders>
            <w:shd w:val="clear" w:color="auto" w:fill="auto"/>
            <w:vAlign w:val="center"/>
          </w:tcPr>
          <w:p w:rsidRPr="00442C50" w:rsidR="00325A48" w:rsidP="0026776A" w:rsidRDefault="00325A48" w14:paraId="246F262F" w14:textId="77777777">
            <w:pPr>
              <w:pStyle w:val="MDPI42tablebody"/>
              <w:autoSpaceDE w:val="0"/>
              <w:autoSpaceDN w:val="0"/>
              <w:spacing w:line="240" w:lineRule="auto"/>
              <w:rPr>
                <w:b/>
                <w:bCs/>
              </w:rPr>
            </w:pPr>
            <w:r w:rsidRPr="00442C50">
              <w:rPr>
                <w:b/>
                <w:bCs/>
              </w:rPr>
              <w:t>Source</w:t>
            </w:r>
          </w:p>
        </w:tc>
        <w:tc>
          <w:tcPr>
            <w:tcW w:w="1007" w:type="dxa"/>
            <w:tcBorders>
              <w:top w:val="single" w:color="auto" w:sz="8" w:space="0"/>
              <w:bottom w:val="single" w:color="auto" w:sz="4" w:space="0"/>
            </w:tcBorders>
            <w:shd w:val="clear" w:color="auto" w:fill="auto"/>
            <w:vAlign w:val="center"/>
          </w:tcPr>
          <w:p w:rsidRPr="00442C50" w:rsidR="00325A48" w:rsidP="0026776A" w:rsidRDefault="00325A48" w14:paraId="5718A187" w14:textId="77777777">
            <w:pPr>
              <w:pStyle w:val="MDPI42tablebody"/>
              <w:autoSpaceDE w:val="0"/>
              <w:autoSpaceDN w:val="0"/>
              <w:spacing w:line="240" w:lineRule="auto"/>
              <w:rPr>
                <w:b/>
                <w:bCs/>
                <w:color w:val="000000" w:themeColor="text1"/>
              </w:rPr>
            </w:pPr>
            <w:r w:rsidRPr="00442C50">
              <w:rPr>
                <w:b/>
                <w:bCs/>
                <w:color w:val="000000" w:themeColor="text1"/>
              </w:rPr>
              <w:t>ID</w:t>
            </w:r>
          </w:p>
        </w:tc>
        <w:tc>
          <w:tcPr>
            <w:tcW w:w="720" w:type="dxa"/>
            <w:tcBorders>
              <w:top w:val="single" w:color="auto" w:sz="8" w:space="0"/>
              <w:bottom w:val="single" w:color="auto" w:sz="4" w:space="0"/>
            </w:tcBorders>
            <w:shd w:val="clear" w:color="auto" w:fill="auto"/>
            <w:vAlign w:val="center"/>
          </w:tcPr>
          <w:p w:rsidRPr="00442C50" w:rsidR="00325A48" w:rsidP="0026776A" w:rsidRDefault="00325A48" w14:paraId="66F9AAAE" w14:textId="77777777">
            <w:pPr>
              <w:pStyle w:val="MDPI42tablebody"/>
              <w:autoSpaceDE w:val="0"/>
              <w:autoSpaceDN w:val="0"/>
              <w:spacing w:line="240" w:lineRule="auto"/>
              <w:rPr>
                <w:b/>
                <w:bCs/>
                <w:color w:val="000000" w:themeColor="text1"/>
              </w:rPr>
            </w:pPr>
            <w:r w:rsidRPr="00442C50">
              <w:rPr>
                <w:b/>
                <w:bCs/>
                <w:color w:val="000000" w:themeColor="text1"/>
              </w:rPr>
              <w:t>Strain</w:t>
            </w:r>
          </w:p>
        </w:tc>
        <w:tc>
          <w:tcPr>
            <w:tcW w:w="1007" w:type="dxa"/>
            <w:tcBorders>
              <w:top w:val="single" w:color="auto" w:sz="8" w:space="0"/>
              <w:bottom w:val="single" w:color="auto" w:sz="4" w:space="0"/>
            </w:tcBorders>
            <w:shd w:val="clear" w:color="auto" w:fill="auto"/>
            <w:vAlign w:val="center"/>
          </w:tcPr>
          <w:p w:rsidRPr="00442C50" w:rsidR="00325A48" w:rsidP="0026776A" w:rsidRDefault="00325A48" w14:paraId="1315D1F8" w14:textId="77777777">
            <w:pPr>
              <w:pStyle w:val="MDPI42tablebody"/>
              <w:autoSpaceDE w:val="0"/>
              <w:autoSpaceDN w:val="0"/>
              <w:spacing w:line="240" w:lineRule="auto"/>
              <w:rPr>
                <w:b/>
                <w:bCs/>
                <w:color w:val="000000" w:themeColor="text1"/>
              </w:rPr>
            </w:pPr>
            <w:r w:rsidRPr="00442C50">
              <w:rPr>
                <w:b/>
                <w:bCs/>
                <w:color w:val="000000" w:themeColor="text1"/>
              </w:rPr>
              <w:t xml:space="preserve">Initial </w:t>
            </w:r>
            <w:proofErr w:type="spellStart"/>
            <w:r w:rsidRPr="00442C50">
              <w:rPr>
                <w:b/>
                <w:bCs/>
                <w:color w:val="000000" w:themeColor="text1"/>
              </w:rPr>
              <w:t>Glc</w:t>
            </w:r>
            <w:proofErr w:type="spellEnd"/>
            <w:r w:rsidRPr="00442C50">
              <w:rPr>
                <w:b/>
                <w:bCs/>
                <w:color w:val="000000" w:themeColor="text1"/>
              </w:rPr>
              <w:t>, g/L</w:t>
            </w:r>
          </w:p>
        </w:tc>
        <w:tc>
          <w:tcPr>
            <w:tcW w:w="1295" w:type="dxa"/>
            <w:tcBorders>
              <w:top w:val="single" w:color="auto" w:sz="8" w:space="0"/>
              <w:bottom w:val="single" w:color="auto" w:sz="4" w:space="0"/>
            </w:tcBorders>
            <w:shd w:val="clear" w:color="auto" w:fill="auto"/>
            <w:vAlign w:val="center"/>
          </w:tcPr>
          <w:p w:rsidRPr="00442C50" w:rsidR="00325A48" w:rsidP="0026776A" w:rsidRDefault="00325A48" w14:paraId="4724DB21" w14:textId="1D21B790">
            <w:pPr>
              <w:pStyle w:val="MDPI42tablebody"/>
              <w:autoSpaceDE w:val="0"/>
              <w:autoSpaceDN w:val="0"/>
              <w:spacing w:line="240" w:lineRule="auto"/>
              <w:rPr>
                <w:b/>
                <w:bCs/>
                <w:color w:val="000000" w:themeColor="text1"/>
              </w:rPr>
            </w:pPr>
            <w:r w:rsidRPr="00442C50">
              <w:rPr>
                <w:b/>
                <w:bCs/>
              </w:rPr>
              <w:t xml:space="preserve">Growth </w:t>
            </w:r>
            <w:r w:rsidRPr="00442C50" w:rsidR="0026776A">
              <w:rPr>
                <w:b/>
                <w:bCs/>
              </w:rPr>
              <w:t>Rate</w:t>
            </w:r>
            <w:r w:rsidRPr="00442C50">
              <w:rPr>
                <w:b/>
                <w:bCs/>
              </w:rPr>
              <w:t>, /h</w:t>
            </w:r>
          </w:p>
        </w:tc>
        <w:tc>
          <w:tcPr>
            <w:tcW w:w="1438" w:type="dxa"/>
            <w:tcBorders>
              <w:top w:val="single" w:color="auto" w:sz="8" w:space="0"/>
              <w:bottom w:val="single" w:color="auto" w:sz="4" w:space="0"/>
            </w:tcBorders>
            <w:shd w:val="clear" w:color="auto" w:fill="auto"/>
            <w:vAlign w:val="center"/>
            <w:hideMark/>
          </w:tcPr>
          <w:p w:rsidRPr="00442C50" w:rsidR="00325A48" w:rsidP="0026776A" w:rsidRDefault="00325A48" w14:paraId="6BF75821" w14:textId="5A54EA33">
            <w:pPr>
              <w:pStyle w:val="MDPI42tablebody"/>
              <w:autoSpaceDE w:val="0"/>
              <w:autoSpaceDN w:val="0"/>
              <w:spacing w:line="240" w:lineRule="auto"/>
              <w:rPr>
                <w:b/>
                <w:bCs/>
              </w:rPr>
            </w:pPr>
            <w:r w:rsidRPr="00442C50">
              <w:rPr>
                <w:b/>
                <w:bCs/>
              </w:rPr>
              <w:t xml:space="preserve">Substrate </w:t>
            </w:r>
            <w:r w:rsidRPr="00442C50" w:rsidR="0026776A">
              <w:rPr>
                <w:b/>
                <w:bCs/>
              </w:rPr>
              <w:t>Rate</w:t>
            </w:r>
            <w:r w:rsidRPr="00442C50">
              <w:rPr>
                <w:b/>
                <w:bCs/>
              </w:rPr>
              <w:t>, mmol/</w:t>
            </w:r>
            <w:proofErr w:type="spellStart"/>
            <w:r w:rsidRPr="00442C50">
              <w:rPr>
                <w:b/>
                <w:bCs/>
              </w:rPr>
              <w:t>g</w:t>
            </w:r>
            <w:r w:rsidRPr="00442C50">
              <w:rPr>
                <w:b/>
                <w:bCs/>
                <w:vertAlign w:val="subscript"/>
              </w:rPr>
              <w:t>CDW</w:t>
            </w:r>
            <w:proofErr w:type="spellEnd"/>
            <w:r w:rsidRPr="00442C50">
              <w:rPr>
                <w:b/>
                <w:bCs/>
              </w:rPr>
              <w:t>/h</w:t>
            </w:r>
          </w:p>
        </w:tc>
        <w:tc>
          <w:tcPr>
            <w:tcW w:w="1151" w:type="dxa"/>
            <w:tcBorders>
              <w:top w:val="single" w:color="auto" w:sz="8" w:space="0"/>
              <w:bottom w:val="single" w:color="auto" w:sz="4" w:space="0"/>
            </w:tcBorders>
            <w:shd w:val="clear" w:color="auto" w:fill="auto"/>
            <w:vAlign w:val="center"/>
          </w:tcPr>
          <w:p w:rsidRPr="00442C50" w:rsidR="00325A48" w:rsidP="0026776A" w:rsidRDefault="00325A48" w14:paraId="0AFCCD59" w14:textId="77777777">
            <w:pPr>
              <w:pStyle w:val="MDPI42tablebody"/>
              <w:autoSpaceDE w:val="0"/>
              <w:autoSpaceDN w:val="0"/>
              <w:spacing w:line="240" w:lineRule="auto"/>
              <w:rPr>
                <w:b/>
                <w:bCs/>
                <w:color w:val="000000" w:themeColor="text1"/>
              </w:rPr>
            </w:pPr>
            <w:r w:rsidRPr="00442C50">
              <w:rPr>
                <w:b/>
                <w:bCs/>
              </w:rPr>
              <w:t xml:space="preserve">Yield, </w:t>
            </w:r>
            <w:proofErr w:type="spellStart"/>
            <w:r w:rsidRPr="00442C50">
              <w:rPr>
                <w:b/>
                <w:bCs/>
              </w:rPr>
              <w:t>g</w:t>
            </w:r>
            <w:r w:rsidRPr="00442C50">
              <w:rPr>
                <w:b/>
                <w:bCs/>
                <w:vertAlign w:val="subscript"/>
              </w:rPr>
              <w:t>CDW</w:t>
            </w:r>
            <w:proofErr w:type="spellEnd"/>
            <w:r w:rsidRPr="00442C50">
              <w:rPr>
                <w:b/>
                <w:bCs/>
              </w:rPr>
              <w:t>/</w:t>
            </w:r>
            <w:proofErr w:type="spellStart"/>
            <w:r w:rsidRPr="00442C50">
              <w:rPr>
                <w:b/>
                <w:bCs/>
              </w:rPr>
              <w:t>g</w:t>
            </w:r>
            <w:r w:rsidRPr="00442C50">
              <w:rPr>
                <w:b/>
                <w:bCs/>
                <w:vertAlign w:val="subscript"/>
              </w:rPr>
              <w:t>glc</w:t>
            </w:r>
            <w:proofErr w:type="spellEnd"/>
          </w:p>
        </w:tc>
      </w:tr>
      <w:tr w:rsidRPr="00442C50" w:rsidR="00325A48" w:rsidTr="00D12DE6" w14:paraId="17B2EF0A" w14:textId="77777777">
        <w:tc>
          <w:tcPr>
            <w:tcW w:w="1239" w:type="dxa"/>
            <w:tcBorders>
              <w:top w:val="single" w:color="auto" w:sz="4" w:space="0"/>
            </w:tcBorders>
            <w:shd w:val="clear" w:color="auto" w:fill="auto"/>
            <w:vAlign w:val="center"/>
            <w:hideMark/>
          </w:tcPr>
          <w:p w:rsidRPr="00442C50" w:rsidR="00325A48" w:rsidP="0026776A" w:rsidRDefault="00325A48" w14:paraId="06FE1A30" w14:textId="77777777">
            <w:pPr>
              <w:pStyle w:val="MDPI42tablebody"/>
              <w:autoSpaceDE w:val="0"/>
              <w:autoSpaceDN w:val="0"/>
              <w:spacing w:line="240" w:lineRule="auto"/>
              <w:rPr>
                <w:color w:val="000000" w:themeColor="text1"/>
              </w:rPr>
            </w:pPr>
            <w:r w:rsidRPr="00442C50">
              <w:t>This work</w:t>
            </w:r>
          </w:p>
        </w:tc>
        <w:tc>
          <w:tcPr>
            <w:tcW w:w="1007" w:type="dxa"/>
            <w:tcBorders>
              <w:top w:val="single" w:color="auto" w:sz="4" w:space="0"/>
            </w:tcBorders>
            <w:shd w:val="clear" w:color="auto" w:fill="auto"/>
            <w:vAlign w:val="center"/>
          </w:tcPr>
          <w:p w:rsidRPr="00442C50" w:rsidR="00325A48" w:rsidP="0026776A" w:rsidRDefault="00325A48" w14:paraId="5D3F4C46" w14:textId="77777777">
            <w:pPr>
              <w:pStyle w:val="MDPI42tablebody"/>
              <w:autoSpaceDE w:val="0"/>
              <w:autoSpaceDN w:val="0"/>
              <w:spacing w:line="240" w:lineRule="auto"/>
              <w:rPr>
                <w:color w:val="000000" w:themeColor="text1"/>
              </w:rPr>
            </w:pPr>
            <w:r w:rsidRPr="00442C50">
              <w:t>2229v1</w:t>
            </w:r>
          </w:p>
        </w:tc>
        <w:tc>
          <w:tcPr>
            <w:tcW w:w="720" w:type="dxa"/>
            <w:tcBorders>
              <w:top w:val="single" w:color="auto" w:sz="4" w:space="0"/>
            </w:tcBorders>
            <w:shd w:val="clear" w:color="auto" w:fill="auto"/>
            <w:vAlign w:val="center"/>
          </w:tcPr>
          <w:p w:rsidRPr="00442C50" w:rsidR="00325A48" w:rsidP="0026776A" w:rsidRDefault="00325A48" w14:paraId="605DF30B" w14:textId="77777777">
            <w:pPr>
              <w:pStyle w:val="MDPI42tablebody"/>
              <w:autoSpaceDE w:val="0"/>
              <w:autoSpaceDN w:val="0"/>
              <w:spacing w:line="240" w:lineRule="auto"/>
              <w:rPr>
                <w:color w:val="000000" w:themeColor="text1"/>
              </w:rPr>
            </w:pPr>
            <w:r w:rsidRPr="00442C50">
              <w:rPr>
                <w:color w:val="000000" w:themeColor="text1"/>
              </w:rPr>
              <w:t>MB215</w:t>
            </w:r>
          </w:p>
        </w:tc>
        <w:tc>
          <w:tcPr>
            <w:tcW w:w="1007" w:type="dxa"/>
            <w:tcBorders>
              <w:top w:val="single" w:color="auto" w:sz="4" w:space="0"/>
            </w:tcBorders>
            <w:shd w:val="clear" w:color="auto" w:fill="auto"/>
            <w:vAlign w:val="center"/>
          </w:tcPr>
          <w:p w:rsidRPr="00442C50" w:rsidR="00325A48" w:rsidP="0026776A" w:rsidRDefault="00325A48" w14:paraId="0F41D021" w14:textId="77777777">
            <w:pPr>
              <w:pStyle w:val="MDPI42tablebody"/>
              <w:autoSpaceDE w:val="0"/>
              <w:autoSpaceDN w:val="0"/>
              <w:spacing w:line="240" w:lineRule="auto"/>
              <w:rPr>
                <w:color w:val="000000" w:themeColor="text1"/>
              </w:rPr>
            </w:pPr>
            <w:r w:rsidRPr="00442C50">
              <w:rPr>
                <w:color w:val="000000" w:themeColor="text1"/>
              </w:rPr>
              <w:t>50</w:t>
            </w:r>
          </w:p>
        </w:tc>
        <w:tc>
          <w:tcPr>
            <w:tcW w:w="1295" w:type="dxa"/>
            <w:tcBorders>
              <w:top w:val="single" w:color="auto" w:sz="4" w:space="0"/>
            </w:tcBorders>
            <w:shd w:val="clear" w:color="auto" w:fill="auto"/>
            <w:vAlign w:val="center"/>
            <w:hideMark/>
          </w:tcPr>
          <w:p w:rsidRPr="00442C50" w:rsidR="00325A48" w:rsidP="0026776A" w:rsidRDefault="00325A48" w14:paraId="6ADA4160" w14:textId="44C8E0F1">
            <w:pPr>
              <w:pStyle w:val="MDPI42tablebody"/>
              <w:autoSpaceDE w:val="0"/>
              <w:autoSpaceDN w:val="0"/>
              <w:spacing w:line="240" w:lineRule="auto"/>
            </w:pPr>
            <w:r w:rsidRPr="00442C50">
              <w:t>0.18</w:t>
            </w:r>
            <w:r w:rsidRPr="00442C50" w:rsidR="0073722C">
              <w:t xml:space="preserve"> </w:t>
            </w:r>
            <w:r w:rsidRPr="00442C50">
              <w:t>+/</w:t>
            </w:r>
            <w:r w:rsidRPr="00442C50" w:rsidR="0026776A">
              <w:t>−</w:t>
            </w:r>
            <w:r w:rsidRPr="00442C50" w:rsidR="0073722C">
              <w:t xml:space="preserve"> </w:t>
            </w:r>
            <w:r w:rsidRPr="00442C50">
              <w:t>0.04</w:t>
            </w:r>
          </w:p>
        </w:tc>
        <w:tc>
          <w:tcPr>
            <w:tcW w:w="1438" w:type="dxa"/>
            <w:tcBorders>
              <w:top w:val="single" w:color="auto" w:sz="4" w:space="0"/>
            </w:tcBorders>
            <w:shd w:val="clear" w:color="auto" w:fill="auto"/>
            <w:vAlign w:val="center"/>
          </w:tcPr>
          <w:p w:rsidRPr="00442C50" w:rsidR="00325A48" w:rsidP="0026776A" w:rsidRDefault="00325A48" w14:paraId="520AF357" w14:textId="17344F77">
            <w:pPr>
              <w:pStyle w:val="MDPI42tablebody"/>
              <w:autoSpaceDE w:val="0"/>
              <w:autoSpaceDN w:val="0"/>
              <w:spacing w:line="240" w:lineRule="auto"/>
            </w:pPr>
            <w:r w:rsidRPr="00442C50">
              <w:t>2.2</w:t>
            </w:r>
            <w:r w:rsidRPr="00442C50" w:rsidR="0073722C">
              <w:t xml:space="preserve"> </w:t>
            </w:r>
            <w:r w:rsidRPr="00442C50">
              <w:t>+/</w:t>
            </w:r>
            <w:r w:rsidRPr="00442C50" w:rsidR="0026776A">
              <w:t>−</w:t>
            </w:r>
            <w:r w:rsidRPr="00442C50" w:rsidR="0073722C">
              <w:t xml:space="preserve"> </w:t>
            </w:r>
            <w:r w:rsidRPr="00442C50">
              <w:t>0.6</w:t>
            </w:r>
          </w:p>
        </w:tc>
        <w:tc>
          <w:tcPr>
            <w:tcW w:w="1151" w:type="dxa"/>
            <w:tcBorders>
              <w:top w:val="single" w:color="auto" w:sz="4" w:space="0"/>
            </w:tcBorders>
            <w:shd w:val="clear" w:color="auto" w:fill="auto"/>
            <w:vAlign w:val="center"/>
          </w:tcPr>
          <w:p w:rsidRPr="00442C50" w:rsidR="00325A48" w:rsidP="0026776A" w:rsidRDefault="00325A48" w14:paraId="09262700" w14:textId="77777777">
            <w:pPr>
              <w:pStyle w:val="MDPI42tablebody"/>
              <w:autoSpaceDE w:val="0"/>
              <w:autoSpaceDN w:val="0"/>
              <w:spacing w:line="240" w:lineRule="auto"/>
            </w:pPr>
            <w:r w:rsidRPr="00442C50">
              <w:t>0.45</w:t>
            </w:r>
          </w:p>
        </w:tc>
      </w:tr>
      <w:tr w:rsidRPr="00442C50" w:rsidR="00325A48" w:rsidTr="00D12DE6" w14:paraId="67DC0078" w14:textId="77777777">
        <w:tc>
          <w:tcPr>
            <w:tcW w:w="1239" w:type="dxa"/>
            <w:shd w:val="clear" w:color="auto" w:fill="auto"/>
            <w:vAlign w:val="center"/>
            <w:hideMark/>
          </w:tcPr>
          <w:p w:rsidRPr="00442C50" w:rsidR="00325A48" w:rsidP="0026776A" w:rsidRDefault="00325A48" w14:paraId="46890369" w14:textId="77777777">
            <w:pPr>
              <w:pStyle w:val="MDPI42tablebody"/>
              <w:autoSpaceDE w:val="0"/>
              <w:autoSpaceDN w:val="0"/>
              <w:spacing w:line="240" w:lineRule="auto"/>
            </w:pPr>
            <w:r w:rsidRPr="00442C50">
              <w:t>Becker et al.</w:t>
            </w:r>
          </w:p>
        </w:tc>
        <w:tc>
          <w:tcPr>
            <w:tcW w:w="1007" w:type="dxa"/>
            <w:shd w:val="clear" w:color="auto" w:fill="auto"/>
            <w:vAlign w:val="center"/>
          </w:tcPr>
          <w:p w:rsidRPr="00442C50" w:rsidR="00325A48" w:rsidP="0026776A" w:rsidRDefault="00325A48" w14:paraId="1154B681" w14:textId="77777777">
            <w:pPr>
              <w:pStyle w:val="MDPI42tablebody"/>
              <w:autoSpaceDE w:val="0"/>
              <w:autoSpaceDN w:val="0"/>
              <w:spacing w:line="240" w:lineRule="auto"/>
              <w:rPr>
                <w:color w:val="000000" w:themeColor="text1"/>
              </w:rPr>
            </w:pPr>
            <w:r w:rsidRPr="00442C50">
              <w:rPr>
                <w:color w:val="000000" w:themeColor="text1"/>
              </w:rPr>
              <w:t>50glc</w:t>
            </w:r>
          </w:p>
        </w:tc>
        <w:tc>
          <w:tcPr>
            <w:tcW w:w="720" w:type="dxa"/>
            <w:shd w:val="clear" w:color="auto" w:fill="auto"/>
            <w:vAlign w:val="center"/>
          </w:tcPr>
          <w:p w:rsidRPr="00442C50" w:rsidR="00325A48" w:rsidP="0026776A" w:rsidRDefault="00325A48" w14:paraId="79EA20CB" w14:textId="77777777">
            <w:pPr>
              <w:pStyle w:val="MDPI42tablebody"/>
              <w:autoSpaceDE w:val="0"/>
              <w:autoSpaceDN w:val="0"/>
              <w:spacing w:line="240" w:lineRule="auto"/>
              <w:rPr>
                <w:color w:val="000000" w:themeColor="text1"/>
              </w:rPr>
            </w:pPr>
            <w:r w:rsidRPr="00442C50">
              <w:rPr>
                <w:color w:val="000000" w:themeColor="text1"/>
              </w:rPr>
              <w:t>MB215</w:t>
            </w:r>
          </w:p>
        </w:tc>
        <w:tc>
          <w:tcPr>
            <w:tcW w:w="1007" w:type="dxa"/>
            <w:shd w:val="clear" w:color="auto" w:fill="auto"/>
            <w:vAlign w:val="center"/>
          </w:tcPr>
          <w:p w:rsidRPr="00442C50" w:rsidR="00325A48" w:rsidP="0026776A" w:rsidRDefault="00325A48" w14:paraId="25F8F2D9" w14:textId="77777777">
            <w:pPr>
              <w:pStyle w:val="MDPI42tablebody"/>
              <w:autoSpaceDE w:val="0"/>
              <w:autoSpaceDN w:val="0"/>
              <w:spacing w:line="240" w:lineRule="auto"/>
              <w:rPr>
                <w:color w:val="000000" w:themeColor="text1"/>
              </w:rPr>
            </w:pPr>
            <w:r w:rsidRPr="00442C50">
              <w:rPr>
                <w:color w:val="000000" w:themeColor="text1"/>
              </w:rPr>
              <w:t>54</w:t>
            </w:r>
          </w:p>
        </w:tc>
        <w:tc>
          <w:tcPr>
            <w:tcW w:w="1295" w:type="dxa"/>
            <w:shd w:val="clear" w:color="auto" w:fill="auto"/>
            <w:vAlign w:val="center"/>
            <w:hideMark/>
          </w:tcPr>
          <w:p w:rsidRPr="00442C50" w:rsidR="00325A48" w:rsidP="0026776A" w:rsidRDefault="00325A48" w14:paraId="5A894646" w14:textId="320E8D53">
            <w:pPr>
              <w:pStyle w:val="MDPI42tablebody"/>
              <w:autoSpaceDE w:val="0"/>
              <w:autoSpaceDN w:val="0"/>
              <w:spacing w:line="240" w:lineRule="auto"/>
            </w:pPr>
            <w:r w:rsidRPr="00442C50">
              <w:t>0.08</w:t>
            </w:r>
            <w:r w:rsidRPr="00442C50" w:rsidR="0073722C">
              <w:t xml:space="preserve"> </w:t>
            </w:r>
            <w:r w:rsidRPr="00442C50">
              <w:t>+/</w:t>
            </w:r>
            <w:r w:rsidRPr="00442C50" w:rsidR="0026776A">
              <w:t>−</w:t>
            </w:r>
            <w:r w:rsidRPr="00442C50" w:rsidR="0073722C">
              <w:t xml:space="preserve"> </w:t>
            </w:r>
            <w:r w:rsidRPr="00442C50">
              <w:t>0.02</w:t>
            </w:r>
          </w:p>
        </w:tc>
        <w:tc>
          <w:tcPr>
            <w:tcW w:w="1438" w:type="dxa"/>
            <w:shd w:val="clear" w:color="auto" w:fill="auto"/>
            <w:vAlign w:val="center"/>
            <w:hideMark/>
          </w:tcPr>
          <w:p w:rsidRPr="00442C50" w:rsidR="00325A48" w:rsidP="0026776A" w:rsidRDefault="00325A48" w14:paraId="5F59C44B" w14:textId="5E39AA3A">
            <w:pPr>
              <w:pStyle w:val="MDPI42tablebody"/>
              <w:autoSpaceDE w:val="0"/>
              <w:autoSpaceDN w:val="0"/>
              <w:spacing w:line="240" w:lineRule="auto"/>
            </w:pPr>
            <w:r w:rsidRPr="00442C50">
              <w:t>1.22</w:t>
            </w:r>
            <w:r w:rsidRPr="00442C50" w:rsidR="0073722C">
              <w:t xml:space="preserve"> </w:t>
            </w:r>
            <w:r w:rsidRPr="00442C50">
              <w:t>+/</w:t>
            </w:r>
            <w:r w:rsidRPr="00442C50" w:rsidR="00F94B86">
              <w:t>−</w:t>
            </w:r>
            <w:r w:rsidRPr="00442C50" w:rsidR="0073722C">
              <w:t xml:space="preserve"> </w:t>
            </w:r>
            <w:r w:rsidRPr="00442C50">
              <w:t>0.36</w:t>
            </w:r>
          </w:p>
        </w:tc>
        <w:tc>
          <w:tcPr>
            <w:tcW w:w="1151" w:type="dxa"/>
            <w:shd w:val="clear" w:color="auto" w:fill="auto"/>
            <w:vAlign w:val="center"/>
          </w:tcPr>
          <w:p w:rsidRPr="00442C50" w:rsidR="00325A48" w:rsidP="0026776A" w:rsidRDefault="00325A48" w14:paraId="11CC5B6C" w14:textId="77777777">
            <w:pPr>
              <w:pStyle w:val="MDPI42tablebody"/>
              <w:autoSpaceDE w:val="0"/>
              <w:autoSpaceDN w:val="0"/>
              <w:spacing w:line="240" w:lineRule="auto"/>
            </w:pPr>
            <w:r w:rsidRPr="00442C50">
              <w:t>0.36</w:t>
            </w:r>
          </w:p>
        </w:tc>
      </w:tr>
      <w:tr w:rsidRPr="00442C50" w:rsidR="00325A48" w:rsidTr="00D12DE6" w14:paraId="3C775447" w14:textId="77777777">
        <w:tc>
          <w:tcPr>
            <w:tcW w:w="1239" w:type="dxa"/>
            <w:shd w:val="clear" w:color="auto" w:fill="auto"/>
            <w:vAlign w:val="center"/>
            <w:hideMark/>
          </w:tcPr>
          <w:p w:rsidRPr="00442C50" w:rsidR="00325A48" w:rsidP="0026776A" w:rsidRDefault="00325A48" w14:paraId="7E0AEB4F" w14:textId="77777777">
            <w:pPr>
              <w:pStyle w:val="MDPI42tablebody"/>
              <w:autoSpaceDE w:val="0"/>
              <w:autoSpaceDN w:val="0"/>
              <w:spacing w:line="240" w:lineRule="auto"/>
            </w:pPr>
            <w:r w:rsidRPr="00442C50">
              <w:t>This work</w:t>
            </w:r>
          </w:p>
        </w:tc>
        <w:tc>
          <w:tcPr>
            <w:tcW w:w="1007" w:type="dxa"/>
            <w:shd w:val="clear" w:color="auto" w:fill="auto"/>
            <w:vAlign w:val="center"/>
          </w:tcPr>
          <w:p w:rsidRPr="00442C50" w:rsidR="00325A48" w:rsidP="0026776A" w:rsidRDefault="00325A48" w14:paraId="03F22F3D" w14:textId="77777777">
            <w:pPr>
              <w:pStyle w:val="MDPI42tablebody"/>
              <w:autoSpaceDE w:val="0"/>
              <w:autoSpaceDN w:val="0"/>
              <w:spacing w:line="240" w:lineRule="auto"/>
              <w:rPr>
                <w:color w:val="000000" w:themeColor="text1"/>
              </w:rPr>
            </w:pPr>
            <w:r w:rsidRPr="00442C50">
              <w:rPr>
                <w:color w:val="000000" w:themeColor="text1"/>
              </w:rPr>
              <w:t>130v1</w:t>
            </w:r>
          </w:p>
        </w:tc>
        <w:tc>
          <w:tcPr>
            <w:tcW w:w="720" w:type="dxa"/>
            <w:shd w:val="clear" w:color="auto" w:fill="auto"/>
            <w:vAlign w:val="center"/>
          </w:tcPr>
          <w:p w:rsidRPr="00442C50" w:rsidR="00325A48" w:rsidP="0026776A" w:rsidRDefault="00325A48" w14:paraId="7D0ADC3F" w14:textId="77777777">
            <w:pPr>
              <w:pStyle w:val="MDPI42tablebody"/>
              <w:autoSpaceDE w:val="0"/>
              <w:autoSpaceDN w:val="0"/>
              <w:spacing w:line="240" w:lineRule="auto"/>
              <w:rPr>
                <w:color w:val="000000" w:themeColor="text1"/>
              </w:rPr>
            </w:pPr>
            <w:r w:rsidRPr="00442C50">
              <w:rPr>
                <w:color w:val="000000" w:themeColor="text1"/>
              </w:rPr>
              <w:t>MB215</w:t>
            </w:r>
          </w:p>
        </w:tc>
        <w:tc>
          <w:tcPr>
            <w:tcW w:w="1007" w:type="dxa"/>
            <w:shd w:val="clear" w:color="auto" w:fill="auto"/>
            <w:vAlign w:val="center"/>
          </w:tcPr>
          <w:p w:rsidRPr="00442C50" w:rsidR="00325A48" w:rsidP="0026776A" w:rsidRDefault="00325A48" w14:paraId="24B059B8" w14:textId="77777777">
            <w:pPr>
              <w:pStyle w:val="MDPI42tablebody"/>
              <w:autoSpaceDE w:val="0"/>
              <w:autoSpaceDN w:val="0"/>
              <w:spacing w:line="240" w:lineRule="auto"/>
              <w:rPr>
                <w:color w:val="000000" w:themeColor="text1"/>
              </w:rPr>
            </w:pPr>
            <w:r w:rsidRPr="00442C50">
              <w:rPr>
                <w:color w:val="000000" w:themeColor="text1"/>
              </w:rPr>
              <w:t>126</w:t>
            </w:r>
          </w:p>
        </w:tc>
        <w:tc>
          <w:tcPr>
            <w:tcW w:w="1295" w:type="dxa"/>
            <w:shd w:val="clear" w:color="auto" w:fill="auto"/>
            <w:vAlign w:val="center"/>
            <w:hideMark/>
          </w:tcPr>
          <w:p w:rsidRPr="00442C50" w:rsidR="00325A48" w:rsidP="0026776A" w:rsidRDefault="00325A48" w14:paraId="1C6EB300" w14:textId="72BE1BF1">
            <w:pPr>
              <w:pStyle w:val="MDPI42tablebody"/>
              <w:autoSpaceDE w:val="0"/>
              <w:autoSpaceDN w:val="0"/>
              <w:spacing w:line="240" w:lineRule="auto"/>
            </w:pPr>
            <w:r w:rsidRPr="00442C50">
              <w:t>0.07</w:t>
            </w:r>
            <w:r w:rsidRPr="00442C50" w:rsidR="0073722C">
              <w:t xml:space="preserve"> </w:t>
            </w:r>
            <w:r w:rsidRPr="00442C50">
              <w:t>+/</w:t>
            </w:r>
            <w:r w:rsidRPr="00442C50" w:rsidR="0026776A">
              <w:t>−</w:t>
            </w:r>
            <w:r w:rsidRPr="00442C50" w:rsidR="0073722C">
              <w:t xml:space="preserve"> </w:t>
            </w:r>
            <w:r w:rsidRPr="00442C50">
              <w:t>0.02</w:t>
            </w:r>
          </w:p>
        </w:tc>
        <w:tc>
          <w:tcPr>
            <w:tcW w:w="1438" w:type="dxa"/>
            <w:shd w:val="clear" w:color="auto" w:fill="auto"/>
            <w:vAlign w:val="center"/>
            <w:hideMark/>
          </w:tcPr>
          <w:p w:rsidRPr="00442C50" w:rsidR="00325A48" w:rsidP="0026776A" w:rsidRDefault="00325A48" w14:paraId="5DD5C198" w14:textId="0B43F5EB">
            <w:pPr>
              <w:pStyle w:val="MDPI42tablebody"/>
              <w:autoSpaceDE w:val="0"/>
              <w:autoSpaceDN w:val="0"/>
              <w:spacing w:line="240" w:lineRule="auto"/>
            </w:pPr>
            <w:r w:rsidRPr="00442C50">
              <w:t>1.1</w:t>
            </w:r>
            <w:r w:rsidRPr="00442C50" w:rsidR="0073722C">
              <w:t xml:space="preserve"> </w:t>
            </w:r>
            <w:r w:rsidRPr="00442C50">
              <w:t>+/</w:t>
            </w:r>
            <w:r w:rsidRPr="00442C50" w:rsidR="00F94B86">
              <w:t>−</w:t>
            </w:r>
            <w:r w:rsidRPr="00442C50" w:rsidR="0073722C">
              <w:t xml:space="preserve"> </w:t>
            </w:r>
            <w:r w:rsidRPr="00442C50">
              <w:t>0.34</w:t>
            </w:r>
          </w:p>
        </w:tc>
        <w:tc>
          <w:tcPr>
            <w:tcW w:w="1151" w:type="dxa"/>
            <w:shd w:val="clear" w:color="auto" w:fill="auto"/>
            <w:vAlign w:val="center"/>
          </w:tcPr>
          <w:p w:rsidRPr="00442C50" w:rsidR="00325A48" w:rsidP="0026776A" w:rsidRDefault="00325A48" w14:paraId="6C70BFB4" w14:textId="77777777">
            <w:pPr>
              <w:pStyle w:val="MDPI42tablebody"/>
              <w:autoSpaceDE w:val="0"/>
              <w:autoSpaceDN w:val="0"/>
              <w:spacing w:line="240" w:lineRule="auto"/>
            </w:pPr>
            <w:r w:rsidRPr="00442C50">
              <w:t>0.33</w:t>
            </w:r>
          </w:p>
        </w:tc>
      </w:tr>
      <w:tr w:rsidRPr="00442C50" w:rsidR="00325A48" w:rsidTr="00D12DE6" w14:paraId="33CC9C89" w14:textId="77777777">
        <w:tc>
          <w:tcPr>
            <w:tcW w:w="1239" w:type="dxa"/>
            <w:shd w:val="clear" w:color="auto" w:fill="auto"/>
            <w:vAlign w:val="center"/>
          </w:tcPr>
          <w:p w:rsidRPr="00442C50" w:rsidR="00325A48" w:rsidP="0026776A" w:rsidRDefault="00325A48" w14:paraId="48E8F33F" w14:textId="77777777">
            <w:pPr>
              <w:pStyle w:val="MDPI42tablebody"/>
              <w:autoSpaceDE w:val="0"/>
              <w:autoSpaceDN w:val="0"/>
              <w:spacing w:line="240" w:lineRule="auto"/>
            </w:pPr>
            <w:r w:rsidRPr="00442C50">
              <w:t>This work</w:t>
            </w:r>
          </w:p>
        </w:tc>
        <w:tc>
          <w:tcPr>
            <w:tcW w:w="1007" w:type="dxa"/>
            <w:shd w:val="clear" w:color="auto" w:fill="auto"/>
            <w:vAlign w:val="center"/>
          </w:tcPr>
          <w:p w:rsidRPr="00442C50" w:rsidR="00325A48" w:rsidP="0026776A" w:rsidRDefault="00325A48" w14:paraId="2BC88E5B" w14:textId="77777777">
            <w:pPr>
              <w:pStyle w:val="MDPI42tablebody"/>
              <w:autoSpaceDE w:val="0"/>
              <w:autoSpaceDN w:val="0"/>
              <w:spacing w:line="240" w:lineRule="auto"/>
              <w:rPr>
                <w:color w:val="000000" w:themeColor="text1"/>
              </w:rPr>
            </w:pPr>
            <w:r w:rsidRPr="00442C50">
              <w:rPr>
                <w:color w:val="000000" w:themeColor="text1"/>
              </w:rPr>
              <w:t>130v2</w:t>
            </w:r>
          </w:p>
        </w:tc>
        <w:tc>
          <w:tcPr>
            <w:tcW w:w="720" w:type="dxa"/>
            <w:shd w:val="clear" w:color="auto" w:fill="auto"/>
            <w:vAlign w:val="center"/>
          </w:tcPr>
          <w:p w:rsidRPr="00442C50" w:rsidR="00325A48" w:rsidP="0026776A" w:rsidRDefault="00325A48" w14:paraId="480A0410" w14:textId="77777777">
            <w:pPr>
              <w:pStyle w:val="MDPI42tablebody"/>
              <w:autoSpaceDE w:val="0"/>
              <w:autoSpaceDN w:val="0"/>
              <w:spacing w:line="240" w:lineRule="auto"/>
              <w:rPr>
                <w:color w:val="000000" w:themeColor="text1"/>
              </w:rPr>
            </w:pPr>
            <w:r w:rsidRPr="00442C50">
              <w:rPr>
                <w:color w:val="000000" w:themeColor="text1"/>
              </w:rPr>
              <w:t>MB215</w:t>
            </w:r>
          </w:p>
        </w:tc>
        <w:tc>
          <w:tcPr>
            <w:tcW w:w="1007" w:type="dxa"/>
            <w:shd w:val="clear" w:color="auto" w:fill="auto"/>
            <w:vAlign w:val="center"/>
          </w:tcPr>
          <w:p w:rsidRPr="00442C50" w:rsidR="00325A48" w:rsidP="0026776A" w:rsidRDefault="00325A48" w14:paraId="434AACD5" w14:textId="77777777">
            <w:pPr>
              <w:pStyle w:val="MDPI42tablebody"/>
              <w:autoSpaceDE w:val="0"/>
              <w:autoSpaceDN w:val="0"/>
              <w:spacing w:line="240" w:lineRule="auto"/>
              <w:rPr>
                <w:color w:val="000000" w:themeColor="text1"/>
              </w:rPr>
            </w:pPr>
            <w:r w:rsidRPr="00442C50">
              <w:rPr>
                <w:color w:val="000000" w:themeColor="text1"/>
              </w:rPr>
              <w:t>132</w:t>
            </w:r>
          </w:p>
        </w:tc>
        <w:tc>
          <w:tcPr>
            <w:tcW w:w="1295" w:type="dxa"/>
            <w:shd w:val="clear" w:color="auto" w:fill="auto"/>
            <w:vAlign w:val="center"/>
          </w:tcPr>
          <w:p w:rsidRPr="00442C50" w:rsidR="00325A48" w:rsidP="0026776A" w:rsidRDefault="00325A48" w14:paraId="22D54B1C" w14:textId="5C75FA60">
            <w:pPr>
              <w:pStyle w:val="MDPI42tablebody"/>
              <w:autoSpaceDE w:val="0"/>
              <w:autoSpaceDN w:val="0"/>
              <w:spacing w:line="240" w:lineRule="auto"/>
            </w:pPr>
            <w:r w:rsidRPr="00442C50">
              <w:t>0.04</w:t>
            </w:r>
            <w:r w:rsidRPr="00442C50" w:rsidR="0073722C">
              <w:t xml:space="preserve"> </w:t>
            </w:r>
            <w:r w:rsidRPr="00442C50">
              <w:t>+/</w:t>
            </w:r>
            <w:r w:rsidRPr="00442C50" w:rsidR="0026776A">
              <w:t>−</w:t>
            </w:r>
            <w:r w:rsidRPr="00442C50" w:rsidR="0073722C">
              <w:t xml:space="preserve"> </w:t>
            </w:r>
            <w:r w:rsidRPr="00442C50">
              <w:t>0.01</w:t>
            </w:r>
          </w:p>
        </w:tc>
        <w:tc>
          <w:tcPr>
            <w:tcW w:w="1438" w:type="dxa"/>
            <w:shd w:val="clear" w:color="auto" w:fill="auto"/>
            <w:vAlign w:val="center"/>
          </w:tcPr>
          <w:p w:rsidRPr="00442C50" w:rsidR="00325A48" w:rsidP="0026776A" w:rsidRDefault="00325A48" w14:paraId="6BAF41F1" w14:textId="69EF1A16">
            <w:pPr>
              <w:pStyle w:val="MDPI42tablebody"/>
              <w:autoSpaceDE w:val="0"/>
              <w:autoSpaceDN w:val="0"/>
              <w:spacing w:line="240" w:lineRule="auto"/>
            </w:pPr>
            <w:r w:rsidRPr="00442C50">
              <w:t>0.74</w:t>
            </w:r>
            <w:r w:rsidRPr="00442C50" w:rsidR="0073722C">
              <w:t xml:space="preserve"> </w:t>
            </w:r>
            <w:r w:rsidRPr="00442C50">
              <w:t>+/</w:t>
            </w:r>
            <w:r w:rsidRPr="00442C50" w:rsidR="00F94B86">
              <w:t>−</w:t>
            </w:r>
            <w:r w:rsidRPr="00442C50" w:rsidR="0073722C">
              <w:t xml:space="preserve"> </w:t>
            </w:r>
            <w:r w:rsidRPr="00442C50">
              <w:t>0.18</w:t>
            </w:r>
          </w:p>
        </w:tc>
        <w:tc>
          <w:tcPr>
            <w:tcW w:w="1151" w:type="dxa"/>
            <w:shd w:val="clear" w:color="auto" w:fill="auto"/>
            <w:vAlign w:val="center"/>
          </w:tcPr>
          <w:p w:rsidRPr="00442C50" w:rsidR="00325A48" w:rsidP="0026776A" w:rsidRDefault="00325A48" w14:paraId="3D81B369" w14:textId="77777777">
            <w:pPr>
              <w:pStyle w:val="MDPI42tablebody"/>
              <w:autoSpaceDE w:val="0"/>
              <w:autoSpaceDN w:val="0"/>
              <w:spacing w:line="240" w:lineRule="auto"/>
            </w:pPr>
            <w:r w:rsidRPr="00442C50">
              <w:t>0.3</w:t>
            </w:r>
          </w:p>
        </w:tc>
      </w:tr>
      <w:tr w:rsidRPr="00442C50" w:rsidR="00325A48" w:rsidTr="00D12DE6" w14:paraId="2B9CBC46" w14:textId="77777777">
        <w:tc>
          <w:tcPr>
            <w:tcW w:w="1239" w:type="dxa"/>
            <w:shd w:val="clear" w:color="auto" w:fill="auto"/>
            <w:vAlign w:val="center"/>
          </w:tcPr>
          <w:p w:rsidRPr="00442C50" w:rsidR="00325A48" w:rsidP="0026776A" w:rsidRDefault="00325A48" w14:paraId="4B9E01FF" w14:textId="77777777">
            <w:pPr>
              <w:pStyle w:val="MDPI42tablebody"/>
              <w:autoSpaceDE w:val="0"/>
              <w:autoSpaceDN w:val="0"/>
              <w:spacing w:line="240" w:lineRule="auto"/>
              <w:rPr>
                <w:color w:val="000000" w:themeColor="text1"/>
              </w:rPr>
            </w:pPr>
            <w:r w:rsidRPr="00442C50">
              <w:rPr>
                <w:color w:val="000000" w:themeColor="text1"/>
              </w:rPr>
              <w:t>Becker et al.</w:t>
            </w:r>
          </w:p>
        </w:tc>
        <w:tc>
          <w:tcPr>
            <w:tcW w:w="1007" w:type="dxa"/>
            <w:shd w:val="clear" w:color="auto" w:fill="auto"/>
            <w:vAlign w:val="center"/>
          </w:tcPr>
          <w:p w:rsidRPr="00442C50" w:rsidR="00325A48" w:rsidP="0026776A" w:rsidRDefault="00325A48" w14:paraId="07BF5F65" w14:textId="77777777">
            <w:pPr>
              <w:pStyle w:val="MDPI42tablebody"/>
              <w:autoSpaceDE w:val="0"/>
              <w:autoSpaceDN w:val="0"/>
              <w:spacing w:line="240" w:lineRule="auto"/>
              <w:rPr>
                <w:color w:val="000000" w:themeColor="text1"/>
              </w:rPr>
            </w:pPr>
            <w:r w:rsidRPr="00442C50">
              <w:rPr>
                <w:color w:val="000000" w:themeColor="text1"/>
              </w:rPr>
              <w:t>100glc</w:t>
            </w:r>
          </w:p>
        </w:tc>
        <w:tc>
          <w:tcPr>
            <w:tcW w:w="720" w:type="dxa"/>
            <w:shd w:val="clear" w:color="auto" w:fill="auto"/>
            <w:vAlign w:val="center"/>
          </w:tcPr>
          <w:p w:rsidRPr="00442C50" w:rsidR="00325A48" w:rsidP="0026776A" w:rsidRDefault="00325A48" w14:paraId="53BB4B4E" w14:textId="77777777">
            <w:pPr>
              <w:pStyle w:val="MDPI42tablebody"/>
              <w:autoSpaceDE w:val="0"/>
              <w:autoSpaceDN w:val="0"/>
              <w:spacing w:line="240" w:lineRule="auto"/>
              <w:rPr>
                <w:color w:val="000000" w:themeColor="text1"/>
              </w:rPr>
            </w:pPr>
            <w:r w:rsidRPr="00442C50">
              <w:rPr>
                <w:color w:val="000000" w:themeColor="text1"/>
              </w:rPr>
              <w:t>MB215</w:t>
            </w:r>
          </w:p>
        </w:tc>
        <w:tc>
          <w:tcPr>
            <w:tcW w:w="1007" w:type="dxa"/>
            <w:shd w:val="clear" w:color="auto" w:fill="auto"/>
            <w:vAlign w:val="center"/>
          </w:tcPr>
          <w:p w:rsidRPr="00442C50" w:rsidR="00325A48" w:rsidP="0026776A" w:rsidRDefault="00325A48" w14:paraId="5344D038" w14:textId="77777777">
            <w:pPr>
              <w:pStyle w:val="MDPI42tablebody"/>
              <w:autoSpaceDE w:val="0"/>
              <w:autoSpaceDN w:val="0"/>
              <w:spacing w:line="240" w:lineRule="auto"/>
              <w:rPr>
                <w:color w:val="000000" w:themeColor="text1"/>
              </w:rPr>
            </w:pPr>
            <w:r w:rsidRPr="00442C50">
              <w:rPr>
                <w:color w:val="000000" w:themeColor="text1"/>
              </w:rPr>
              <w:t>106</w:t>
            </w:r>
          </w:p>
        </w:tc>
        <w:tc>
          <w:tcPr>
            <w:tcW w:w="1295" w:type="dxa"/>
            <w:shd w:val="clear" w:color="auto" w:fill="auto"/>
            <w:vAlign w:val="center"/>
          </w:tcPr>
          <w:p w:rsidRPr="00442C50" w:rsidR="00325A48" w:rsidP="0026776A" w:rsidRDefault="00325A48" w14:paraId="11F4C8DE" w14:textId="3A9AE374">
            <w:pPr>
              <w:pStyle w:val="MDPI42tablebody"/>
              <w:autoSpaceDE w:val="0"/>
              <w:autoSpaceDN w:val="0"/>
              <w:spacing w:line="240" w:lineRule="auto"/>
              <w:rPr>
                <w:color w:val="000000" w:themeColor="text1"/>
              </w:rPr>
            </w:pPr>
            <w:r w:rsidRPr="00442C50">
              <w:rPr>
                <w:color w:val="000000" w:themeColor="text1"/>
              </w:rPr>
              <w:t>0.04</w:t>
            </w:r>
            <w:r w:rsidRPr="00442C50" w:rsidR="0073722C">
              <w:rPr>
                <w:color w:val="000000" w:themeColor="text1"/>
              </w:rPr>
              <w:t xml:space="preserve"> </w:t>
            </w:r>
            <w:r w:rsidRPr="00442C50">
              <w:rPr>
                <w:color w:val="000000" w:themeColor="text1"/>
              </w:rPr>
              <w:t>+/</w:t>
            </w:r>
            <w:r w:rsidRPr="00442C50" w:rsidR="0026776A">
              <w:t>−</w:t>
            </w:r>
            <w:r w:rsidRPr="00442C50" w:rsidR="0073722C">
              <w:t xml:space="preserve"> </w:t>
            </w:r>
            <w:r w:rsidRPr="00442C50">
              <w:rPr>
                <w:color w:val="000000" w:themeColor="text1"/>
              </w:rPr>
              <w:t>0.01</w:t>
            </w:r>
          </w:p>
        </w:tc>
        <w:tc>
          <w:tcPr>
            <w:tcW w:w="1438" w:type="dxa"/>
            <w:shd w:val="clear" w:color="auto" w:fill="auto"/>
            <w:vAlign w:val="center"/>
          </w:tcPr>
          <w:p w:rsidRPr="00442C50" w:rsidR="00325A48" w:rsidP="0026776A" w:rsidRDefault="00325A48" w14:paraId="76CA9BED" w14:textId="6FB1C9D3">
            <w:pPr>
              <w:pStyle w:val="MDPI42tablebody"/>
              <w:autoSpaceDE w:val="0"/>
              <w:autoSpaceDN w:val="0"/>
              <w:spacing w:line="240" w:lineRule="auto"/>
              <w:rPr>
                <w:color w:val="000000" w:themeColor="text1"/>
              </w:rPr>
            </w:pPr>
            <w:r w:rsidRPr="00442C50">
              <w:rPr>
                <w:color w:val="000000" w:themeColor="text1"/>
              </w:rPr>
              <w:t>0.67</w:t>
            </w:r>
            <w:r w:rsidRPr="00442C50" w:rsidR="0073722C">
              <w:rPr>
                <w:color w:val="000000" w:themeColor="text1"/>
              </w:rPr>
              <w:t xml:space="preserve"> </w:t>
            </w:r>
            <w:r w:rsidRPr="00442C50">
              <w:rPr>
                <w:color w:val="000000" w:themeColor="text1"/>
              </w:rPr>
              <w:t>+/</w:t>
            </w:r>
            <w:r w:rsidRPr="00442C50" w:rsidR="00F94B86">
              <w:t>−</w:t>
            </w:r>
            <w:r w:rsidRPr="00442C50" w:rsidR="0073722C">
              <w:t xml:space="preserve"> </w:t>
            </w:r>
            <w:r w:rsidRPr="00442C50">
              <w:rPr>
                <w:color w:val="000000" w:themeColor="text1"/>
              </w:rPr>
              <w:t>0.19</w:t>
            </w:r>
          </w:p>
        </w:tc>
        <w:tc>
          <w:tcPr>
            <w:tcW w:w="1151" w:type="dxa"/>
            <w:shd w:val="clear" w:color="auto" w:fill="auto"/>
            <w:vAlign w:val="center"/>
          </w:tcPr>
          <w:p w:rsidRPr="00442C50" w:rsidR="00325A48" w:rsidP="0026776A" w:rsidRDefault="00325A48" w14:paraId="55CCC48A" w14:textId="77777777">
            <w:pPr>
              <w:pStyle w:val="MDPI42tablebody"/>
              <w:autoSpaceDE w:val="0"/>
              <w:autoSpaceDN w:val="0"/>
              <w:spacing w:line="240" w:lineRule="auto"/>
              <w:rPr>
                <w:color w:val="000000" w:themeColor="text1"/>
              </w:rPr>
            </w:pPr>
            <w:r w:rsidRPr="00442C50">
              <w:rPr>
                <w:color w:val="000000" w:themeColor="text1"/>
              </w:rPr>
              <w:t>0.33</w:t>
            </w:r>
          </w:p>
        </w:tc>
      </w:tr>
      <w:tr w:rsidRPr="00442C50" w:rsidR="00325A48" w:rsidTr="00D12DE6" w14:paraId="7C3E8B15" w14:textId="77777777">
        <w:tc>
          <w:tcPr>
            <w:tcW w:w="1239" w:type="dxa"/>
            <w:shd w:val="clear" w:color="auto" w:fill="auto"/>
            <w:vAlign w:val="center"/>
          </w:tcPr>
          <w:p w:rsidRPr="00442C50" w:rsidR="00325A48" w:rsidP="0026776A" w:rsidRDefault="00325A48" w14:paraId="36EF909D" w14:textId="77777777">
            <w:pPr>
              <w:pStyle w:val="MDPI42tablebody"/>
              <w:autoSpaceDE w:val="0"/>
              <w:autoSpaceDN w:val="0"/>
              <w:spacing w:line="240" w:lineRule="auto"/>
              <w:rPr>
                <w:color w:val="000000" w:themeColor="text1"/>
              </w:rPr>
            </w:pPr>
            <w:r w:rsidRPr="00442C50">
              <w:rPr>
                <w:color w:val="000000" w:themeColor="text1"/>
              </w:rPr>
              <w:t>This work</w:t>
            </w:r>
          </w:p>
        </w:tc>
        <w:tc>
          <w:tcPr>
            <w:tcW w:w="1007" w:type="dxa"/>
            <w:shd w:val="clear" w:color="auto" w:fill="auto"/>
            <w:vAlign w:val="center"/>
          </w:tcPr>
          <w:p w:rsidRPr="00442C50" w:rsidR="00325A48" w:rsidP="0026776A" w:rsidRDefault="00325A48" w14:paraId="1F8B9FF1" w14:textId="77777777">
            <w:pPr>
              <w:pStyle w:val="MDPI42tablebody"/>
              <w:autoSpaceDE w:val="0"/>
              <w:autoSpaceDN w:val="0"/>
              <w:spacing w:line="240" w:lineRule="auto"/>
              <w:rPr>
                <w:color w:val="000000" w:themeColor="text1"/>
              </w:rPr>
            </w:pPr>
            <w:r w:rsidRPr="00442C50">
              <w:rPr>
                <w:color w:val="000000" w:themeColor="text1"/>
              </w:rPr>
              <w:t>200v1</w:t>
            </w:r>
          </w:p>
        </w:tc>
        <w:tc>
          <w:tcPr>
            <w:tcW w:w="720" w:type="dxa"/>
            <w:shd w:val="clear" w:color="auto" w:fill="auto"/>
            <w:vAlign w:val="center"/>
          </w:tcPr>
          <w:p w:rsidRPr="00442C50" w:rsidR="00325A48" w:rsidP="0026776A" w:rsidRDefault="00325A48" w14:paraId="4A83B046" w14:textId="77777777">
            <w:pPr>
              <w:pStyle w:val="MDPI42tablebody"/>
              <w:autoSpaceDE w:val="0"/>
              <w:autoSpaceDN w:val="0"/>
              <w:spacing w:line="240" w:lineRule="auto"/>
              <w:rPr>
                <w:color w:val="000000" w:themeColor="text1"/>
              </w:rPr>
            </w:pPr>
            <w:r w:rsidRPr="00442C50">
              <w:rPr>
                <w:color w:val="000000" w:themeColor="text1"/>
              </w:rPr>
              <w:t>MB215</w:t>
            </w:r>
          </w:p>
        </w:tc>
        <w:tc>
          <w:tcPr>
            <w:tcW w:w="1007" w:type="dxa"/>
            <w:shd w:val="clear" w:color="auto" w:fill="auto"/>
            <w:vAlign w:val="center"/>
          </w:tcPr>
          <w:p w:rsidRPr="00442C50" w:rsidR="00325A48" w:rsidP="0026776A" w:rsidRDefault="00325A48" w14:paraId="390E5176" w14:textId="77777777">
            <w:pPr>
              <w:pStyle w:val="MDPI42tablebody"/>
              <w:autoSpaceDE w:val="0"/>
              <w:autoSpaceDN w:val="0"/>
              <w:spacing w:line="240" w:lineRule="auto"/>
              <w:rPr>
                <w:color w:val="000000" w:themeColor="text1"/>
              </w:rPr>
            </w:pPr>
            <w:r w:rsidRPr="00442C50">
              <w:rPr>
                <w:color w:val="000000" w:themeColor="text1"/>
              </w:rPr>
              <w:t>203</w:t>
            </w:r>
          </w:p>
        </w:tc>
        <w:tc>
          <w:tcPr>
            <w:tcW w:w="1295" w:type="dxa"/>
            <w:shd w:val="clear" w:color="auto" w:fill="auto"/>
            <w:vAlign w:val="center"/>
          </w:tcPr>
          <w:p w:rsidRPr="00442C50" w:rsidR="00325A48" w:rsidP="0026776A" w:rsidRDefault="00325A48" w14:paraId="7557E226" w14:textId="2AD5A7DC">
            <w:pPr>
              <w:pStyle w:val="MDPI42tablebody"/>
              <w:autoSpaceDE w:val="0"/>
              <w:autoSpaceDN w:val="0"/>
              <w:spacing w:line="240" w:lineRule="auto"/>
              <w:rPr>
                <w:color w:val="000000" w:themeColor="text1"/>
              </w:rPr>
            </w:pPr>
            <w:r w:rsidRPr="00442C50">
              <w:rPr>
                <w:color w:val="000000" w:themeColor="text1"/>
              </w:rPr>
              <w:t>0.02</w:t>
            </w:r>
            <w:r w:rsidRPr="00442C50" w:rsidR="0073722C">
              <w:rPr>
                <w:color w:val="000000" w:themeColor="text1"/>
              </w:rPr>
              <w:t xml:space="preserve"> </w:t>
            </w:r>
            <w:r w:rsidRPr="00442C50">
              <w:rPr>
                <w:color w:val="000000" w:themeColor="text1"/>
              </w:rPr>
              <w:t>+/</w:t>
            </w:r>
            <w:r w:rsidRPr="00442C50" w:rsidR="0026776A">
              <w:t>−</w:t>
            </w:r>
            <w:r w:rsidRPr="00442C50" w:rsidR="0073722C">
              <w:t xml:space="preserve"> </w:t>
            </w:r>
            <w:r w:rsidRPr="00442C50">
              <w:rPr>
                <w:color w:val="000000" w:themeColor="text1"/>
              </w:rPr>
              <w:t>0.01</w:t>
            </w:r>
          </w:p>
        </w:tc>
        <w:tc>
          <w:tcPr>
            <w:tcW w:w="1438" w:type="dxa"/>
            <w:shd w:val="clear" w:color="auto" w:fill="auto"/>
            <w:vAlign w:val="center"/>
          </w:tcPr>
          <w:p w:rsidRPr="00442C50" w:rsidR="00325A48" w:rsidP="0026776A" w:rsidRDefault="00325A48" w14:paraId="478BB42E" w14:textId="00101125">
            <w:pPr>
              <w:pStyle w:val="MDPI42tablebody"/>
              <w:autoSpaceDE w:val="0"/>
              <w:autoSpaceDN w:val="0"/>
              <w:spacing w:line="240" w:lineRule="auto"/>
              <w:rPr>
                <w:color w:val="000000" w:themeColor="text1"/>
              </w:rPr>
            </w:pPr>
            <w:r w:rsidRPr="00442C50">
              <w:rPr>
                <w:color w:val="000000" w:themeColor="text1"/>
              </w:rPr>
              <w:t>0.33</w:t>
            </w:r>
            <w:r w:rsidRPr="00442C50" w:rsidR="0073722C">
              <w:rPr>
                <w:color w:val="000000" w:themeColor="text1"/>
              </w:rPr>
              <w:t xml:space="preserve"> </w:t>
            </w:r>
            <w:r w:rsidRPr="00442C50">
              <w:rPr>
                <w:color w:val="000000" w:themeColor="text1"/>
              </w:rPr>
              <w:t>+/</w:t>
            </w:r>
            <w:r w:rsidRPr="00442C50" w:rsidR="00F94B86">
              <w:t>−</w:t>
            </w:r>
            <w:r w:rsidRPr="00442C50" w:rsidR="0073722C">
              <w:t xml:space="preserve"> </w:t>
            </w:r>
            <w:r w:rsidRPr="00442C50">
              <w:rPr>
                <w:color w:val="000000" w:themeColor="text1"/>
              </w:rPr>
              <w:t>0.08</w:t>
            </w:r>
          </w:p>
        </w:tc>
        <w:tc>
          <w:tcPr>
            <w:tcW w:w="1151" w:type="dxa"/>
            <w:shd w:val="clear" w:color="auto" w:fill="auto"/>
            <w:vAlign w:val="center"/>
          </w:tcPr>
          <w:p w:rsidRPr="00442C50" w:rsidR="00325A48" w:rsidP="0026776A" w:rsidRDefault="00325A48" w14:paraId="558C2399" w14:textId="77777777">
            <w:pPr>
              <w:pStyle w:val="MDPI42tablebody"/>
              <w:autoSpaceDE w:val="0"/>
              <w:autoSpaceDN w:val="0"/>
              <w:spacing w:line="240" w:lineRule="auto"/>
              <w:rPr>
                <w:color w:val="000000" w:themeColor="text1"/>
              </w:rPr>
            </w:pPr>
            <w:r w:rsidRPr="00442C50">
              <w:rPr>
                <w:color w:val="000000" w:themeColor="text1"/>
              </w:rPr>
              <w:t>0.33</w:t>
            </w:r>
          </w:p>
        </w:tc>
      </w:tr>
      <w:tr w:rsidRPr="00442C50" w:rsidR="00325A48" w:rsidTr="00D12DE6" w14:paraId="63FABA34" w14:textId="77777777">
        <w:tc>
          <w:tcPr>
            <w:tcW w:w="1239" w:type="dxa"/>
            <w:shd w:val="clear" w:color="auto" w:fill="auto"/>
            <w:vAlign w:val="center"/>
          </w:tcPr>
          <w:p w:rsidRPr="00442C50" w:rsidR="00325A48" w:rsidP="0026776A" w:rsidRDefault="00325A48" w14:paraId="066A910E" w14:textId="77777777">
            <w:pPr>
              <w:pStyle w:val="MDPI42tablebody"/>
              <w:autoSpaceDE w:val="0"/>
              <w:autoSpaceDN w:val="0"/>
              <w:spacing w:line="240" w:lineRule="auto"/>
              <w:rPr>
                <w:color w:val="000000" w:themeColor="text1"/>
              </w:rPr>
            </w:pPr>
            <w:r w:rsidRPr="00442C50">
              <w:rPr>
                <w:color w:val="000000" w:themeColor="text1"/>
              </w:rPr>
              <w:t>This work</w:t>
            </w:r>
          </w:p>
        </w:tc>
        <w:tc>
          <w:tcPr>
            <w:tcW w:w="1007" w:type="dxa"/>
            <w:shd w:val="clear" w:color="auto" w:fill="auto"/>
            <w:vAlign w:val="center"/>
          </w:tcPr>
          <w:p w:rsidRPr="00442C50" w:rsidR="00325A48" w:rsidP="0026776A" w:rsidRDefault="00325A48" w14:paraId="414B7345" w14:textId="77777777">
            <w:pPr>
              <w:pStyle w:val="MDPI42tablebody"/>
              <w:autoSpaceDE w:val="0"/>
              <w:autoSpaceDN w:val="0"/>
              <w:spacing w:line="240" w:lineRule="auto"/>
              <w:rPr>
                <w:color w:val="000000" w:themeColor="text1"/>
              </w:rPr>
            </w:pPr>
            <w:r w:rsidRPr="00442C50">
              <w:rPr>
                <w:color w:val="000000" w:themeColor="text1"/>
              </w:rPr>
              <w:t>200v2</w:t>
            </w:r>
          </w:p>
        </w:tc>
        <w:tc>
          <w:tcPr>
            <w:tcW w:w="720" w:type="dxa"/>
            <w:shd w:val="clear" w:color="auto" w:fill="auto"/>
            <w:vAlign w:val="center"/>
          </w:tcPr>
          <w:p w:rsidRPr="00442C50" w:rsidR="00325A48" w:rsidP="0026776A" w:rsidRDefault="00325A48" w14:paraId="0691E5DA" w14:textId="77777777">
            <w:pPr>
              <w:pStyle w:val="MDPI42tablebody"/>
              <w:autoSpaceDE w:val="0"/>
              <w:autoSpaceDN w:val="0"/>
              <w:spacing w:line="240" w:lineRule="auto"/>
              <w:rPr>
                <w:color w:val="000000" w:themeColor="text1"/>
              </w:rPr>
            </w:pPr>
            <w:r w:rsidRPr="00442C50">
              <w:rPr>
                <w:color w:val="000000" w:themeColor="text1"/>
              </w:rPr>
              <w:t>MB215</w:t>
            </w:r>
          </w:p>
        </w:tc>
        <w:tc>
          <w:tcPr>
            <w:tcW w:w="1007" w:type="dxa"/>
            <w:shd w:val="clear" w:color="auto" w:fill="auto"/>
            <w:vAlign w:val="center"/>
          </w:tcPr>
          <w:p w:rsidRPr="00442C50" w:rsidR="00325A48" w:rsidP="0026776A" w:rsidRDefault="00325A48" w14:paraId="262B901F" w14:textId="77777777">
            <w:pPr>
              <w:pStyle w:val="MDPI42tablebody"/>
              <w:autoSpaceDE w:val="0"/>
              <w:autoSpaceDN w:val="0"/>
              <w:spacing w:line="240" w:lineRule="auto"/>
              <w:rPr>
                <w:color w:val="000000" w:themeColor="text1"/>
              </w:rPr>
            </w:pPr>
            <w:r w:rsidRPr="00442C50">
              <w:rPr>
                <w:color w:val="000000" w:themeColor="text1"/>
              </w:rPr>
              <w:t>216</w:t>
            </w:r>
          </w:p>
        </w:tc>
        <w:tc>
          <w:tcPr>
            <w:tcW w:w="1295" w:type="dxa"/>
            <w:shd w:val="clear" w:color="auto" w:fill="auto"/>
            <w:vAlign w:val="center"/>
          </w:tcPr>
          <w:p w:rsidRPr="00442C50" w:rsidR="00325A48" w:rsidP="0026776A" w:rsidRDefault="00325A48" w14:paraId="7044CA61" w14:textId="3BB57AFB">
            <w:pPr>
              <w:pStyle w:val="MDPI42tablebody"/>
              <w:autoSpaceDE w:val="0"/>
              <w:autoSpaceDN w:val="0"/>
              <w:spacing w:line="240" w:lineRule="auto"/>
              <w:rPr>
                <w:color w:val="000000" w:themeColor="text1"/>
              </w:rPr>
            </w:pPr>
            <w:r w:rsidRPr="00442C50">
              <w:rPr>
                <w:color w:val="000000" w:themeColor="text1"/>
              </w:rPr>
              <w:t>0.02</w:t>
            </w:r>
            <w:r w:rsidRPr="00442C50" w:rsidR="0073722C">
              <w:rPr>
                <w:color w:val="000000" w:themeColor="text1"/>
              </w:rPr>
              <w:t xml:space="preserve"> </w:t>
            </w:r>
            <w:r w:rsidRPr="00442C50">
              <w:rPr>
                <w:color w:val="000000" w:themeColor="text1"/>
              </w:rPr>
              <w:t>+/</w:t>
            </w:r>
            <w:r w:rsidRPr="00442C50" w:rsidR="0026776A">
              <w:t>−</w:t>
            </w:r>
            <w:r w:rsidRPr="00442C50" w:rsidR="0073722C">
              <w:t xml:space="preserve"> </w:t>
            </w:r>
            <w:r w:rsidRPr="00442C50">
              <w:rPr>
                <w:color w:val="000000" w:themeColor="text1"/>
              </w:rPr>
              <w:t>0.01</w:t>
            </w:r>
          </w:p>
        </w:tc>
        <w:tc>
          <w:tcPr>
            <w:tcW w:w="1438" w:type="dxa"/>
            <w:shd w:val="clear" w:color="auto" w:fill="auto"/>
            <w:vAlign w:val="center"/>
          </w:tcPr>
          <w:p w:rsidRPr="00442C50" w:rsidR="00325A48" w:rsidP="0026776A" w:rsidRDefault="00325A48" w14:paraId="1A14D244" w14:textId="3C8E1ACC">
            <w:pPr>
              <w:pStyle w:val="MDPI42tablebody"/>
              <w:autoSpaceDE w:val="0"/>
              <w:autoSpaceDN w:val="0"/>
              <w:spacing w:line="240" w:lineRule="auto"/>
              <w:rPr>
                <w:color w:val="000000" w:themeColor="text1"/>
              </w:rPr>
            </w:pPr>
            <w:r w:rsidRPr="00442C50">
              <w:rPr>
                <w:color w:val="000000" w:themeColor="text1"/>
              </w:rPr>
              <w:t>0.55</w:t>
            </w:r>
            <w:r w:rsidRPr="00442C50" w:rsidR="0073722C">
              <w:rPr>
                <w:color w:val="000000" w:themeColor="text1"/>
              </w:rPr>
              <w:t xml:space="preserve"> </w:t>
            </w:r>
            <w:r w:rsidRPr="00442C50">
              <w:rPr>
                <w:color w:val="000000" w:themeColor="text1"/>
              </w:rPr>
              <w:t>+/</w:t>
            </w:r>
            <w:r w:rsidRPr="00442C50" w:rsidR="00C2303E">
              <w:t>−</w:t>
            </w:r>
            <w:r w:rsidRPr="00442C50" w:rsidR="0073722C">
              <w:t xml:space="preserve"> </w:t>
            </w:r>
            <w:r w:rsidRPr="00442C50">
              <w:rPr>
                <w:color w:val="000000" w:themeColor="text1"/>
              </w:rPr>
              <w:t>0.1</w:t>
            </w:r>
          </w:p>
        </w:tc>
        <w:tc>
          <w:tcPr>
            <w:tcW w:w="1151" w:type="dxa"/>
            <w:shd w:val="clear" w:color="auto" w:fill="auto"/>
            <w:vAlign w:val="center"/>
          </w:tcPr>
          <w:p w:rsidRPr="00442C50" w:rsidR="00325A48" w:rsidP="0026776A" w:rsidRDefault="00325A48" w14:paraId="2BD34B41" w14:textId="77777777">
            <w:pPr>
              <w:pStyle w:val="MDPI42tablebody"/>
              <w:autoSpaceDE w:val="0"/>
              <w:autoSpaceDN w:val="0"/>
              <w:spacing w:line="240" w:lineRule="auto"/>
              <w:rPr>
                <w:color w:val="000000" w:themeColor="text1"/>
              </w:rPr>
            </w:pPr>
            <w:r w:rsidRPr="00442C50">
              <w:rPr>
                <w:color w:val="000000" w:themeColor="text1"/>
              </w:rPr>
              <w:t>0.33</w:t>
            </w:r>
          </w:p>
        </w:tc>
      </w:tr>
    </w:tbl>
    <w:p w:rsidRPr="00442C50" w:rsidR="00D12DE6" w:rsidP="00D12DE6" w:rsidRDefault="00B06815" w14:paraId="2A17EC4A" w14:textId="3724CB2D">
      <w:pPr>
        <w:pStyle w:val="MDPI52figure"/>
        <w:ind w:left="2608"/>
        <w:jc w:val="left"/>
      </w:pPr>
      <w:r w:rsidRPr="00442C50">
        <w:rPr>
          <w:noProof/>
        </w:rPr>
        <w:drawing>
          <wp:inline distT="0" distB="0" distL="0" distR="0" wp14:anchorId="1993462E" wp14:editId="65D3393E">
            <wp:extent cx="4699128" cy="3378200"/>
            <wp:effectExtent l="0" t="0" r="6350" b="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pic:nvPicPr>
                  <pic:blipFill>
                    <a:blip r:embed="rId10"/>
                    <a:stretch>
                      <a:fillRect/>
                    </a:stretch>
                  </pic:blipFill>
                  <pic:spPr>
                    <a:xfrm>
                      <a:off x="0" y="0"/>
                      <a:ext cx="4703909" cy="3381637"/>
                    </a:xfrm>
                    <a:prstGeom prst="rect">
                      <a:avLst/>
                    </a:prstGeom>
                  </pic:spPr>
                </pic:pic>
              </a:graphicData>
            </a:graphic>
          </wp:inline>
        </w:drawing>
      </w:r>
    </w:p>
    <w:p w:rsidRPr="00442C50" w:rsidR="00D12DE6" w:rsidP="00D12DE6" w:rsidRDefault="69A3F416" w14:paraId="72D090B2" w14:textId="3B1F4111">
      <w:pPr>
        <w:pStyle w:val="MDPI51figurecaption"/>
      </w:pPr>
      <w:commentRangeStart w:id="0"/>
      <w:commentRangeStart w:id="1604237185"/>
      <w:r w:rsidRPr="52FDC415" w:rsidR="52FDC415">
        <w:rPr>
          <w:b w:val="1"/>
          <w:bCs w:val="1"/>
        </w:rPr>
        <w:t xml:space="preserve">Figure 3. </w:t>
      </w:r>
      <w:commentRangeEnd w:id="0"/>
      <w:r>
        <w:rPr>
          <w:rStyle w:val="CommentReference"/>
        </w:rPr>
        <w:commentReference w:id="0"/>
      </w:r>
      <w:commentRangeEnd w:id="1604237185"/>
      <w:r>
        <w:rPr>
          <w:rStyle w:val="CommentReference"/>
        </w:rPr>
        <w:commentReference w:id="1604237185"/>
      </w:r>
      <w:r w:rsidR="52FDC415">
        <w:rPr/>
        <w:t xml:space="preserve">Growth characteristics of </w:t>
      </w:r>
      <w:r w:rsidRPr="52FDC415" w:rsidR="52FDC415">
        <w:rPr>
          <w:i w:val="1"/>
          <w:iCs w:val="1"/>
        </w:rPr>
        <w:t>U. maydis</w:t>
      </w:r>
      <w:r w:rsidR="52FDC415">
        <w:rPr/>
        <w:t xml:space="preserve"> glucose batch cultures from Table 3 and similarity to iUma22 predictions. (</w:t>
      </w:r>
      <w:r w:rsidRPr="52FDC415" w:rsidR="52FDC415">
        <w:rPr>
          <w:b w:val="1"/>
          <w:bCs w:val="1"/>
        </w:rPr>
        <w:t>A</w:t>
      </w:r>
      <w:r w:rsidR="52FDC415">
        <w:rPr/>
        <w:t xml:space="preserve">) Seven batch experiments on glucose were analyzed to extract growth- and glucose-uptake rates. The linear least-squares correlation provides the biomass yield on glucose with 0.47 +/- 0.03 </w:t>
      </w:r>
      <w:proofErr w:type="spellStart"/>
      <w:r w:rsidR="52FDC415">
        <w:rPr/>
        <w:t>g</w:t>
      </w:r>
      <w:r w:rsidRPr="52FDC415" w:rsidR="52FDC415">
        <w:rPr>
          <w:vertAlign w:val="subscript"/>
        </w:rPr>
        <w:t>CDW</w:t>
      </w:r>
      <w:proofErr w:type="spellEnd"/>
      <w:r w:rsidR="52FDC415">
        <w:rPr/>
        <w:t>/</w:t>
      </w:r>
      <w:proofErr w:type="spellStart"/>
      <w:r w:rsidR="52FDC415">
        <w:rPr/>
        <w:t>g</w:t>
      </w:r>
      <w:r w:rsidRPr="52FDC415" w:rsidR="52FDC415">
        <w:rPr>
          <w:vertAlign w:val="subscript"/>
        </w:rPr>
        <w:t>glc</w:t>
      </w:r>
      <w:proofErr w:type="spellEnd"/>
      <w:r w:rsidR="52FDC415">
        <w:rPr/>
        <w:t>, and the interception of the x-axis provides the glucose maintenance uptake rate with 0.2 +/- 0.01 mmol/</w:t>
      </w:r>
      <w:proofErr w:type="spellStart"/>
      <w:r w:rsidR="52FDC415">
        <w:rPr/>
        <w:t>g</w:t>
      </w:r>
      <w:r w:rsidRPr="52FDC415" w:rsidR="52FDC415">
        <w:rPr>
          <w:vertAlign w:val="subscript"/>
        </w:rPr>
        <w:t>CDW</w:t>
      </w:r>
      <w:proofErr w:type="spellEnd"/>
      <w:r w:rsidR="52FDC415">
        <w:rPr/>
        <w:t>/h. The two inlet figures exemplify the growth rate estimation by a logistic Verhulst equation for growth (green) and linear substrate uptake (blue) for experiment ID ‘50glc’. (</w:t>
      </w:r>
      <w:r w:rsidRPr="52FDC415" w:rsidR="52FDC415">
        <w:rPr>
          <w:b w:val="1"/>
          <w:bCs w:val="1"/>
        </w:rPr>
        <w:t>B</w:t>
      </w:r>
      <w:r w:rsidR="52FDC415">
        <w:rPr/>
        <w:t>) Glucose-uptake rate as a function of the initial glucose level indicating an inverse correlation. (</w:t>
      </w:r>
      <w:r w:rsidRPr="52FDC415" w:rsidR="52FDC415">
        <w:rPr>
          <w:b w:val="1"/>
          <w:bCs w:val="1"/>
        </w:rPr>
        <w:t>C</w:t>
      </w:r>
      <w:r w:rsidR="52FDC415">
        <w:rPr/>
        <w:t>) Simulated and experimental growth rates, with optimal predictions represented by the black line. The individual growth rate data is provided in the Supplements.</w:t>
      </w:r>
    </w:p>
    <w:p w:rsidRPr="00442C50" w:rsidR="00325A48" w:rsidP="00D12DE6" w:rsidRDefault="00D12DE6" w14:paraId="24C64292" w14:textId="2683DCA5">
      <w:pPr>
        <w:pStyle w:val="MDPI22heading2"/>
        <w:spacing w:before="240"/>
      </w:pPr>
      <w:r w:rsidRPr="00442C50">
        <w:lastRenderedPageBreak/>
        <w:t xml:space="preserve">3.4. </w:t>
      </w:r>
      <w:r w:rsidRPr="00442C50" w:rsidR="00325A48">
        <w:t xml:space="preserve">U. maydis </w:t>
      </w:r>
      <w:r w:rsidRPr="00442C50" w:rsidR="00890359">
        <w:t>Pangenome</w:t>
      </w:r>
      <w:r w:rsidRPr="00442C50" w:rsidR="00325A48">
        <w:t xml:space="preserve"> </w:t>
      </w:r>
      <w:r w:rsidRPr="00442C50">
        <w:t>Comparison</w:t>
      </w:r>
    </w:p>
    <w:p w:rsidRPr="00442C50" w:rsidR="00325A48" w:rsidP="00D12DE6" w:rsidRDefault="69A3F416" w14:paraId="64F4A12C" w14:textId="16419947">
      <w:pPr>
        <w:pStyle w:val="MDPI31text"/>
      </w:pPr>
      <w:r w:rsidRPr="00442C50">
        <w:t xml:space="preserve">We used the available sequenced </w:t>
      </w:r>
      <w:r w:rsidRPr="00442C50">
        <w:rPr>
          <w:i/>
          <w:iCs/>
        </w:rPr>
        <w:t>U. maydis</w:t>
      </w:r>
      <w:r w:rsidRPr="00442C50">
        <w:t xml:space="preserve"> strains </w:t>
      </w:r>
      <w:r w:rsidRPr="00442C50">
        <w:rPr>
          <w:noProof/>
        </w:rPr>
        <w:t>[18]</w:t>
      </w:r>
      <w:r w:rsidRPr="00442C50">
        <w:t xml:space="preserve"> to compare the enzymatic gene inventory among strains and regarding iUma22. A pangenome of strains 198, 482, 485, and 512 was constructed by means of EDGAR 3.0, resulting in 7838 coding genes, of which 1458 are annotated with an E.C. number. We explored how many genes are shared among all strains and used strain 512 as a reference to identify unique enzyme coding genes and the proportion of shared genes to other strains (Figure 4A). An overwhelming number of genes is shared among all strains (‘all strains’ in Figure 4A). Strain 512 has a number of unique enzyme-coding genes that are more likely shared with other strains because genes with more selective distributions (shared among three strains to one other strain) are becoming less frequent (see also </w:t>
      </w:r>
      <w:bookmarkStart w:name="OLE_LINK11" w:id="1"/>
      <w:r w:rsidRPr="00442C50">
        <w:t>Ullmann et a</w:t>
      </w:r>
      <w:bookmarkEnd w:id="1"/>
      <w:r w:rsidRPr="00442C50">
        <w:t>l.</w:t>
      </w:r>
      <w:r w:rsidRPr="00442C50" w:rsidR="006771FB">
        <w:t xml:space="preserve"> [18]</w:t>
      </w:r>
      <w:r w:rsidRPr="00442C50">
        <w:t xml:space="preserve">, 2022). We then evaluated how the genetic composition of iUma22 differed with respect to the </w:t>
      </w:r>
      <w:r w:rsidRPr="00442C50">
        <w:rPr>
          <w:i/>
          <w:iCs/>
        </w:rPr>
        <w:t>U. maydis</w:t>
      </w:r>
      <w:r w:rsidRPr="00442C50">
        <w:t xml:space="preserve"> pangenome of E.C.-annotated genes (Figure 4B). Table 4 shows the top five pathways with the most enzyme annotations for iUma22-unique genes, shared genes, and pangenome-unique genes with E.C. numbers. The majority of iUma22-unique genes belong to oxidative phosphorylation, and the unique genes in the strain pangenome belong to diverse central carbon metabolic pathways (Table 4). Particularly noteworthy is the inositol phosphate pathway (Figure 4C), not only because of the highest number of pangenome unique metabolic capacity but also because inositol was a growth-supporting substrate of the BIOLOG, which was manually added to the model.</w:t>
      </w:r>
    </w:p>
    <w:p w:rsidRPr="00442C50" w:rsidR="00D12DE6" w:rsidRDefault="00D12DE6" w14:paraId="2AB23538" w14:textId="77777777">
      <w:pPr>
        <w:spacing w:line="240" w:lineRule="auto"/>
        <w:jc w:val="left"/>
        <w:rPr>
          <w:rFonts w:eastAsia="Times New Roman" w:cs="Cordia New"/>
          <w:b/>
          <w:bCs/>
          <w:noProof w:val="0"/>
          <w:sz w:val="18"/>
          <w:szCs w:val="22"/>
          <w:lang w:eastAsia="de-DE" w:bidi="en-US"/>
        </w:rPr>
      </w:pPr>
      <w:r w:rsidRPr="00442C50">
        <w:rPr>
          <w:b/>
          <w:bCs/>
        </w:rPr>
        <w:br w:type="page"/>
      </w:r>
    </w:p>
    <w:p w:rsidRPr="00442C50" w:rsidR="00325A48" w:rsidP="00D12DE6" w:rsidRDefault="00D12DE6" w14:paraId="56453F58" w14:textId="16D06317">
      <w:pPr>
        <w:pStyle w:val="MDPI41tablecaption"/>
      </w:pPr>
      <w:r w:rsidRPr="00442C50">
        <w:rPr>
          <w:b/>
          <w:bCs/>
        </w:rPr>
        <w:lastRenderedPageBreak/>
        <w:t xml:space="preserve">Table 4. </w:t>
      </w:r>
      <w:r w:rsidRPr="00442C50" w:rsidR="00325A48">
        <w:t xml:space="preserve">Top five metabolic pathways with the highest number of missing genes in iUma22 compared to the strain </w:t>
      </w:r>
      <w:r w:rsidRPr="00442C50" w:rsidR="00BE626F">
        <w:t>p</w:t>
      </w:r>
      <w:r w:rsidRPr="00442C50" w:rsidR="00325A48">
        <w:t>angenome. The annotation is based on KAAS</w:t>
      </w:r>
      <w:r w:rsidRPr="00442C50" w:rsidR="00BE626F">
        <w:t>,</w:t>
      </w:r>
      <w:r w:rsidRPr="00442C50" w:rsidR="00325A48">
        <w:t xml:space="preserve"> considering only KEGG pathways (KAAS outputs for iUma22-</w:t>
      </w:r>
      <w:r w:rsidRPr="00442C50" w:rsidR="00BE626F">
        <w:t>u</w:t>
      </w:r>
      <w:r w:rsidRPr="00442C50" w:rsidR="00325A48">
        <w:t xml:space="preserve">nique, </w:t>
      </w:r>
      <w:r w:rsidRPr="00442C50" w:rsidR="00BE626F">
        <w:t>-s</w:t>
      </w:r>
      <w:r w:rsidRPr="00442C50" w:rsidR="00325A48">
        <w:t>hared</w:t>
      </w:r>
      <w:r w:rsidRPr="00442C50" w:rsidR="00BE626F">
        <w:t>,</w:t>
      </w:r>
      <w:r w:rsidRPr="00442C50" w:rsidR="00325A48">
        <w:t xml:space="preserve"> and </w:t>
      </w:r>
      <w:r w:rsidRPr="00442C50" w:rsidR="00BE626F">
        <w:t>p</w:t>
      </w:r>
      <w:r w:rsidRPr="00442C50" w:rsidR="00325A48">
        <w:t>an</w:t>
      </w:r>
      <w:r w:rsidRPr="00442C50" w:rsidR="00BE626F">
        <w:t>genome</w:t>
      </w:r>
      <w:r w:rsidRPr="00442C50" w:rsidR="00325A48">
        <w:t>-</w:t>
      </w:r>
      <w:r w:rsidRPr="00442C50" w:rsidR="00BE626F">
        <w:t>u</w:t>
      </w:r>
      <w:r w:rsidRPr="00442C50" w:rsidR="00325A48">
        <w:t xml:space="preserve">nique provided as </w:t>
      </w:r>
      <w:r w:rsidRPr="00442C50" w:rsidR="00CA32D8">
        <w:t>Supplementary Materials</w:t>
      </w:r>
      <w:r w:rsidRPr="00442C50" w:rsidR="00325A48">
        <w:t>).</w:t>
      </w:r>
    </w:p>
    <w:tbl>
      <w:tblPr>
        <w:tblW w:w="7857" w:type="dxa"/>
        <w:tblInd w:w="2608" w:type="dxa"/>
        <w:tblBorders>
          <w:top w:val="single" w:color="auto" w:sz="8" w:space="0"/>
          <w:bottom w:val="single" w:color="auto" w:sz="8" w:space="0"/>
        </w:tblBorders>
        <w:tblLayout w:type="fixed"/>
        <w:tblCellMar>
          <w:left w:w="0" w:type="dxa"/>
          <w:right w:w="0" w:type="dxa"/>
        </w:tblCellMar>
        <w:tblLook w:val="04A0" w:firstRow="1" w:lastRow="0" w:firstColumn="1" w:lastColumn="0" w:noHBand="0" w:noVBand="1"/>
      </w:tblPr>
      <w:tblGrid>
        <w:gridCol w:w="2664"/>
        <w:gridCol w:w="2664"/>
        <w:gridCol w:w="2529"/>
      </w:tblGrid>
      <w:tr w:rsidRPr="00442C50" w:rsidR="00325A48" w:rsidTr="69A3F416" w14:paraId="7E574919" w14:textId="77777777">
        <w:tc>
          <w:tcPr>
            <w:tcW w:w="2664" w:type="dxa"/>
            <w:tcBorders>
              <w:top w:val="single" w:color="auto" w:sz="8" w:space="0"/>
              <w:bottom w:val="single" w:color="auto" w:sz="4" w:space="0"/>
            </w:tcBorders>
            <w:shd w:val="clear" w:color="auto" w:fill="auto"/>
            <w:vAlign w:val="center"/>
          </w:tcPr>
          <w:p w:rsidRPr="00442C50" w:rsidR="00325A48" w:rsidP="00D12DE6" w:rsidRDefault="00325A48" w14:paraId="399BE8EA" w14:textId="77777777">
            <w:pPr>
              <w:pStyle w:val="MDPI42tablebody"/>
              <w:autoSpaceDE w:val="0"/>
              <w:autoSpaceDN w:val="0"/>
              <w:spacing w:line="240" w:lineRule="auto"/>
              <w:rPr>
                <w:b/>
                <w:bCs/>
                <w:color w:val="000000" w:themeColor="text1"/>
                <w:szCs w:val="18"/>
              </w:rPr>
            </w:pPr>
            <w:r w:rsidRPr="00442C50">
              <w:rPr>
                <w:b/>
                <w:bCs/>
                <w:color w:val="000000" w:themeColor="text1"/>
                <w:szCs w:val="18"/>
              </w:rPr>
              <w:t>iUma22-Unique</w:t>
            </w:r>
          </w:p>
        </w:tc>
        <w:tc>
          <w:tcPr>
            <w:tcW w:w="2664" w:type="dxa"/>
            <w:tcBorders>
              <w:top w:val="single" w:color="auto" w:sz="8" w:space="0"/>
              <w:bottom w:val="single" w:color="auto" w:sz="4" w:space="0"/>
            </w:tcBorders>
            <w:shd w:val="clear" w:color="auto" w:fill="auto"/>
            <w:vAlign w:val="center"/>
          </w:tcPr>
          <w:p w:rsidRPr="00442C50" w:rsidR="00325A48" w:rsidP="00D12DE6" w:rsidRDefault="00325A48" w14:paraId="2D431999" w14:textId="77777777">
            <w:pPr>
              <w:pStyle w:val="MDPI42tablebody"/>
              <w:autoSpaceDE w:val="0"/>
              <w:autoSpaceDN w:val="0"/>
              <w:spacing w:line="240" w:lineRule="auto"/>
              <w:rPr>
                <w:b/>
                <w:bCs/>
                <w:color w:val="000000" w:themeColor="text1"/>
                <w:szCs w:val="18"/>
              </w:rPr>
            </w:pPr>
            <w:r w:rsidRPr="00442C50">
              <w:rPr>
                <w:b/>
                <w:bCs/>
                <w:color w:val="000000" w:themeColor="text1"/>
                <w:szCs w:val="18"/>
              </w:rPr>
              <w:t>Shared</w:t>
            </w:r>
          </w:p>
        </w:tc>
        <w:tc>
          <w:tcPr>
            <w:tcW w:w="2529" w:type="dxa"/>
            <w:tcBorders>
              <w:top w:val="single" w:color="auto" w:sz="8" w:space="0"/>
              <w:bottom w:val="single" w:color="auto" w:sz="4" w:space="0"/>
            </w:tcBorders>
            <w:shd w:val="clear" w:color="auto" w:fill="auto"/>
            <w:vAlign w:val="center"/>
          </w:tcPr>
          <w:p w:rsidRPr="00442C50" w:rsidR="00325A48" w:rsidP="00D12DE6" w:rsidRDefault="00325A48" w14:paraId="0239CC17" w14:textId="77777777">
            <w:pPr>
              <w:pStyle w:val="MDPI42tablebody"/>
              <w:autoSpaceDE w:val="0"/>
              <w:autoSpaceDN w:val="0"/>
              <w:spacing w:line="240" w:lineRule="auto"/>
              <w:rPr>
                <w:b/>
                <w:bCs/>
                <w:color w:val="000000" w:themeColor="text1"/>
                <w:szCs w:val="18"/>
              </w:rPr>
            </w:pPr>
            <w:r w:rsidRPr="00442C50">
              <w:rPr>
                <w:b/>
                <w:bCs/>
                <w:szCs w:val="18"/>
              </w:rPr>
              <w:t>Pan-Unique</w:t>
            </w:r>
          </w:p>
        </w:tc>
      </w:tr>
      <w:tr w:rsidRPr="00442C50" w:rsidR="00325A48" w:rsidTr="69A3F416" w14:paraId="3F9337B1" w14:textId="77777777">
        <w:tc>
          <w:tcPr>
            <w:tcW w:w="2664" w:type="dxa"/>
            <w:shd w:val="clear" w:color="auto" w:fill="auto"/>
            <w:vAlign w:val="center"/>
          </w:tcPr>
          <w:p w:rsidRPr="00442C50" w:rsidR="00325A48" w:rsidP="00D12DE6" w:rsidRDefault="00325A48" w14:paraId="759C2D81" w14:textId="77777777">
            <w:pPr>
              <w:pStyle w:val="MDPI42tablebody"/>
              <w:autoSpaceDE w:val="0"/>
              <w:autoSpaceDN w:val="0"/>
              <w:spacing w:line="240" w:lineRule="auto"/>
              <w:rPr>
                <w:color w:val="000000" w:themeColor="text1"/>
                <w:szCs w:val="18"/>
              </w:rPr>
            </w:pPr>
            <w:r w:rsidRPr="00442C50">
              <w:rPr>
                <w:color w:val="000000" w:themeColor="text1"/>
                <w:szCs w:val="18"/>
              </w:rPr>
              <w:t>Oxidative phosphor. (42)</w:t>
            </w:r>
          </w:p>
        </w:tc>
        <w:tc>
          <w:tcPr>
            <w:tcW w:w="2664" w:type="dxa"/>
            <w:shd w:val="clear" w:color="auto" w:fill="auto"/>
            <w:vAlign w:val="center"/>
          </w:tcPr>
          <w:p w:rsidRPr="00442C50" w:rsidR="00325A48" w:rsidP="00D12DE6" w:rsidRDefault="00325A48" w14:paraId="038AB483" w14:textId="77777777">
            <w:pPr>
              <w:pStyle w:val="MDPI42tablebody"/>
              <w:autoSpaceDE w:val="0"/>
              <w:autoSpaceDN w:val="0"/>
              <w:spacing w:line="240" w:lineRule="auto"/>
              <w:rPr>
                <w:color w:val="000000" w:themeColor="text1"/>
                <w:szCs w:val="18"/>
              </w:rPr>
            </w:pPr>
            <w:r w:rsidRPr="00442C50">
              <w:rPr>
                <w:color w:val="000000" w:themeColor="text1"/>
                <w:szCs w:val="18"/>
              </w:rPr>
              <w:t>Purine (29)</w:t>
            </w:r>
          </w:p>
        </w:tc>
        <w:tc>
          <w:tcPr>
            <w:tcW w:w="2529" w:type="dxa"/>
            <w:shd w:val="clear" w:color="auto" w:fill="auto"/>
            <w:vAlign w:val="center"/>
          </w:tcPr>
          <w:p w:rsidRPr="00442C50" w:rsidR="00325A48" w:rsidP="00D12DE6" w:rsidRDefault="00325A48" w14:paraId="7B3BC8CC" w14:textId="77777777">
            <w:pPr>
              <w:pStyle w:val="MDPI42tablebody"/>
              <w:autoSpaceDE w:val="0"/>
              <w:autoSpaceDN w:val="0"/>
              <w:spacing w:line="240" w:lineRule="auto"/>
              <w:rPr>
                <w:color w:val="000000" w:themeColor="text1"/>
                <w:szCs w:val="18"/>
              </w:rPr>
            </w:pPr>
            <w:r w:rsidRPr="00442C50">
              <w:rPr>
                <w:szCs w:val="18"/>
              </w:rPr>
              <w:t>Inositol phosphate (20)</w:t>
            </w:r>
          </w:p>
        </w:tc>
      </w:tr>
      <w:tr w:rsidRPr="00442C50" w:rsidR="00325A48" w:rsidTr="69A3F416" w14:paraId="4DFFA82B" w14:textId="77777777">
        <w:tc>
          <w:tcPr>
            <w:tcW w:w="2664" w:type="dxa"/>
            <w:shd w:val="clear" w:color="auto" w:fill="auto"/>
            <w:vAlign w:val="center"/>
          </w:tcPr>
          <w:p w:rsidRPr="00442C50" w:rsidR="00325A48" w:rsidP="00D12DE6" w:rsidRDefault="00325A48" w14:paraId="0DCC4544" w14:textId="77777777">
            <w:pPr>
              <w:pStyle w:val="MDPI42tablebody"/>
              <w:autoSpaceDE w:val="0"/>
              <w:autoSpaceDN w:val="0"/>
              <w:spacing w:line="240" w:lineRule="auto"/>
              <w:rPr>
                <w:color w:val="000000" w:themeColor="text1"/>
                <w:szCs w:val="18"/>
              </w:rPr>
            </w:pPr>
            <w:r w:rsidRPr="00442C50">
              <w:rPr>
                <w:color w:val="000000" w:themeColor="text1"/>
                <w:szCs w:val="18"/>
              </w:rPr>
              <w:t>TCA cycle (2)</w:t>
            </w:r>
          </w:p>
        </w:tc>
        <w:tc>
          <w:tcPr>
            <w:tcW w:w="2664" w:type="dxa"/>
            <w:shd w:val="clear" w:color="auto" w:fill="auto"/>
            <w:vAlign w:val="center"/>
          </w:tcPr>
          <w:p w:rsidRPr="00442C50" w:rsidR="00325A48" w:rsidP="00D12DE6" w:rsidRDefault="00325A48" w14:paraId="7089EB83" w14:textId="77777777">
            <w:pPr>
              <w:pStyle w:val="MDPI42tablebody"/>
              <w:autoSpaceDE w:val="0"/>
              <w:autoSpaceDN w:val="0"/>
              <w:spacing w:line="240" w:lineRule="auto"/>
              <w:rPr>
                <w:color w:val="000000" w:themeColor="text1"/>
                <w:szCs w:val="18"/>
              </w:rPr>
            </w:pPr>
            <w:r w:rsidRPr="00442C50">
              <w:rPr>
                <w:color w:val="000000" w:themeColor="text1"/>
                <w:szCs w:val="18"/>
              </w:rPr>
              <w:t>Pyruvate metabolism (27)</w:t>
            </w:r>
          </w:p>
        </w:tc>
        <w:tc>
          <w:tcPr>
            <w:tcW w:w="2529" w:type="dxa"/>
            <w:shd w:val="clear" w:color="auto" w:fill="auto"/>
            <w:vAlign w:val="center"/>
          </w:tcPr>
          <w:p w:rsidRPr="00442C50" w:rsidR="00325A48" w:rsidP="00D12DE6" w:rsidRDefault="00325A48" w14:paraId="761CE810" w14:textId="77777777">
            <w:pPr>
              <w:pStyle w:val="MDPI42tablebody"/>
              <w:autoSpaceDE w:val="0"/>
              <w:autoSpaceDN w:val="0"/>
              <w:spacing w:line="240" w:lineRule="auto"/>
              <w:rPr>
                <w:color w:val="000000" w:themeColor="text1"/>
                <w:szCs w:val="18"/>
              </w:rPr>
            </w:pPr>
            <w:r w:rsidRPr="00442C50">
              <w:rPr>
                <w:szCs w:val="18"/>
              </w:rPr>
              <w:t>Purine (12)</w:t>
            </w:r>
          </w:p>
        </w:tc>
      </w:tr>
      <w:tr w:rsidRPr="00442C50" w:rsidR="00325A48" w:rsidTr="69A3F416" w14:paraId="4DDFAD62" w14:textId="77777777">
        <w:tc>
          <w:tcPr>
            <w:tcW w:w="2664" w:type="dxa"/>
            <w:shd w:val="clear" w:color="auto" w:fill="auto"/>
            <w:vAlign w:val="center"/>
          </w:tcPr>
          <w:p w:rsidRPr="00442C50" w:rsidR="00325A48" w:rsidP="00D12DE6" w:rsidRDefault="00325A48" w14:paraId="63E36B49" w14:textId="77777777">
            <w:pPr>
              <w:pStyle w:val="MDPI42tablebody"/>
              <w:autoSpaceDE w:val="0"/>
              <w:autoSpaceDN w:val="0"/>
              <w:spacing w:line="240" w:lineRule="auto"/>
              <w:rPr>
                <w:color w:val="000000" w:themeColor="text1"/>
                <w:szCs w:val="18"/>
              </w:rPr>
            </w:pPr>
            <w:r w:rsidRPr="00442C50">
              <w:rPr>
                <w:color w:val="000000" w:themeColor="text1"/>
                <w:szCs w:val="18"/>
              </w:rPr>
              <w:t>C5-branched metabolism (1)</w:t>
            </w:r>
          </w:p>
        </w:tc>
        <w:tc>
          <w:tcPr>
            <w:tcW w:w="2664" w:type="dxa"/>
            <w:shd w:val="clear" w:color="auto" w:fill="auto"/>
            <w:vAlign w:val="center"/>
          </w:tcPr>
          <w:p w:rsidRPr="00442C50" w:rsidR="00325A48" w:rsidP="00D12DE6" w:rsidRDefault="00325A48" w14:paraId="2697BE6A" w14:textId="77777777">
            <w:pPr>
              <w:pStyle w:val="MDPI42tablebody"/>
              <w:autoSpaceDE w:val="0"/>
              <w:autoSpaceDN w:val="0"/>
              <w:spacing w:line="240" w:lineRule="auto"/>
              <w:rPr>
                <w:color w:val="000000" w:themeColor="text1"/>
                <w:szCs w:val="18"/>
              </w:rPr>
            </w:pPr>
            <w:r w:rsidRPr="00442C50">
              <w:rPr>
                <w:color w:val="000000" w:themeColor="text1"/>
                <w:szCs w:val="18"/>
              </w:rPr>
              <w:t>Glycolysis (25)</w:t>
            </w:r>
          </w:p>
        </w:tc>
        <w:tc>
          <w:tcPr>
            <w:tcW w:w="2529" w:type="dxa"/>
            <w:shd w:val="clear" w:color="auto" w:fill="auto"/>
            <w:vAlign w:val="center"/>
          </w:tcPr>
          <w:p w:rsidRPr="00442C50" w:rsidR="00325A48" w:rsidP="00D12DE6" w:rsidRDefault="00325A48" w14:paraId="2670BBC1" w14:textId="77777777">
            <w:pPr>
              <w:pStyle w:val="MDPI42tablebody"/>
              <w:autoSpaceDE w:val="0"/>
              <w:autoSpaceDN w:val="0"/>
              <w:spacing w:line="240" w:lineRule="auto"/>
              <w:rPr>
                <w:color w:val="000000" w:themeColor="text1"/>
                <w:szCs w:val="18"/>
              </w:rPr>
            </w:pPr>
            <w:r w:rsidRPr="00442C50">
              <w:rPr>
                <w:szCs w:val="18"/>
              </w:rPr>
              <w:t xml:space="preserve">N-Glycan </w:t>
            </w:r>
            <w:proofErr w:type="spellStart"/>
            <w:r w:rsidRPr="00442C50">
              <w:rPr>
                <w:szCs w:val="18"/>
              </w:rPr>
              <w:t>biosynth</w:t>
            </w:r>
            <w:proofErr w:type="spellEnd"/>
            <w:r w:rsidRPr="00442C50">
              <w:rPr>
                <w:szCs w:val="18"/>
              </w:rPr>
              <w:t>. (11)</w:t>
            </w:r>
          </w:p>
        </w:tc>
      </w:tr>
      <w:tr w:rsidRPr="00442C50" w:rsidR="00325A48" w:rsidTr="69A3F416" w14:paraId="10D03DA3" w14:textId="77777777">
        <w:tc>
          <w:tcPr>
            <w:tcW w:w="2664" w:type="dxa"/>
            <w:shd w:val="clear" w:color="auto" w:fill="auto"/>
            <w:vAlign w:val="center"/>
          </w:tcPr>
          <w:p w:rsidRPr="00442C50" w:rsidR="00325A48" w:rsidP="00D12DE6" w:rsidRDefault="00325A48" w14:paraId="190B7361" w14:textId="77777777">
            <w:pPr>
              <w:pStyle w:val="MDPI42tablebody"/>
              <w:autoSpaceDE w:val="0"/>
              <w:autoSpaceDN w:val="0"/>
              <w:spacing w:line="240" w:lineRule="auto"/>
              <w:rPr>
                <w:color w:val="000000" w:themeColor="text1"/>
                <w:szCs w:val="18"/>
              </w:rPr>
            </w:pPr>
            <w:r w:rsidRPr="00442C50">
              <w:rPr>
                <w:color w:val="000000" w:themeColor="text1"/>
                <w:szCs w:val="18"/>
              </w:rPr>
              <w:t>Nitrogen metabolism (1)</w:t>
            </w:r>
          </w:p>
        </w:tc>
        <w:tc>
          <w:tcPr>
            <w:tcW w:w="2664" w:type="dxa"/>
            <w:shd w:val="clear" w:color="auto" w:fill="auto"/>
            <w:vAlign w:val="center"/>
          </w:tcPr>
          <w:p w:rsidRPr="00442C50" w:rsidR="00325A48" w:rsidP="00D12DE6" w:rsidRDefault="00325A48" w14:paraId="6755FD7E" w14:textId="77777777">
            <w:pPr>
              <w:pStyle w:val="MDPI42tablebody"/>
              <w:autoSpaceDE w:val="0"/>
              <w:autoSpaceDN w:val="0"/>
              <w:spacing w:line="240" w:lineRule="auto"/>
              <w:rPr>
                <w:color w:val="000000" w:themeColor="text1"/>
                <w:szCs w:val="18"/>
              </w:rPr>
            </w:pPr>
            <w:proofErr w:type="spellStart"/>
            <w:r w:rsidRPr="00442C50">
              <w:rPr>
                <w:color w:val="000000" w:themeColor="text1"/>
                <w:szCs w:val="18"/>
              </w:rPr>
              <w:t>Gly</w:t>
            </w:r>
            <w:proofErr w:type="spellEnd"/>
            <w:r w:rsidRPr="00442C50">
              <w:rPr>
                <w:color w:val="000000" w:themeColor="text1"/>
                <w:szCs w:val="18"/>
              </w:rPr>
              <w:t xml:space="preserve">, Ser, </w:t>
            </w:r>
            <w:proofErr w:type="spellStart"/>
            <w:r w:rsidRPr="00442C50">
              <w:rPr>
                <w:color w:val="000000" w:themeColor="text1"/>
                <w:szCs w:val="18"/>
              </w:rPr>
              <w:t>Thr</w:t>
            </w:r>
            <w:proofErr w:type="spellEnd"/>
            <w:r w:rsidRPr="00442C50">
              <w:rPr>
                <w:color w:val="000000" w:themeColor="text1"/>
                <w:szCs w:val="18"/>
              </w:rPr>
              <w:t xml:space="preserve"> </w:t>
            </w:r>
            <w:proofErr w:type="spellStart"/>
            <w:r w:rsidRPr="00442C50">
              <w:rPr>
                <w:color w:val="000000" w:themeColor="text1"/>
                <w:szCs w:val="18"/>
              </w:rPr>
              <w:t>metab</w:t>
            </w:r>
            <w:proofErr w:type="spellEnd"/>
            <w:r w:rsidRPr="00442C50">
              <w:rPr>
                <w:color w:val="000000" w:themeColor="text1"/>
                <w:szCs w:val="18"/>
              </w:rPr>
              <w:t>. (24)</w:t>
            </w:r>
          </w:p>
        </w:tc>
        <w:tc>
          <w:tcPr>
            <w:tcW w:w="2529" w:type="dxa"/>
            <w:shd w:val="clear" w:color="auto" w:fill="auto"/>
            <w:vAlign w:val="center"/>
          </w:tcPr>
          <w:p w:rsidRPr="00442C50" w:rsidR="00325A48" w:rsidP="00D12DE6" w:rsidRDefault="00325A48" w14:paraId="68EABFE2" w14:textId="77777777">
            <w:pPr>
              <w:pStyle w:val="MDPI42tablebody"/>
              <w:autoSpaceDE w:val="0"/>
              <w:autoSpaceDN w:val="0"/>
              <w:spacing w:line="240" w:lineRule="auto"/>
              <w:rPr>
                <w:color w:val="000000" w:themeColor="text1"/>
                <w:szCs w:val="18"/>
              </w:rPr>
            </w:pPr>
            <w:r w:rsidRPr="00442C50">
              <w:rPr>
                <w:color w:val="000000" w:themeColor="text1"/>
                <w:szCs w:val="18"/>
              </w:rPr>
              <w:t xml:space="preserve">(GPI)-anchor </w:t>
            </w:r>
            <w:proofErr w:type="spellStart"/>
            <w:r w:rsidRPr="00442C50">
              <w:rPr>
                <w:color w:val="000000" w:themeColor="text1"/>
                <w:szCs w:val="18"/>
              </w:rPr>
              <w:t>biosynth</w:t>
            </w:r>
            <w:proofErr w:type="spellEnd"/>
            <w:r w:rsidRPr="00442C50">
              <w:rPr>
                <w:color w:val="000000" w:themeColor="text1"/>
                <w:szCs w:val="18"/>
              </w:rPr>
              <w:t>. (11)</w:t>
            </w:r>
          </w:p>
        </w:tc>
      </w:tr>
      <w:tr w:rsidRPr="00442C50" w:rsidR="00325A48" w:rsidTr="69A3F416" w14:paraId="0096C860" w14:textId="77777777">
        <w:tc>
          <w:tcPr>
            <w:tcW w:w="2664" w:type="dxa"/>
            <w:tcBorders>
              <w:bottom w:val="single" w:color="auto" w:sz="8" w:space="0"/>
            </w:tcBorders>
            <w:shd w:val="clear" w:color="auto" w:fill="auto"/>
            <w:vAlign w:val="center"/>
          </w:tcPr>
          <w:p w:rsidRPr="00442C50" w:rsidR="00325A48" w:rsidP="00D12DE6" w:rsidRDefault="00325A48" w14:paraId="1FD94559" w14:textId="77777777">
            <w:pPr>
              <w:pStyle w:val="MDPI42tablebody"/>
              <w:autoSpaceDE w:val="0"/>
              <w:autoSpaceDN w:val="0"/>
              <w:spacing w:line="240" w:lineRule="auto"/>
              <w:rPr>
                <w:color w:val="000000" w:themeColor="text1"/>
                <w:szCs w:val="18"/>
              </w:rPr>
            </w:pPr>
            <w:r w:rsidRPr="00442C50">
              <w:rPr>
                <w:color w:val="000000" w:themeColor="text1"/>
                <w:szCs w:val="18"/>
              </w:rPr>
              <w:t>Starch and sucrose (1)</w:t>
            </w:r>
          </w:p>
        </w:tc>
        <w:tc>
          <w:tcPr>
            <w:tcW w:w="2664" w:type="dxa"/>
            <w:tcBorders>
              <w:bottom w:val="single" w:color="auto" w:sz="8" w:space="0"/>
            </w:tcBorders>
            <w:shd w:val="clear" w:color="auto" w:fill="auto"/>
            <w:vAlign w:val="center"/>
          </w:tcPr>
          <w:p w:rsidRPr="00442C50" w:rsidR="00325A48" w:rsidP="00D12DE6" w:rsidRDefault="00325A48" w14:paraId="6D462479" w14:textId="77777777">
            <w:pPr>
              <w:pStyle w:val="MDPI42tablebody"/>
              <w:autoSpaceDE w:val="0"/>
              <w:autoSpaceDN w:val="0"/>
              <w:spacing w:line="240" w:lineRule="auto"/>
              <w:rPr>
                <w:color w:val="000000" w:themeColor="text1"/>
                <w:szCs w:val="18"/>
              </w:rPr>
            </w:pPr>
            <w:r w:rsidRPr="00442C50">
              <w:rPr>
                <w:color w:val="000000" w:themeColor="text1"/>
                <w:szCs w:val="18"/>
              </w:rPr>
              <w:t xml:space="preserve">Val, Leu, Iso </w:t>
            </w:r>
            <w:proofErr w:type="spellStart"/>
            <w:r w:rsidRPr="00442C50">
              <w:rPr>
                <w:color w:val="000000" w:themeColor="text1"/>
                <w:szCs w:val="18"/>
              </w:rPr>
              <w:t>metab</w:t>
            </w:r>
            <w:proofErr w:type="spellEnd"/>
            <w:r w:rsidRPr="00442C50">
              <w:rPr>
                <w:color w:val="000000" w:themeColor="text1"/>
                <w:szCs w:val="18"/>
              </w:rPr>
              <w:t>. (24)</w:t>
            </w:r>
          </w:p>
        </w:tc>
        <w:tc>
          <w:tcPr>
            <w:tcW w:w="2529" w:type="dxa"/>
            <w:tcBorders>
              <w:bottom w:val="single" w:color="auto" w:sz="8" w:space="0"/>
            </w:tcBorders>
            <w:shd w:val="clear" w:color="auto" w:fill="auto"/>
            <w:vAlign w:val="center"/>
          </w:tcPr>
          <w:p w:rsidRPr="00442C50" w:rsidR="00325A48" w:rsidP="00D12DE6" w:rsidRDefault="00325A48" w14:paraId="36F21830" w14:textId="77777777">
            <w:pPr>
              <w:pStyle w:val="MDPI42tablebody"/>
              <w:autoSpaceDE w:val="0"/>
              <w:autoSpaceDN w:val="0"/>
              <w:spacing w:line="240" w:lineRule="auto"/>
              <w:rPr>
                <w:color w:val="000000" w:themeColor="text1"/>
                <w:szCs w:val="18"/>
              </w:rPr>
            </w:pPr>
            <w:r w:rsidRPr="00442C50">
              <w:rPr>
                <w:color w:val="000000" w:themeColor="text1"/>
                <w:szCs w:val="18"/>
              </w:rPr>
              <w:t>Starch and sucrose (10)</w:t>
            </w:r>
          </w:p>
        </w:tc>
      </w:tr>
    </w:tbl>
    <w:p w:rsidRPr="00442C50" w:rsidR="00325A48" w:rsidP="69A3F416" w:rsidRDefault="004963B9" w14:paraId="7A0C6B2F" w14:textId="11A79502">
      <w:pPr>
        <w:pStyle w:val="MDPI52figure"/>
        <w:ind w:left="2608"/>
        <w:jc w:val="left"/>
        <w:rPr>
          <w:color w:val="000000" w:themeColor="text1"/>
        </w:rPr>
      </w:pPr>
      <w:r w:rsidRPr="00442C50">
        <w:rPr>
          <w:noProof/>
          <w:color w:val="000000" w:themeColor="text1"/>
        </w:rPr>
        <w:drawing>
          <wp:inline distT="0" distB="0" distL="0" distR="0" wp14:anchorId="650C2433" wp14:editId="452F9D5F">
            <wp:extent cx="5255526" cy="5567363"/>
            <wp:effectExtent l="0" t="0" r="2540" b="0"/>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a:blip r:embed="rId15"/>
                    <a:stretch>
                      <a:fillRect/>
                    </a:stretch>
                  </pic:blipFill>
                  <pic:spPr>
                    <a:xfrm>
                      <a:off x="0" y="0"/>
                      <a:ext cx="5264426" cy="5576792"/>
                    </a:xfrm>
                    <a:prstGeom prst="rect">
                      <a:avLst/>
                    </a:prstGeom>
                  </pic:spPr>
                </pic:pic>
              </a:graphicData>
            </a:graphic>
          </wp:inline>
        </w:drawing>
      </w:r>
    </w:p>
    <w:p w:rsidRPr="00442C50" w:rsidR="00D12DE6" w:rsidP="00D12DE6" w:rsidRDefault="69A3F416" w14:paraId="79E53F86" w14:textId="7001C545" w14:noSpellErr="1">
      <w:pPr>
        <w:pStyle w:val="MDPI51figurecaption"/>
      </w:pPr>
      <w:r w:rsidRPr="52FDC415" w:rsidR="52FDC415">
        <w:rPr>
          <w:b w:val="1"/>
          <w:bCs w:val="1"/>
        </w:rPr>
        <w:t xml:space="preserve">Figure </w:t>
      </w:r>
      <w:commentRangeStart w:id="2"/>
      <w:commentRangeStart w:id="3"/>
      <w:commentRangeStart w:id="4"/>
      <w:commentRangeStart w:id="1162058095"/>
      <w:r w:rsidRPr="52FDC415" w:rsidR="52FDC415">
        <w:rPr>
          <w:b w:val="1"/>
          <w:bCs w:val="1"/>
        </w:rPr>
        <w:t>4</w:t>
      </w:r>
      <w:commentRangeEnd w:id="2"/>
      <w:r>
        <w:rPr>
          <w:rStyle w:val="CommentReference"/>
        </w:rPr>
        <w:commentReference w:id="2"/>
      </w:r>
      <w:commentRangeEnd w:id="3"/>
      <w:r>
        <w:rPr>
          <w:rStyle w:val="CommentReference"/>
        </w:rPr>
        <w:commentReference w:id="3"/>
      </w:r>
      <w:commentRangeEnd w:id="4"/>
      <w:r>
        <w:rPr>
          <w:rStyle w:val="CommentReference"/>
        </w:rPr>
        <w:commentReference w:id="4"/>
      </w:r>
      <w:commentRangeEnd w:id="1162058095"/>
      <w:r>
        <w:rPr>
          <w:rStyle w:val="CommentReference"/>
        </w:rPr>
        <w:commentReference w:id="1162058095"/>
      </w:r>
      <w:r w:rsidRPr="52FDC415" w:rsidR="52FDC415">
        <w:rPr>
          <w:b w:val="1"/>
          <w:bCs w:val="1"/>
        </w:rPr>
        <w:t xml:space="preserve">. </w:t>
      </w:r>
      <w:r w:rsidR="52FDC415">
        <w:rPr/>
        <w:t xml:space="preserve">Comparison of enzymes in </w:t>
      </w:r>
      <w:r w:rsidRPr="52FDC415" w:rsidR="52FDC415">
        <w:rPr>
          <w:i w:val="1"/>
          <w:iCs w:val="1"/>
        </w:rPr>
        <w:t xml:space="preserve">U. maydis </w:t>
      </w:r>
      <w:r w:rsidR="52FDC415">
        <w:rPr/>
        <w:t>strain pangenome and iUma22. (</w:t>
      </w:r>
      <w:r w:rsidRPr="52FDC415" w:rsidR="52FDC415">
        <w:rPr>
          <w:b w:val="1"/>
          <w:bCs w:val="1"/>
        </w:rPr>
        <w:t>A</w:t>
      </w:r>
      <w:r w:rsidR="52FDC415">
        <w:rPr/>
        <w:t>) E.C.-annotated genes in strain 512 that are unique to 512 or shared with the other strains. (</w:t>
      </w:r>
      <w:r w:rsidRPr="52FDC415" w:rsidR="52FDC415">
        <w:rPr>
          <w:b w:val="1"/>
          <w:bCs w:val="1"/>
        </w:rPr>
        <w:t>B</w:t>
      </w:r>
      <w:r w:rsidR="52FDC415">
        <w:rPr/>
        <w:t>) Coverage of the genes in iUma22 of E.C.-annotated genes in the pangenome identified by KAAS. Table 4 show the top five pathways with the most association for iUma22-unique, pangenome-unique, and their intersection. (</w:t>
      </w:r>
      <w:r w:rsidRPr="52FDC415" w:rsidR="52FDC415">
        <w:rPr>
          <w:b w:val="1"/>
          <w:bCs w:val="1"/>
        </w:rPr>
        <w:t>C</w:t>
      </w:r>
      <w:r w:rsidR="52FDC415">
        <w:rPr/>
        <w:t>) The inositol phosphate metabolism contains 20 genes with the highest level of missing genes in iUma22 (Supplements).</w:t>
      </w:r>
    </w:p>
    <w:p w:rsidRPr="00442C50" w:rsidR="00325A48" w:rsidP="69A3F416" w:rsidRDefault="69A3F416" w14:paraId="1A52553F" w14:textId="154278C0">
      <w:pPr>
        <w:pStyle w:val="MDPI21heading1"/>
        <w:rPr>
          <w:i/>
          <w:iCs/>
          <w:color w:val="000000" w:themeColor="text1"/>
        </w:rPr>
      </w:pPr>
      <w:r w:rsidRPr="00442C50">
        <w:t>4. Conclusions</w:t>
      </w:r>
    </w:p>
    <w:p w:rsidRPr="00442C50" w:rsidR="00325A48" w:rsidP="00D12DE6" w:rsidRDefault="00325A48" w14:paraId="639D1026" w14:textId="238841BE">
      <w:pPr>
        <w:pStyle w:val="MDPI31text"/>
      </w:pPr>
      <w:r w:rsidRPr="00442C50">
        <w:lastRenderedPageBreak/>
        <w:t>Here, we present iUma22, a genome</w:t>
      </w:r>
      <w:r w:rsidRPr="00442C50" w:rsidR="00BE626F">
        <w:t>-</w:t>
      </w:r>
      <w:r w:rsidRPr="00442C50">
        <w:t xml:space="preserve">scale metabolic model of </w:t>
      </w:r>
      <w:r w:rsidRPr="00442C50">
        <w:rPr>
          <w:i/>
          <w:iCs/>
        </w:rPr>
        <w:t>U. maydis,</w:t>
      </w:r>
      <w:r w:rsidRPr="00442C50">
        <w:t xml:space="preserve"> which correctly simulates a large number of substrate phenotypes as well as glucose-based growth rates. The decrease </w:t>
      </w:r>
      <w:r w:rsidRPr="00442C50" w:rsidR="00BE626F">
        <w:t xml:space="preserve">in </w:t>
      </w:r>
      <w:r w:rsidRPr="00442C50">
        <w:t xml:space="preserve">glucose uptake at high concentrations indicates potential for biotechnological optimization. The model can be further used to identify </w:t>
      </w:r>
      <w:r w:rsidRPr="00442C50" w:rsidR="00BE626F">
        <w:t xml:space="preserve">the </w:t>
      </w:r>
      <w:r w:rsidRPr="00442C50">
        <w:t xml:space="preserve">biotechnological potential of metabolite overproduction and to optimize metabolic engineering strategies. It can also be used to study metabolic shifts in different life cycles of the fungus during plant infection. While the reconstruction was performed based on model strain 521, the genome sequencing of additional </w:t>
      </w:r>
      <w:r w:rsidRPr="00442C50">
        <w:rPr>
          <w:i/>
          <w:iCs/>
        </w:rPr>
        <w:t>U. maydis</w:t>
      </w:r>
      <w:r w:rsidRPr="00442C50">
        <w:t xml:space="preserve"> strains provided insight </w:t>
      </w:r>
      <w:r w:rsidRPr="00442C50" w:rsidR="00BE626F">
        <w:t>in</w:t>
      </w:r>
      <w:r w:rsidRPr="00442C50">
        <w:t xml:space="preserve">to additional metabolic pathways, which could be used to generate a </w:t>
      </w:r>
      <w:r w:rsidRPr="00442C50" w:rsidR="00890359">
        <w:t>pangenome</w:t>
      </w:r>
      <w:r w:rsidRPr="00442C50" w:rsidR="00815240">
        <w:t>-</w:t>
      </w:r>
      <w:r w:rsidRPr="00442C50">
        <w:t xml:space="preserve">scale metabolic model of </w:t>
      </w:r>
      <w:r w:rsidRPr="00442C50">
        <w:rPr>
          <w:i/>
          <w:iCs/>
        </w:rPr>
        <w:t>U. maydis</w:t>
      </w:r>
      <w:r w:rsidRPr="00442C50">
        <w:t>.</w:t>
      </w:r>
    </w:p>
    <w:p w:rsidRPr="00442C50" w:rsidR="00B34AB1" w:rsidP="00E4692B" w:rsidRDefault="69A3F416" w14:paraId="224C06D2" w14:textId="4F849FDE">
      <w:pPr>
        <w:pStyle w:val="MDPI62BackMatter"/>
        <w:spacing w:before="240"/>
        <w:rPr>
          <w:lang w:eastAsia="zh-CN"/>
        </w:rPr>
      </w:pPr>
      <w:r w:rsidRPr="00442C50">
        <w:rPr>
          <w:b/>
          <w:bCs/>
        </w:rPr>
        <w:t>Supplementary Materials:</w:t>
      </w:r>
      <w:r w:rsidRPr="00442C50">
        <w:t xml:space="preserve"> The following supporting information can be downloaded at: www.mdpi.com/xxx/s1. The supplementary material is available on the GitHub page: https://github.com/iAMB-RWTH-Aachen/Ustilago_maydis-GEM</w:t>
      </w:r>
      <w:r w:rsidRPr="00442C50">
        <w:rPr>
          <w:lang w:eastAsia="zh-CN"/>
        </w:rPr>
        <w:t xml:space="preserve">. </w:t>
      </w:r>
      <w:r w:rsidRPr="00442C50">
        <w:t xml:space="preserve">S1: Excel file for calculations of the </w:t>
      </w:r>
      <w:r w:rsidRPr="00442C50">
        <w:rPr>
          <w:i/>
          <w:iCs/>
        </w:rPr>
        <w:t>U. maydi</w:t>
      </w:r>
      <w:r w:rsidRPr="00442C50">
        <w:t>s elemental composition.</w:t>
      </w:r>
      <w:r w:rsidRPr="00442C50">
        <w:rPr>
          <w:lang w:eastAsia="zh-CN"/>
        </w:rPr>
        <w:t xml:space="preserve"> </w:t>
      </w:r>
      <w:r w:rsidRPr="00442C50">
        <w:t xml:space="preserve">S2: </w:t>
      </w:r>
      <w:proofErr w:type="spellStart"/>
      <w:r w:rsidRPr="00442C50">
        <w:t>Matlab</w:t>
      </w:r>
      <w:proofErr w:type="spellEnd"/>
      <w:r w:rsidRPr="00442C50">
        <w:t xml:space="preserve"> workspace file with variables and results of the optimization for the growth equation. S3: HTML output of full SBML quality scan with </w:t>
      </w:r>
      <w:proofErr w:type="spellStart"/>
      <w:r w:rsidRPr="00442C50">
        <w:t>Memote</w:t>
      </w:r>
      <w:proofErr w:type="spellEnd"/>
      <w:r w:rsidRPr="00442C50">
        <w:t xml:space="preserve">. S4: Zip file with FROG report. S5: Excel file with the results of BIOLOG phenotype arrays PM1. S6: Excel file with the results of BIOLOG phenotype arrays, PM2A. S7: PDF with BIOLOG substrate overview on plates PM1 and 2A. S8: Excel file with reactions added on the basis of the BIOLOG experiments. S9: Excel file with the growth experiments. S10: HTML output of KAAS for pathways unique to iUma22. S11: HTML output of KAAS for pathways shared among iUma22 and strain pan genome. S12: HTML output of KAAS for pathways unique to strain pan genome. </w:t>
      </w:r>
      <w:r w:rsidRPr="00442C50">
        <w:rPr>
          <w:color w:val="000000" w:themeColor="text1"/>
        </w:rPr>
        <w:t>S13: iUma22 genome-scale model SBML file.</w:t>
      </w:r>
    </w:p>
    <w:p w:rsidRPr="00442C50" w:rsidR="005A1CFA" w:rsidP="00B34AB1" w:rsidRDefault="00B34AB1" w14:paraId="5DDFFBCE" w14:textId="4F704C35">
      <w:pPr>
        <w:pStyle w:val="MDPI62BackMatter"/>
      </w:pPr>
      <w:r w:rsidRPr="00442C50">
        <w:rPr>
          <w:b/>
          <w:bCs/>
        </w:rPr>
        <w:t>Author Contribution</w:t>
      </w:r>
      <w:r w:rsidRPr="00442C50" w:rsidR="00325A48">
        <w:rPr>
          <w:b/>
          <w:bCs/>
        </w:rPr>
        <w:t>s:</w:t>
      </w:r>
      <w:r w:rsidRPr="00442C50" w:rsidR="00325A48">
        <w:rPr>
          <w:b/>
        </w:rPr>
        <w:t xml:space="preserve"> </w:t>
      </w:r>
      <w:r w:rsidRPr="00442C50" w:rsidR="005A1CFA">
        <w:t>Conceptualization, L.M.B., C.L., T.Z.</w:t>
      </w:r>
      <w:r w:rsidRPr="00442C50" w:rsidR="00815240">
        <w:t>,</w:t>
      </w:r>
      <w:r w:rsidRPr="00442C50" w:rsidR="005A1CFA">
        <w:t xml:space="preserve"> and U.W.L.; methodology, C.L. and U.W.L.; experiments L.U. and P.K.; </w:t>
      </w:r>
      <w:r w:rsidRPr="00442C50" w:rsidR="00890359">
        <w:t>pangenome</w:t>
      </w:r>
      <w:r w:rsidRPr="00442C50" w:rsidR="005A1CFA">
        <w:t xml:space="preserve"> construction D.W.; validation, U.W.L. and C.L.; resources, L.M.B.; data curation, U.W.L. and C.L.; writing—original draft preparation, U.W.L.; writing—review and editing, U.W.L.</w:t>
      </w:r>
      <w:r w:rsidRPr="00442C50" w:rsidR="00815240">
        <w:t xml:space="preserve"> and</w:t>
      </w:r>
      <w:r w:rsidRPr="00442C50" w:rsidR="005A1CFA">
        <w:t xml:space="preserve"> L.U.; visualization, U.W.L.; supervision, T.Z. and U.W.L.; project administration, L.M.B.; funding acquisition, L.M.B. All authors have read and agreed to the published version of the manuscript.</w:t>
      </w:r>
    </w:p>
    <w:p w:rsidRPr="00442C50" w:rsidR="00325A48" w:rsidP="00B34AB1" w:rsidRDefault="69A3F416" w14:paraId="3FC64BFF" w14:textId="39B8C734">
      <w:pPr>
        <w:pStyle w:val="MDPI62BackMatter"/>
      </w:pPr>
      <w:r w:rsidRPr="00442C50">
        <w:rPr>
          <w:b/>
          <w:bCs/>
        </w:rPr>
        <w:t>Funding:</w:t>
      </w:r>
      <w:r w:rsidRPr="00442C50">
        <w:t xml:space="preserve"> This research was funded by the Deutsche </w:t>
      </w:r>
      <w:proofErr w:type="spellStart"/>
      <w:r w:rsidRPr="00442C50">
        <w:t>Forschungsgemeinschaft</w:t>
      </w:r>
      <w:proofErr w:type="spellEnd"/>
      <w:r w:rsidRPr="00442C50">
        <w:t xml:space="preserve"> (DFG, German Research Foundation) under Germany’s Excellence Strategy within the Cluster of Excellence FSC 2186, “The Fuel Science Center”.</w:t>
      </w:r>
    </w:p>
    <w:p w:rsidRPr="00442C50" w:rsidR="00B34AB1" w:rsidP="00B34AB1" w:rsidRDefault="69A3F416" w14:paraId="6E90DD5E" w14:textId="6F9F3452">
      <w:pPr>
        <w:pStyle w:val="MDPI62BackMatter"/>
      </w:pPr>
      <w:r w:rsidRPr="00442C50">
        <w:rPr>
          <w:b/>
          <w:bCs/>
        </w:rPr>
        <w:t>Institutional Review Board Statement:</w:t>
      </w:r>
      <w:r w:rsidRPr="00442C50">
        <w:t xml:space="preserve"> Not applicable.</w:t>
      </w:r>
    </w:p>
    <w:p w:rsidRPr="00442C50" w:rsidR="00B34AB1" w:rsidP="00B34AB1" w:rsidRDefault="69A3F416" w14:paraId="3D8BE36E" w14:textId="3290E90C">
      <w:pPr>
        <w:pStyle w:val="MDPI62BackMatter"/>
      </w:pPr>
      <w:r w:rsidRPr="00442C50">
        <w:rPr>
          <w:b/>
          <w:bCs/>
        </w:rPr>
        <w:t>Informed Consent Statement:</w:t>
      </w:r>
      <w:r w:rsidRPr="00442C50">
        <w:t xml:space="preserve"> Not applicable.</w:t>
      </w:r>
    </w:p>
    <w:p w:rsidRPr="00442C50" w:rsidR="00325A48" w:rsidP="69A3F416" w:rsidRDefault="69A3F416" w14:paraId="355E3B79" w14:textId="1D28E5AA">
      <w:pPr>
        <w:pStyle w:val="MDPI62BackMatter"/>
        <w:rPr>
          <w:b/>
          <w:bCs/>
        </w:rPr>
      </w:pPr>
      <w:bookmarkStart w:name="_Hlk60054323" w:id="5"/>
      <w:r w:rsidRPr="00442C50">
        <w:rPr>
          <w:b/>
          <w:bCs/>
        </w:rPr>
        <w:t xml:space="preserve">Data Availability Statement: </w:t>
      </w:r>
      <w:r w:rsidRPr="00442C50">
        <w:t>The data and the model are available on GitHub: https://github.com/iAMB-RWTH-Aachen/Ustilago_maydis-GEM. (accessed on 18</w:t>
      </w:r>
      <w:r w:rsidRPr="00442C50" w:rsidR="004963B9">
        <w:t xml:space="preserve"> May </w:t>
      </w:r>
      <w:r w:rsidRPr="00442C50">
        <w:t>2022)</w:t>
      </w:r>
    </w:p>
    <w:bookmarkEnd w:id="5"/>
    <w:p w:rsidRPr="00442C50" w:rsidR="00325A48" w:rsidP="00B34AB1" w:rsidRDefault="69A3F416" w14:paraId="082394DC" w14:textId="28AEF258">
      <w:pPr>
        <w:pStyle w:val="MDPI62BackMatter"/>
      </w:pPr>
      <w:r w:rsidRPr="00442C50">
        <w:rPr>
          <w:b/>
          <w:bCs/>
        </w:rPr>
        <w:t>Acknowledgments:</w:t>
      </w:r>
      <w:r w:rsidRPr="00442C50">
        <w:t xml:space="preserve"> We appreciate the support of Jennifer </w:t>
      </w:r>
      <w:proofErr w:type="spellStart"/>
      <w:r w:rsidRPr="00442C50">
        <w:t>Scheuplein</w:t>
      </w:r>
      <w:proofErr w:type="spellEnd"/>
      <w:r w:rsidRPr="00442C50">
        <w:t xml:space="preserve"> and Brigida Fabry regarding pathway visualization and </w:t>
      </w:r>
      <w:bookmarkStart w:name="OLE_LINK10" w:id="6"/>
      <w:r w:rsidRPr="00442C50">
        <w:t>BIOLOG analysis</w:t>
      </w:r>
      <w:bookmarkEnd w:id="6"/>
      <w:r w:rsidRPr="00442C50">
        <w:t>; and Daniel Kaplan with the BIOLOG experiments.</w:t>
      </w:r>
    </w:p>
    <w:p w:rsidRPr="00442C50" w:rsidR="00325A48" w:rsidP="00B34AB1" w:rsidRDefault="00325A48" w14:paraId="581272FE" w14:textId="4F376756">
      <w:pPr>
        <w:pStyle w:val="MDPI62BackMatter"/>
      </w:pPr>
      <w:r w:rsidRPr="00442C50">
        <w:rPr>
          <w:b/>
        </w:rPr>
        <w:t xml:space="preserve">Conflicts of Interest: </w:t>
      </w:r>
      <w:r w:rsidRPr="00442C50">
        <w:t>The authors declare no conflict</w:t>
      </w:r>
      <w:r w:rsidRPr="00442C50" w:rsidR="002D2CC0">
        <w:t>s</w:t>
      </w:r>
      <w:r w:rsidRPr="00442C50">
        <w:t xml:space="preserve"> of interest. The funders had no role in the design of the study; in the collection, analyses, or interpretation of data; in the writing of the manuscript</w:t>
      </w:r>
      <w:r w:rsidRPr="00442C50" w:rsidR="002D2CC0">
        <w:t>;</w:t>
      </w:r>
      <w:r w:rsidRPr="00442C50">
        <w:t xml:space="preserve"> or in the decision to publish the results.</w:t>
      </w:r>
    </w:p>
    <w:p w:rsidRPr="00442C50" w:rsidR="00995292" w:rsidP="00995292" w:rsidRDefault="00995292" w14:paraId="5FFB0BAA" w14:textId="77777777">
      <w:pPr>
        <w:pStyle w:val="MDPI21heading1"/>
        <w:ind w:left="0"/>
      </w:pPr>
      <w:r w:rsidRPr="00442C50">
        <w:t>References</w:t>
      </w:r>
    </w:p>
    <w:p w:rsidRPr="00442C50" w:rsidR="00995292" w:rsidP="00995292" w:rsidRDefault="00995292" w14:paraId="3CFB5BBD" w14:textId="2CCAD2D1">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de León, V.C.; Martínez-Carrera, D.; Morales, P.; Sobal, M.; Gil-Muñoz, A.; Severiano-Pérez, P.; Leal-Lara, H. Productivity and flavor of diverse genotypes of Ustilago maydis “cuitlacoche” for human consumption. </w:t>
      </w:r>
      <w:r w:rsidRPr="00442C50">
        <w:rPr>
          <w:i/>
          <w:iCs/>
          <w:noProof w:val="0"/>
          <w:sz w:val="18"/>
          <w:szCs w:val="24"/>
        </w:rPr>
        <w:t>Fungal Biol.</w:t>
      </w:r>
      <w:r w:rsidRPr="00442C50">
        <w:rPr>
          <w:noProof w:val="0"/>
          <w:sz w:val="18"/>
          <w:szCs w:val="24"/>
        </w:rPr>
        <w:t xml:space="preserve"> </w:t>
      </w:r>
      <w:r w:rsidRPr="00442C50">
        <w:rPr>
          <w:b/>
          <w:bCs/>
          <w:noProof w:val="0"/>
          <w:sz w:val="18"/>
          <w:szCs w:val="24"/>
        </w:rPr>
        <w:t>2019</w:t>
      </w:r>
      <w:r w:rsidRPr="00442C50">
        <w:rPr>
          <w:bCs/>
          <w:noProof w:val="0"/>
          <w:sz w:val="18"/>
          <w:szCs w:val="24"/>
        </w:rPr>
        <w:t xml:space="preserve">, </w:t>
      </w:r>
      <w:r w:rsidRPr="00442C50">
        <w:rPr>
          <w:bCs/>
          <w:i/>
          <w:noProof w:val="0"/>
          <w:sz w:val="18"/>
          <w:szCs w:val="24"/>
        </w:rPr>
        <w:t>123</w:t>
      </w:r>
      <w:r w:rsidRPr="00442C50">
        <w:rPr>
          <w:bCs/>
          <w:noProof w:val="0"/>
          <w:sz w:val="18"/>
          <w:szCs w:val="24"/>
        </w:rPr>
        <w:t>, 481–488</w:t>
      </w:r>
      <w:r w:rsidRPr="00442C50">
        <w:rPr>
          <w:noProof w:val="0"/>
          <w:sz w:val="18"/>
          <w:szCs w:val="24"/>
        </w:rPr>
        <w:t>. https://doi.org/10.1016/J.FUNBIO.2019.04.003.</w:t>
      </w:r>
    </w:p>
    <w:p w:rsidRPr="00442C50" w:rsidR="00995292" w:rsidP="00995292" w:rsidRDefault="69A3F416" w14:paraId="11FB397B" w14:textId="77777777">
      <w:pPr>
        <w:pStyle w:val="ListParagraph"/>
        <w:numPr>
          <w:ilvl w:val="0"/>
          <w:numId w:val="26"/>
        </w:numPr>
        <w:adjustRightInd w:val="0"/>
        <w:snapToGrid w:val="0"/>
        <w:spacing w:line="228" w:lineRule="auto"/>
        <w:ind w:left="425" w:hanging="425" w:firstLineChars="0"/>
        <w:contextualSpacing/>
        <w:rPr>
          <w:noProof w:val="0"/>
          <w:sz w:val="18"/>
          <w:szCs w:val="18"/>
        </w:rPr>
      </w:pPr>
      <w:r w:rsidRPr="00442C50">
        <w:rPr>
          <w:noProof w:val="0"/>
          <w:sz w:val="18"/>
          <w:szCs w:val="18"/>
        </w:rPr>
        <w:t xml:space="preserve">Tehrani, H.H.; Becker, J.; Bator, I.; Saur, K.; Meyer, S.; Lóia, A.C.R.; Blank, L.M.; Wierckx, N. Integrated strain- and process design enable production of 220 g L-1 itaconic acid with Ustilago maydis. </w:t>
      </w:r>
      <w:r w:rsidRPr="00442C50">
        <w:rPr>
          <w:i/>
          <w:iCs/>
          <w:noProof w:val="0"/>
          <w:sz w:val="18"/>
          <w:szCs w:val="18"/>
        </w:rPr>
        <w:t>Biotechnol. Biofuels</w:t>
      </w:r>
      <w:r w:rsidRPr="00442C50">
        <w:rPr>
          <w:noProof w:val="0"/>
          <w:sz w:val="18"/>
          <w:szCs w:val="18"/>
        </w:rPr>
        <w:t xml:space="preserve"> </w:t>
      </w:r>
      <w:r w:rsidRPr="00442C50">
        <w:rPr>
          <w:b/>
          <w:bCs/>
          <w:noProof w:val="0"/>
          <w:sz w:val="18"/>
          <w:szCs w:val="18"/>
        </w:rPr>
        <w:t>2019</w:t>
      </w:r>
      <w:r w:rsidRPr="00442C50">
        <w:rPr>
          <w:noProof w:val="0"/>
          <w:sz w:val="18"/>
          <w:szCs w:val="18"/>
        </w:rPr>
        <w:t xml:space="preserve">, </w:t>
      </w:r>
      <w:r w:rsidRPr="00442C50">
        <w:rPr>
          <w:i/>
          <w:iCs/>
          <w:noProof w:val="0"/>
          <w:sz w:val="18"/>
          <w:szCs w:val="18"/>
        </w:rPr>
        <w:t>12</w:t>
      </w:r>
      <w:r w:rsidRPr="00442C50">
        <w:rPr>
          <w:noProof w:val="0"/>
          <w:sz w:val="18"/>
          <w:szCs w:val="18"/>
        </w:rPr>
        <w:t>, 263. https://doi.org/10.1186/S13068-019-1605-6/TABLES/1.</w:t>
      </w:r>
    </w:p>
    <w:p w:rsidRPr="00442C50" w:rsidR="00995292" w:rsidP="00995292" w:rsidRDefault="00995292" w14:paraId="6DD8D2A9"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Becker, J.; Tehrani, H.H.; Gauert, M.; Mampel, J.; Blank, L.M.; Wierckx, N. An Ustilago maydis chassis for itaconic acid production without by-products. </w:t>
      </w:r>
      <w:r w:rsidRPr="00442C50">
        <w:rPr>
          <w:i/>
          <w:iCs/>
          <w:noProof w:val="0"/>
          <w:sz w:val="18"/>
          <w:szCs w:val="24"/>
        </w:rPr>
        <w:t>Microb. Biotechnol.</w:t>
      </w:r>
      <w:r w:rsidRPr="00442C50">
        <w:rPr>
          <w:noProof w:val="0"/>
          <w:sz w:val="18"/>
          <w:szCs w:val="24"/>
        </w:rPr>
        <w:t xml:space="preserve"> </w:t>
      </w:r>
      <w:r w:rsidRPr="00442C50">
        <w:rPr>
          <w:b/>
          <w:bCs/>
          <w:noProof w:val="0"/>
          <w:sz w:val="18"/>
          <w:szCs w:val="24"/>
        </w:rPr>
        <w:t>2020</w:t>
      </w:r>
      <w:r w:rsidRPr="00442C50">
        <w:rPr>
          <w:bCs/>
          <w:noProof w:val="0"/>
          <w:sz w:val="18"/>
          <w:szCs w:val="24"/>
        </w:rPr>
        <w:t xml:space="preserve">, </w:t>
      </w:r>
      <w:r w:rsidRPr="00442C50">
        <w:rPr>
          <w:bCs/>
          <w:i/>
          <w:noProof w:val="0"/>
          <w:sz w:val="18"/>
          <w:szCs w:val="24"/>
        </w:rPr>
        <w:t>13</w:t>
      </w:r>
      <w:r w:rsidRPr="00442C50">
        <w:rPr>
          <w:bCs/>
          <w:noProof w:val="0"/>
          <w:sz w:val="18"/>
          <w:szCs w:val="24"/>
        </w:rPr>
        <w:t>, 350–362</w:t>
      </w:r>
      <w:r w:rsidRPr="00442C50">
        <w:rPr>
          <w:noProof w:val="0"/>
          <w:sz w:val="18"/>
          <w:szCs w:val="24"/>
        </w:rPr>
        <w:t>. https://doi.org/10.1111/1751-7915.13525.</w:t>
      </w:r>
    </w:p>
    <w:p w:rsidRPr="00442C50" w:rsidR="00995292" w:rsidP="00995292" w:rsidRDefault="00995292" w14:paraId="32169954"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Becker, J.; Tehrani, H.H.; Ernst, P.; Blank, L.M.; Wierckx, N. An Optimized Ustilago maydis for Itaconic Acid Production at Maximal Theoretical Yield. </w:t>
      </w:r>
      <w:r w:rsidRPr="00442C50">
        <w:rPr>
          <w:i/>
          <w:iCs/>
          <w:noProof w:val="0"/>
          <w:sz w:val="18"/>
          <w:szCs w:val="24"/>
        </w:rPr>
        <w:t xml:space="preserve">J. Fungi </w:t>
      </w:r>
      <w:r w:rsidRPr="00442C50">
        <w:rPr>
          <w:b/>
          <w:bCs/>
          <w:noProof w:val="0"/>
          <w:sz w:val="18"/>
          <w:szCs w:val="24"/>
        </w:rPr>
        <w:t>2020</w:t>
      </w:r>
      <w:r w:rsidRPr="00442C50">
        <w:rPr>
          <w:bCs/>
          <w:noProof w:val="0"/>
          <w:sz w:val="18"/>
          <w:szCs w:val="24"/>
        </w:rPr>
        <w:t xml:space="preserve">, </w:t>
      </w:r>
      <w:r w:rsidRPr="00442C50">
        <w:rPr>
          <w:bCs/>
          <w:i/>
          <w:noProof w:val="0"/>
          <w:sz w:val="18"/>
          <w:szCs w:val="24"/>
        </w:rPr>
        <w:t>7</w:t>
      </w:r>
      <w:r w:rsidRPr="00442C50">
        <w:rPr>
          <w:bCs/>
          <w:noProof w:val="0"/>
          <w:sz w:val="18"/>
          <w:szCs w:val="24"/>
        </w:rPr>
        <w:t>, 20</w:t>
      </w:r>
      <w:r w:rsidRPr="00442C50">
        <w:rPr>
          <w:noProof w:val="0"/>
          <w:sz w:val="18"/>
          <w:szCs w:val="24"/>
        </w:rPr>
        <w:t>. https://doi.org/10.3390/JOF7010020.</w:t>
      </w:r>
    </w:p>
    <w:p w:rsidRPr="00442C50" w:rsidR="00995292" w:rsidP="00995292" w:rsidRDefault="00995292" w14:paraId="2804EFC7"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Wege, S.-M.; Gejer, K.; Becker, F.; Bölker, M.; Freitag, J.; Sandrock, B. Versatile CRISPR/Cas9 Systems for Genome Editing in Ustilago maydis. </w:t>
      </w:r>
      <w:r w:rsidRPr="00442C50">
        <w:rPr>
          <w:i/>
          <w:iCs/>
          <w:noProof w:val="0"/>
          <w:sz w:val="18"/>
          <w:szCs w:val="24"/>
        </w:rPr>
        <w:t xml:space="preserve">J. Fungi </w:t>
      </w:r>
      <w:r w:rsidRPr="00442C50">
        <w:rPr>
          <w:b/>
          <w:bCs/>
          <w:noProof w:val="0"/>
          <w:sz w:val="18"/>
          <w:szCs w:val="24"/>
        </w:rPr>
        <w:t>2021</w:t>
      </w:r>
      <w:r w:rsidRPr="00442C50">
        <w:rPr>
          <w:bCs/>
          <w:noProof w:val="0"/>
          <w:sz w:val="18"/>
          <w:szCs w:val="24"/>
        </w:rPr>
        <w:t xml:space="preserve">, </w:t>
      </w:r>
      <w:r w:rsidRPr="00442C50">
        <w:rPr>
          <w:bCs/>
          <w:i/>
          <w:noProof w:val="0"/>
          <w:sz w:val="18"/>
          <w:szCs w:val="24"/>
        </w:rPr>
        <w:t>7</w:t>
      </w:r>
      <w:r w:rsidRPr="00442C50">
        <w:rPr>
          <w:bCs/>
          <w:noProof w:val="0"/>
          <w:sz w:val="18"/>
          <w:szCs w:val="24"/>
        </w:rPr>
        <w:t>, 149</w:t>
      </w:r>
      <w:r w:rsidRPr="00442C50">
        <w:rPr>
          <w:noProof w:val="0"/>
          <w:sz w:val="18"/>
          <w:szCs w:val="24"/>
        </w:rPr>
        <w:t>. https://doi.org/10.3390/JOF7020149.</w:t>
      </w:r>
    </w:p>
    <w:p w:rsidRPr="00442C50" w:rsidR="00995292" w:rsidP="00995292" w:rsidRDefault="00995292" w14:paraId="606F6AFA"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lang w:val="de-DE"/>
        </w:rPr>
        <w:lastRenderedPageBreak/>
        <w:t xml:space="preserve">Kämper, J.; Kahmann, R.; Bölker, M.; Ma, L.-J.; Brefort, T.; Saville, B.J.; Banuett, F.; Kronstad, J.W.; Gold, S.E.; Müller, O.; et al. </w:t>
      </w:r>
      <w:r w:rsidRPr="00442C50">
        <w:rPr>
          <w:noProof w:val="0"/>
          <w:sz w:val="18"/>
          <w:szCs w:val="24"/>
        </w:rPr>
        <w:t xml:space="preserve">Insights from the genome of the biotrophic fungal plant pathogen </w:t>
      </w:r>
      <w:r w:rsidRPr="00442C50">
        <w:rPr>
          <w:i/>
          <w:iCs/>
          <w:noProof w:val="0"/>
          <w:sz w:val="18"/>
          <w:szCs w:val="24"/>
        </w:rPr>
        <w:t>Ustilago maydis</w:t>
      </w:r>
      <w:r w:rsidRPr="00442C50">
        <w:rPr>
          <w:noProof w:val="0"/>
          <w:sz w:val="18"/>
          <w:szCs w:val="24"/>
        </w:rPr>
        <w:t xml:space="preserve">. </w:t>
      </w:r>
      <w:r w:rsidRPr="00442C50">
        <w:rPr>
          <w:i/>
          <w:iCs/>
          <w:noProof w:val="0"/>
          <w:sz w:val="18"/>
          <w:szCs w:val="24"/>
        </w:rPr>
        <w:t>Nature</w:t>
      </w:r>
      <w:r w:rsidRPr="00442C50">
        <w:rPr>
          <w:noProof w:val="0"/>
          <w:sz w:val="18"/>
          <w:szCs w:val="24"/>
        </w:rPr>
        <w:t xml:space="preserve"> </w:t>
      </w:r>
      <w:r w:rsidRPr="00442C50">
        <w:rPr>
          <w:b/>
          <w:bCs/>
          <w:noProof w:val="0"/>
          <w:sz w:val="18"/>
          <w:szCs w:val="24"/>
        </w:rPr>
        <w:t>2006</w:t>
      </w:r>
      <w:r w:rsidRPr="00442C50">
        <w:rPr>
          <w:bCs/>
          <w:noProof w:val="0"/>
          <w:sz w:val="18"/>
          <w:szCs w:val="24"/>
        </w:rPr>
        <w:t xml:space="preserve">, </w:t>
      </w:r>
      <w:r w:rsidRPr="00442C50">
        <w:rPr>
          <w:bCs/>
          <w:i/>
          <w:noProof w:val="0"/>
          <w:sz w:val="18"/>
          <w:szCs w:val="24"/>
        </w:rPr>
        <w:t>444</w:t>
      </w:r>
      <w:r w:rsidRPr="00442C50">
        <w:rPr>
          <w:bCs/>
          <w:noProof w:val="0"/>
          <w:sz w:val="18"/>
          <w:szCs w:val="24"/>
        </w:rPr>
        <w:t>, 97–101</w:t>
      </w:r>
      <w:r w:rsidRPr="00442C50">
        <w:rPr>
          <w:noProof w:val="0"/>
          <w:sz w:val="18"/>
          <w:szCs w:val="24"/>
        </w:rPr>
        <w:t>. https://doi.org/10.1038/nature05248.</w:t>
      </w:r>
    </w:p>
    <w:p w:rsidRPr="00442C50" w:rsidR="00995292" w:rsidP="00995292" w:rsidRDefault="69A3F416" w14:paraId="2D67CFD0" w14:textId="77777777">
      <w:pPr>
        <w:pStyle w:val="ListParagraph"/>
        <w:numPr>
          <w:ilvl w:val="0"/>
          <w:numId w:val="26"/>
        </w:numPr>
        <w:adjustRightInd w:val="0"/>
        <w:snapToGrid w:val="0"/>
        <w:spacing w:line="228" w:lineRule="auto"/>
        <w:ind w:left="425" w:hanging="425" w:firstLineChars="0"/>
        <w:contextualSpacing/>
        <w:rPr>
          <w:noProof w:val="0"/>
          <w:sz w:val="18"/>
          <w:szCs w:val="18"/>
        </w:rPr>
      </w:pPr>
      <w:r w:rsidRPr="00442C50">
        <w:rPr>
          <w:noProof w:val="0"/>
          <w:sz w:val="18"/>
          <w:szCs w:val="18"/>
        </w:rPr>
        <w:t xml:space="preserve">Fang, X.; Lloyd, C.J.; Palsson, B.O. Reconstructing organisms in silico: Genome-scale models and their emerging applications. </w:t>
      </w:r>
      <w:r w:rsidRPr="00442C50">
        <w:rPr>
          <w:i/>
          <w:iCs/>
          <w:noProof w:val="0"/>
          <w:sz w:val="18"/>
          <w:szCs w:val="18"/>
        </w:rPr>
        <w:t>Nat. Rev. Microbiol.</w:t>
      </w:r>
      <w:r w:rsidRPr="00442C50">
        <w:rPr>
          <w:noProof w:val="0"/>
          <w:sz w:val="18"/>
          <w:szCs w:val="18"/>
        </w:rPr>
        <w:t xml:space="preserve"> </w:t>
      </w:r>
      <w:r w:rsidRPr="00442C50">
        <w:rPr>
          <w:b/>
          <w:bCs/>
          <w:noProof w:val="0"/>
          <w:sz w:val="18"/>
          <w:szCs w:val="18"/>
        </w:rPr>
        <w:t>2020</w:t>
      </w:r>
      <w:r w:rsidRPr="00442C50">
        <w:rPr>
          <w:noProof w:val="0"/>
          <w:sz w:val="18"/>
          <w:szCs w:val="18"/>
        </w:rPr>
        <w:t xml:space="preserve">, </w:t>
      </w:r>
      <w:r w:rsidRPr="00442C50">
        <w:rPr>
          <w:i/>
          <w:iCs/>
          <w:noProof w:val="0"/>
          <w:sz w:val="18"/>
          <w:szCs w:val="18"/>
        </w:rPr>
        <w:t>18</w:t>
      </w:r>
      <w:r w:rsidRPr="00442C50">
        <w:rPr>
          <w:noProof w:val="0"/>
          <w:sz w:val="18"/>
          <w:szCs w:val="18"/>
        </w:rPr>
        <w:t>, 731–743. https://doi.org/10.1038/s41579-020-00440-4.</w:t>
      </w:r>
    </w:p>
    <w:p w:rsidRPr="00442C50" w:rsidR="00995292" w:rsidP="00995292" w:rsidRDefault="00995292" w14:paraId="029C33FC" w14:textId="77777777">
      <w:pPr>
        <w:pStyle w:val="ListParagraph"/>
        <w:numPr>
          <w:ilvl w:val="0"/>
          <w:numId w:val="26"/>
        </w:numPr>
        <w:adjustRightInd w:val="0"/>
        <w:snapToGrid w:val="0"/>
        <w:spacing w:line="228" w:lineRule="auto"/>
        <w:ind w:left="425" w:hanging="425" w:firstLineChars="0"/>
        <w:contextualSpacing/>
        <w:rPr>
          <w:noProof w:val="0"/>
          <w:sz w:val="18"/>
          <w:szCs w:val="24"/>
          <w:lang w:val="de-DE"/>
        </w:rPr>
      </w:pPr>
      <w:r w:rsidRPr="00442C50">
        <w:rPr>
          <w:noProof w:val="0"/>
          <w:sz w:val="18"/>
          <w:szCs w:val="24"/>
        </w:rPr>
        <w:t>Liebal, U.W.; Blank, L.M.; Ebert, B.E. CO</w:t>
      </w:r>
      <w:r w:rsidRPr="00442C50">
        <w:rPr>
          <w:noProof w:val="0"/>
          <w:sz w:val="18"/>
          <w:szCs w:val="24"/>
          <w:vertAlign w:val="subscript"/>
        </w:rPr>
        <w:t>2</w:t>
      </w:r>
      <w:r w:rsidRPr="00442C50">
        <w:rPr>
          <w:noProof w:val="0"/>
          <w:sz w:val="18"/>
          <w:szCs w:val="24"/>
        </w:rPr>
        <w:t xml:space="preserve"> to succinic acid–Estimating the potential of biocatalytic routes. </w:t>
      </w:r>
      <w:r w:rsidRPr="00442C50">
        <w:rPr>
          <w:i/>
          <w:iCs/>
          <w:noProof w:val="0"/>
          <w:sz w:val="18"/>
          <w:szCs w:val="24"/>
          <w:lang w:val="de-DE"/>
        </w:rPr>
        <w:t>Metab. Eng. Commun.</w:t>
      </w:r>
      <w:r w:rsidRPr="00442C50">
        <w:rPr>
          <w:noProof w:val="0"/>
          <w:sz w:val="18"/>
          <w:szCs w:val="24"/>
          <w:lang w:val="de-DE"/>
        </w:rPr>
        <w:t xml:space="preserve"> </w:t>
      </w:r>
      <w:r w:rsidRPr="00442C50">
        <w:rPr>
          <w:b/>
          <w:bCs/>
          <w:noProof w:val="0"/>
          <w:sz w:val="18"/>
          <w:szCs w:val="24"/>
          <w:lang w:val="de-DE"/>
        </w:rPr>
        <w:t>2018</w:t>
      </w:r>
      <w:r w:rsidRPr="00442C50">
        <w:rPr>
          <w:bCs/>
          <w:noProof w:val="0"/>
          <w:sz w:val="18"/>
          <w:szCs w:val="24"/>
          <w:lang w:val="de-DE"/>
        </w:rPr>
        <w:t xml:space="preserve">, </w:t>
      </w:r>
      <w:r w:rsidRPr="00442C50">
        <w:rPr>
          <w:bCs/>
          <w:i/>
          <w:noProof w:val="0"/>
          <w:sz w:val="18"/>
          <w:szCs w:val="24"/>
          <w:lang w:val="de-DE"/>
        </w:rPr>
        <w:t>7</w:t>
      </w:r>
      <w:r w:rsidRPr="00442C50">
        <w:rPr>
          <w:bCs/>
          <w:noProof w:val="0"/>
          <w:sz w:val="18"/>
          <w:szCs w:val="24"/>
          <w:lang w:val="de-DE"/>
        </w:rPr>
        <w:t>, e00075</w:t>
      </w:r>
      <w:r w:rsidRPr="00442C50">
        <w:rPr>
          <w:noProof w:val="0"/>
          <w:sz w:val="18"/>
          <w:szCs w:val="24"/>
          <w:lang w:val="de-DE"/>
        </w:rPr>
        <w:t>. https://doi.org/10.1016/j.mec.2018.e00075.</w:t>
      </w:r>
    </w:p>
    <w:p w:rsidRPr="00442C50" w:rsidR="00995292" w:rsidP="00995292" w:rsidRDefault="00995292" w14:paraId="3D8300B8"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Chan, S.H.J.; Simons, M.N.; Maranas, C.D. SteadyCom: Predicting microbial abundances while ensuring community stability. </w:t>
      </w:r>
      <w:r w:rsidRPr="00442C50">
        <w:rPr>
          <w:i/>
          <w:iCs/>
          <w:noProof w:val="0"/>
          <w:sz w:val="18"/>
          <w:szCs w:val="24"/>
        </w:rPr>
        <w:t>PLoS Comput. Biol.</w:t>
      </w:r>
      <w:r w:rsidRPr="00442C50">
        <w:rPr>
          <w:noProof w:val="0"/>
          <w:sz w:val="18"/>
          <w:szCs w:val="24"/>
        </w:rPr>
        <w:t xml:space="preserve"> </w:t>
      </w:r>
      <w:r w:rsidRPr="00442C50">
        <w:rPr>
          <w:b/>
          <w:bCs/>
          <w:noProof w:val="0"/>
          <w:sz w:val="18"/>
          <w:szCs w:val="24"/>
        </w:rPr>
        <w:t>2017</w:t>
      </w:r>
      <w:r w:rsidRPr="00442C50">
        <w:rPr>
          <w:bCs/>
          <w:noProof w:val="0"/>
          <w:sz w:val="18"/>
          <w:szCs w:val="24"/>
        </w:rPr>
        <w:t xml:space="preserve">, </w:t>
      </w:r>
      <w:r w:rsidRPr="00442C50">
        <w:rPr>
          <w:bCs/>
          <w:i/>
          <w:noProof w:val="0"/>
          <w:sz w:val="18"/>
          <w:szCs w:val="24"/>
        </w:rPr>
        <w:t>13</w:t>
      </w:r>
      <w:r w:rsidRPr="00442C50">
        <w:rPr>
          <w:bCs/>
          <w:noProof w:val="0"/>
          <w:sz w:val="18"/>
          <w:szCs w:val="24"/>
        </w:rPr>
        <w:t>, e1005539</w:t>
      </w:r>
      <w:r w:rsidRPr="00442C50">
        <w:rPr>
          <w:noProof w:val="0"/>
          <w:sz w:val="18"/>
          <w:szCs w:val="24"/>
        </w:rPr>
        <w:t>. https://doi.org/10.1371/JOURNAL.PCBI.1005539.</w:t>
      </w:r>
    </w:p>
    <w:p w:rsidRPr="00442C50" w:rsidR="00995292" w:rsidP="00995292" w:rsidRDefault="00995292" w14:paraId="65BF7932"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Ravikrishnan, A.; Blank, L.M.; Srivastava, S.; Raman, K. Investigating metabolic interactions in a microbial co-culture through integrated modelling and experiments. </w:t>
      </w:r>
      <w:r w:rsidRPr="00442C50">
        <w:rPr>
          <w:i/>
          <w:iCs/>
          <w:noProof w:val="0"/>
          <w:sz w:val="18"/>
          <w:szCs w:val="24"/>
        </w:rPr>
        <w:t>Comput. Struct. Biotechnol. J.</w:t>
      </w:r>
      <w:r w:rsidRPr="00442C50">
        <w:rPr>
          <w:noProof w:val="0"/>
          <w:sz w:val="18"/>
          <w:szCs w:val="24"/>
        </w:rPr>
        <w:t xml:space="preserve"> </w:t>
      </w:r>
      <w:r w:rsidRPr="00442C50">
        <w:rPr>
          <w:b/>
          <w:bCs/>
          <w:noProof w:val="0"/>
          <w:sz w:val="18"/>
          <w:szCs w:val="24"/>
        </w:rPr>
        <w:t>2020</w:t>
      </w:r>
      <w:r w:rsidRPr="00442C50">
        <w:rPr>
          <w:bCs/>
          <w:noProof w:val="0"/>
          <w:sz w:val="18"/>
          <w:szCs w:val="24"/>
        </w:rPr>
        <w:t xml:space="preserve">, </w:t>
      </w:r>
      <w:r w:rsidRPr="00442C50">
        <w:rPr>
          <w:bCs/>
          <w:i/>
          <w:noProof w:val="0"/>
          <w:sz w:val="18"/>
          <w:szCs w:val="24"/>
        </w:rPr>
        <w:t>18</w:t>
      </w:r>
      <w:r w:rsidRPr="00442C50">
        <w:rPr>
          <w:bCs/>
          <w:noProof w:val="0"/>
          <w:sz w:val="18"/>
          <w:szCs w:val="24"/>
        </w:rPr>
        <w:t>, 1249–1258</w:t>
      </w:r>
      <w:r w:rsidRPr="00442C50">
        <w:rPr>
          <w:noProof w:val="0"/>
          <w:sz w:val="18"/>
          <w:szCs w:val="24"/>
        </w:rPr>
        <w:t>. https://doi.org/10.1016/J.CSBJ.2020.03.019.</w:t>
      </w:r>
    </w:p>
    <w:p w:rsidRPr="00442C50" w:rsidR="00995292" w:rsidP="00995292" w:rsidRDefault="00995292" w14:paraId="7D9968A6"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Sambamoorthy, G.; Raman, K. Deciphering the evolution of microbial interactions: In silico studies of two-member microbial communities. </w:t>
      </w:r>
      <w:r w:rsidRPr="00442C50">
        <w:rPr>
          <w:i/>
          <w:iCs/>
          <w:noProof w:val="0"/>
          <w:sz w:val="18"/>
          <w:szCs w:val="24"/>
        </w:rPr>
        <w:t>bioRxiv</w:t>
      </w:r>
      <w:r w:rsidRPr="00442C50">
        <w:rPr>
          <w:noProof w:val="0"/>
          <w:sz w:val="18"/>
          <w:szCs w:val="24"/>
        </w:rPr>
        <w:t xml:space="preserve"> </w:t>
      </w:r>
      <w:r w:rsidRPr="00442C50">
        <w:rPr>
          <w:b/>
          <w:bCs/>
          <w:noProof w:val="0"/>
          <w:sz w:val="18"/>
          <w:szCs w:val="24"/>
        </w:rPr>
        <w:t>2022</w:t>
      </w:r>
      <w:r w:rsidRPr="00442C50">
        <w:rPr>
          <w:noProof w:val="0"/>
          <w:sz w:val="18"/>
          <w:szCs w:val="24"/>
        </w:rPr>
        <w:t xml:space="preserve">, </w:t>
      </w:r>
      <w:r w:rsidRPr="00442C50">
        <w:rPr>
          <w:i/>
          <w:iCs/>
          <w:noProof w:val="0"/>
          <w:sz w:val="18"/>
          <w:szCs w:val="24"/>
        </w:rPr>
        <w:t>14</w:t>
      </w:r>
      <w:r w:rsidRPr="00442C50">
        <w:rPr>
          <w:noProof w:val="0"/>
          <w:sz w:val="18"/>
          <w:szCs w:val="24"/>
        </w:rPr>
        <w:t>, 476316. https://doi.org/10.1101/2022.01.14.476316.</w:t>
      </w:r>
    </w:p>
    <w:p w:rsidRPr="00442C50" w:rsidR="00995292" w:rsidP="00995292" w:rsidRDefault="00995292" w14:paraId="0150A151"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Tatusova, T.; Ciufo, S.; Fedorov, B.; O’Neill, K.; Tolstoy, I. RefSeq microbial genomes database: New representation and annotation strategy. </w:t>
      </w:r>
      <w:r w:rsidRPr="00442C50">
        <w:rPr>
          <w:i/>
          <w:iCs/>
          <w:noProof w:val="0"/>
          <w:sz w:val="18"/>
          <w:szCs w:val="24"/>
        </w:rPr>
        <w:t>Nucleic Acids Res.</w:t>
      </w:r>
      <w:r w:rsidRPr="00442C50">
        <w:rPr>
          <w:noProof w:val="0"/>
          <w:sz w:val="18"/>
          <w:szCs w:val="24"/>
        </w:rPr>
        <w:t xml:space="preserve"> </w:t>
      </w:r>
      <w:r w:rsidRPr="00442C50">
        <w:rPr>
          <w:b/>
          <w:bCs/>
          <w:noProof w:val="0"/>
          <w:sz w:val="18"/>
          <w:szCs w:val="24"/>
        </w:rPr>
        <w:t>2014</w:t>
      </w:r>
      <w:r w:rsidRPr="00442C50">
        <w:rPr>
          <w:noProof w:val="0"/>
          <w:sz w:val="18"/>
          <w:szCs w:val="24"/>
        </w:rPr>
        <w:t xml:space="preserve">, </w:t>
      </w:r>
      <w:r w:rsidRPr="00442C50">
        <w:rPr>
          <w:i/>
          <w:iCs/>
          <w:noProof w:val="0"/>
          <w:sz w:val="18"/>
          <w:szCs w:val="24"/>
        </w:rPr>
        <w:t>42</w:t>
      </w:r>
      <w:r w:rsidRPr="00442C50">
        <w:rPr>
          <w:noProof w:val="0"/>
          <w:sz w:val="18"/>
          <w:szCs w:val="24"/>
        </w:rPr>
        <w:t>, D553–D559. https://doi.org/10.1093/NAR/GKT1274.</w:t>
      </w:r>
    </w:p>
    <w:p w:rsidRPr="00442C50" w:rsidR="00995292" w:rsidP="00995292" w:rsidRDefault="00995292" w14:paraId="0D496164"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Frishman, D.; Albermann, K.; Hani, J.; Heumann, K.; Metanomski, A.; Zollner, A.; Mewes, H.-W. Functional and structural genomics using PEDANT. </w:t>
      </w:r>
      <w:r w:rsidRPr="00442C50">
        <w:rPr>
          <w:i/>
          <w:iCs/>
          <w:noProof w:val="0"/>
          <w:sz w:val="18"/>
          <w:szCs w:val="24"/>
        </w:rPr>
        <w:t>Bioinformatics</w:t>
      </w:r>
      <w:r w:rsidRPr="00442C50">
        <w:rPr>
          <w:noProof w:val="0"/>
          <w:sz w:val="18"/>
          <w:szCs w:val="24"/>
        </w:rPr>
        <w:t xml:space="preserve"> </w:t>
      </w:r>
      <w:r w:rsidRPr="00442C50">
        <w:rPr>
          <w:b/>
          <w:bCs/>
          <w:noProof w:val="0"/>
          <w:sz w:val="18"/>
          <w:szCs w:val="24"/>
        </w:rPr>
        <w:t>2001</w:t>
      </w:r>
      <w:r w:rsidRPr="00442C50">
        <w:rPr>
          <w:bCs/>
          <w:noProof w:val="0"/>
          <w:sz w:val="18"/>
          <w:szCs w:val="24"/>
        </w:rPr>
        <w:t xml:space="preserve">, </w:t>
      </w:r>
      <w:r w:rsidRPr="00442C50">
        <w:rPr>
          <w:bCs/>
          <w:i/>
          <w:noProof w:val="0"/>
          <w:sz w:val="18"/>
          <w:szCs w:val="24"/>
        </w:rPr>
        <w:t>17</w:t>
      </w:r>
      <w:r w:rsidRPr="00442C50">
        <w:rPr>
          <w:bCs/>
          <w:noProof w:val="0"/>
          <w:sz w:val="18"/>
          <w:szCs w:val="24"/>
        </w:rPr>
        <w:t>, 44–57</w:t>
      </w:r>
      <w:r w:rsidRPr="00442C50">
        <w:rPr>
          <w:noProof w:val="0"/>
          <w:sz w:val="18"/>
          <w:szCs w:val="24"/>
        </w:rPr>
        <w:t>. https://doi.org/10.1093/BIOINFORMATICS/17.1.44.</w:t>
      </w:r>
    </w:p>
    <w:p w:rsidRPr="00442C50" w:rsidR="00995292" w:rsidP="00995292" w:rsidRDefault="00995292" w14:paraId="5329FF50"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Karp, P.D.; Latendresse, M.; Caspi, R. The Pathway Tools Pathway Prediction Algorithm. </w:t>
      </w:r>
      <w:r w:rsidRPr="00442C50">
        <w:rPr>
          <w:i/>
          <w:iCs/>
          <w:noProof w:val="0"/>
          <w:sz w:val="18"/>
          <w:szCs w:val="24"/>
        </w:rPr>
        <w:t>Stand. Genomic Sci.</w:t>
      </w:r>
      <w:r w:rsidRPr="00442C50">
        <w:rPr>
          <w:noProof w:val="0"/>
          <w:sz w:val="18"/>
          <w:szCs w:val="24"/>
        </w:rPr>
        <w:t xml:space="preserve"> </w:t>
      </w:r>
      <w:r w:rsidRPr="00442C50">
        <w:rPr>
          <w:b/>
          <w:bCs/>
          <w:noProof w:val="0"/>
          <w:sz w:val="18"/>
          <w:szCs w:val="24"/>
        </w:rPr>
        <w:t>2011</w:t>
      </w:r>
      <w:r w:rsidRPr="00442C50">
        <w:rPr>
          <w:bCs/>
          <w:noProof w:val="0"/>
          <w:sz w:val="18"/>
          <w:szCs w:val="24"/>
        </w:rPr>
        <w:t xml:space="preserve">, </w:t>
      </w:r>
      <w:r w:rsidRPr="00442C50">
        <w:rPr>
          <w:bCs/>
          <w:i/>
          <w:noProof w:val="0"/>
          <w:sz w:val="18"/>
          <w:szCs w:val="24"/>
        </w:rPr>
        <w:t>5</w:t>
      </w:r>
      <w:r w:rsidRPr="00442C50">
        <w:rPr>
          <w:bCs/>
          <w:noProof w:val="0"/>
          <w:sz w:val="18"/>
          <w:szCs w:val="24"/>
        </w:rPr>
        <w:t>, 424–429</w:t>
      </w:r>
      <w:r w:rsidRPr="00442C50">
        <w:rPr>
          <w:noProof w:val="0"/>
          <w:sz w:val="18"/>
          <w:szCs w:val="24"/>
        </w:rPr>
        <w:t>. https://doi.org/10.4056/SIGS.1794338.</w:t>
      </w:r>
    </w:p>
    <w:p w:rsidRPr="00442C50" w:rsidR="00995292" w:rsidP="00995292" w:rsidRDefault="00995292" w14:paraId="0D347812"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lang w:val="de-DE"/>
        </w:rPr>
        <w:t xml:space="preserve">Caspi, R.; Altman, T.; Billington, R.; Dreher, K.; Foerster, H.; Fulcher, C.A.; Holland, T.A.; Keseler, I.M.; Kothari, A.; Kubo, A.; et al. </w:t>
      </w:r>
      <w:r w:rsidRPr="00442C50">
        <w:rPr>
          <w:noProof w:val="0"/>
          <w:sz w:val="18"/>
          <w:szCs w:val="24"/>
        </w:rPr>
        <w:t xml:space="preserve">The MetaCyc database of metabolic pathways and enzymes and the BioCyc collection of Pathway/Genome Databases. </w:t>
      </w:r>
      <w:r w:rsidRPr="00442C50">
        <w:rPr>
          <w:i/>
          <w:iCs/>
          <w:noProof w:val="0"/>
          <w:sz w:val="18"/>
          <w:szCs w:val="24"/>
        </w:rPr>
        <w:t>Nucleic Acids Res.</w:t>
      </w:r>
      <w:r w:rsidRPr="00442C50">
        <w:rPr>
          <w:noProof w:val="0"/>
          <w:sz w:val="18"/>
          <w:szCs w:val="24"/>
        </w:rPr>
        <w:t xml:space="preserve"> </w:t>
      </w:r>
      <w:r w:rsidRPr="00442C50">
        <w:rPr>
          <w:b/>
          <w:bCs/>
          <w:noProof w:val="0"/>
          <w:sz w:val="18"/>
          <w:szCs w:val="24"/>
        </w:rPr>
        <w:t>2014</w:t>
      </w:r>
      <w:r w:rsidRPr="00442C50">
        <w:rPr>
          <w:bCs/>
          <w:noProof w:val="0"/>
          <w:sz w:val="18"/>
          <w:szCs w:val="24"/>
        </w:rPr>
        <w:t xml:space="preserve">, </w:t>
      </w:r>
      <w:r w:rsidRPr="00442C50">
        <w:rPr>
          <w:bCs/>
          <w:i/>
          <w:noProof w:val="0"/>
          <w:sz w:val="18"/>
          <w:szCs w:val="24"/>
        </w:rPr>
        <w:t>42</w:t>
      </w:r>
      <w:r w:rsidRPr="00442C50">
        <w:rPr>
          <w:bCs/>
          <w:noProof w:val="0"/>
          <w:sz w:val="18"/>
          <w:szCs w:val="24"/>
        </w:rPr>
        <w:t>, D459–D471</w:t>
      </w:r>
      <w:r w:rsidRPr="00442C50">
        <w:rPr>
          <w:noProof w:val="0"/>
          <w:sz w:val="18"/>
          <w:szCs w:val="24"/>
        </w:rPr>
        <w:t>. https://doi.org/10.1093/nar/gkt1103.</w:t>
      </w:r>
    </w:p>
    <w:p w:rsidRPr="00442C50" w:rsidR="00995292" w:rsidP="00995292" w:rsidRDefault="00995292" w14:paraId="30EEF7CC"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Kanehisa, M.; Goto, S.; Kawashima, S.; Okuno, Y.; Hattori, M. The KEGG resource for deciphering the genome. </w:t>
      </w:r>
      <w:r w:rsidRPr="00442C50">
        <w:rPr>
          <w:i/>
          <w:iCs/>
          <w:noProof w:val="0"/>
          <w:sz w:val="18"/>
          <w:szCs w:val="24"/>
        </w:rPr>
        <w:t>Nucleic Acids Res.</w:t>
      </w:r>
      <w:r w:rsidRPr="00442C50">
        <w:rPr>
          <w:noProof w:val="0"/>
          <w:sz w:val="18"/>
          <w:szCs w:val="24"/>
        </w:rPr>
        <w:t xml:space="preserve"> </w:t>
      </w:r>
      <w:r w:rsidRPr="00442C50">
        <w:rPr>
          <w:b/>
          <w:bCs/>
          <w:noProof w:val="0"/>
          <w:sz w:val="18"/>
          <w:szCs w:val="24"/>
        </w:rPr>
        <w:t>2004</w:t>
      </w:r>
      <w:r w:rsidRPr="00442C50">
        <w:rPr>
          <w:bCs/>
          <w:noProof w:val="0"/>
          <w:sz w:val="18"/>
          <w:szCs w:val="24"/>
        </w:rPr>
        <w:t xml:space="preserve">, </w:t>
      </w:r>
      <w:r w:rsidRPr="00442C50">
        <w:rPr>
          <w:bCs/>
          <w:i/>
          <w:noProof w:val="0"/>
          <w:sz w:val="18"/>
          <w:szCs w:val="24"/>
        </w:rPr>
        <w:t>32</w:t>
      </w:r>
      <w:r w:rsidRPr="00442C50">
        <w:rPr>
          <w:bCs/>
          <w:noProof w:val="0"/>
          <w:sz w:val="18"/>
          <w:szCs w:val="24"/>
        </w:rPr>
        <w:t>, D277–D280</w:t>
      </w:r>
      <w:r w:rsidRPr="00442C50">
        <w:rPr>
          <w:noProof w:val="0"/>
          <w:sz w:val="18"/>
          <w:szCs w:val="24"/>
        </w:rPr>
        <w:t>. https://doi.org/10.1093/NAR/GKH063.</w:t>
      </w:r>
    </w:p>
    <w:p w:rsidRPr="00442C50" w:rsidR="00995292" w:rsidP="00995292" w:rsidRDefault="00995292" w14:paraId="5AA51BDC"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Yates, A.D.; Allen, J.; Amode, R.M.; Azov, A.G.; Barba, M.; Becerra, A.; Bhai, J.; Campbell, L.I.; Martinez, M.C.; Chakiachvili, M.; et al. Ensembl Genomes 2022: An expanding genome resource for non-vertebrates. </w:t>
      </w:r>
      <w:r w:rsidRPr="00442C50">
        <w:rPr>
          <w:i/>
          <w:iCs/>
          <w:noProof w:val="0"/>
          <w:sz w:val="18"/>
          <w:szCs w:val="24"/>
        </w:rPr>
        <w:t>Nucleic Acids Res.</w:t>
      </w:r>
      <w:r w:rsidRPr="00442C50">
        <w:rPr>
          <w:noProof w:val="0"/>
          <w:sz w:val="18"/>
          <w:szCs w:val="24"/>
        </w:rPr>
        <w:t xml:space="preserve"> </w:t>
      </w:r>
      <w:r w:rsidRPr="00442C50">
        <w:rPr>
          <w:b/>
          <w:bCs/>
          <w:noProof w:val="0"/>
          <w:sz w:val="18"/>
          <w:szCs w:val="24"/>
        </w:rPr>
        <w:t>2022</w:t>
      </w:r>
      <w:r w:rsidRPr="00442C50">
        <w:rPr>
          <w:bCs/>
          <w:noProof w:val="0"/>
          <w:sz w:val="18"/>
          <w:szCs w:val="24"/>
        </w:rPr>
        <w:t xml:space="preserve">, </w:t>
      </w:r>
      <w:r w:rsidRPr="00442C50">
        <w:rPr>
          <w:bCs/>
          <w:i/>
          <w:noProof w:val="0"/>
          <w:sz w:val="18"/>
          <w:szCs w:val="24"/>
        </w:rPr>
        <w:t>50</w:t>
      </w:r>
      <w:r w:rsidRPr="00442C50">
        <w:rPr>
          <w:bCs/>
          <w:noProof w:val="0"/>
          <w:sz w:val="18"/>
          <w:szCs w:val="24"/>
        </w:rPr>
        <w:t>, D996–D1003</w:t>
      </w:r>
      <w:r w:rsidRPr="00442C50">
        <w:rPr>
          <w:noProof w:val="0"/>
          <w:sz w:val="18"/>
          <w:szCs w:val="24"/>
        </w:rPr>
        <w:t>. https://doi.org/10.1093/NAR/GKAB1007.</w:t>
      </w:r>
    </w:p>
    <w:p w:rsidRPr="00442C50" w:rsidR="00995292" w:rsidP="00995292" w:rsidRDefault="00995292" w14:paraId="0B2A9D18"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Ullmann, L.; Wibberg, D.; Busche, T.; Rückert, C.; Müsgens, A.; Kalinowski, J.; Blank, L.M. Seventeen Ustilaginaceae High-Quality Genome Sequences Allow Phylogenomic Analysis and Provide Insights into Secondary Metabolite Synthesis. </w:t>
      </w:r>
      <w:r w:rsidRPr="00442C50">
        <w:rPr>
          <w:i/>
          <w:iCs/>
          <w:noProof w:val="0"/>
          <w:sz w:val="18"/>
          <w:szCs w:val="24"/>
        </w:rPr>
        <w:t>J. Fungi</w:t>
      </w:r>
      <w:r w:rsidRPr="00442C50">
        <w:rPr>
          <w:noProof w:val="0"/>
          <w:sz w:val="18"/>
          <w:szCs w:val="24"/>
        </w:rPr>
        <w:t xml:space="preserve"> </w:t>
      </w:r>
      <w:r w:rsidRPr="00442C50">
        <w:rPr>
          <w:b/>
          <w:bCs/>
          <w:noProof w:val="0"/>
          <w:sz w:val="18"/>
          <w:szCs w:val="24"/>
        </w:rPr>
        <w:t>2022</w:t>
      </w:r>
      <w:r w:rsidRPr="00442C50">
        <w:rPr>
          <w:bCs/>
          <w:noProof w:val="0"/>
          <w:sz w:val="18"/>
          <w:szCs w:val="24"/>
        </w:rPr>
        <w:t xml:space="preserve">, </w:t>
      </w:r>
      <w:r w:rsidRPr="00442C50">
        <w:rPr>
          <w:bCs/>
          <w:i/>
          <w:noProof w:val="0"/>
          <w:sz w:val="18"/>
          <w:szCs w:val="24"/>
        </w:rPr>
        <w:t>8</w:t>
      </w:r>
      <w:r w:rsidRPr="00442C50">
        <w:rPr>
          <w:bCs/>
          <w:noProof w:val="0"/>
          <w:sz w:val="18"/>
          <w:szCs w:val="24"/>
        </w:rPr>
        <w:t>, 269</w:t>
      </w:r>
      <w:r w:rsidRPr="00442C50">
        <w:rPr>
          <w:noProof w:val="0"/>
          <w:sz w:val="18"/>
          <w:szCs w:val="24"/>
        </w:rPr>
        <w:t>. https://doi.org/10.3390/jof8030269.</w:t>
      </w:r>
    </w:p>
    <w:p w:rsidRPr="00442C50" w:rsidR="00995292" w:rsidP="00995292" w:rsidRDefault="00995292" w14:paraId="7CD950D8"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Wibberg, D.; Andersson, L.; Tzelepis, G.; Rupp, O.; Blom, J.; Jelonek, L.; Pühler, A.; Fogelqvist, J.; Varrelmann, M.; Schlüter, A.; et al. Genome analysis of the sugar beet pathogen Rhizoctonia solani AG</w:t>
      </w:r>
      <w:r w:rsidRPr="00442C50">
        <w:rPr>
          <w:noProof w:val="0"/>
          <w:sz w:val="18"/>
          <w:szCs w:val="24"/>
          <w:vertAlign w:val="subscript"/>
        </w:rPr>
        <w:t>2-2</w:t>
      </w:r>
      <w:r w:rsidRPr="00442C50">
        <w:rPr>
          <w:noProof w:val="0"/>
          <w:sz w:val="18"/>
          <w:szCs w:val="24"/>
        </w:rPr>
        <w:t xml:space="preserve">IIIB revealed high numbers in secreted proteins and cell wall degrading enzymes. </w:t>
      </w:r>
      <w:r w:rsidRPr="00442C50">
        <w:rPr>
          <w:i/>
          <w:iCs/>
          <w:noProof w:val="0"/>
          <w:sz w:val="18"/>
          <w:szCs w:val="24"/>
        </w:rPr>
        <w:t xml:space="preserve">BMC Genom. </w:t>
      </w:r>
      <w:r w:rsidRPr="00442C50">
        <w:rPr>
          <w:b/>
          <w:bCs/>
          <w:noProof w:val="0"/>
          <w:sz w:val="18"/>
          <w:szCs w:val="24"/>
        </w:rPr>
        <w:t>2016</w:t>
      </w:r>
      <w:r w:rsidRPr="00442C50">
        <w:rPr>
          <w:bCs/>
          <w:noProof w:val="0"/>
          <w:sz w:val="18"/>
          <w:szCs w:val="24"/>
        </w:rPr>
        <w:t xml:space="preserve">, </w:t>
      </w:r>
      <w:r w:rsidRPr="00442C50">
        <w:rPr>
          <w:bCs/>
          <w:i/>
          <w:noProof w:val="0"/>
          <w:sz w:val="18"/>
          <w:szCs w:val="24"/>
        </w:rPr>
        <w:t>17</w:t>
      </w:r>
      <w:r w:rsidRPr="00442C50">
        <w:rPr>
          <w:bCs/>
          <w:noProof w:val="0"/>
          <w:sz w:val="18"/>
          <w:szCs w:val="24"/>
        </w:rPr>
        <w:t>, 245</w:t>
      </w:r>
      <w:r w:rsidRPr="00442C50">
        <w:rPr>
          <w:noProof w:val="0"/>
          <w:sz w:val="18"/>
          <w:szCs w:val="24"/>
        </w:rPr>
        <w:t>. https://doi.org/10.1186/S12864-016-2561-1/FIGURES/5.</w:t>
      </w:r>
    </w:p>
    <w:p w:rsidRPr="00442C50" w:rsidR="00995292" w:rsidP="00995292" w:rsidRDefault="00995292" w14:paraId="37FF7856"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Koren, S.; Walenz, B.P.; Berlin, K.; Miller, J.R.; Bergman, N.H.; Phillippy, A.M. Canu: Scalable and accurate long-read assembly via adaptive k-mer weighting and repeat separation. </w:t>
      </w:r>
      <w:r w:rsidRPr="00442C50">
        <w:rPr>
          <w:i/>
          <w:iCs/>
          <w:noProof w:val="0"/>
          <w:sz w:val="18"/>
          <w:szCs w:val="24"/>
        </w:rPr>
        <w:t>Genome Res.</w:t>
      </w:r>
      <w:r w:rsidRPr="00442C50">
        <w:rPr>
          <w:noProof w:val="0"/>
          <w:sz w:val="18"/>
          <w:szCs w:val="24"/>
        </w:rPr>
        <w:t xml:space="preserve"> </w:t>
      </w:r>
      <w:r w:rsidRPr="00442C50">
        <w:rPr>
          <w:b/>
          <w:bCs/>
          <w:noProof w:val="0"/>
          <w:sz w:val="18"/>
          <w:szCs w:val="24"/>
        </w:rPr>
        <w:t>2017</w:t>
      </w:r>
      <w:r w:rsidRPr="00442C50">
        <w:rPr>
          <w:bCs/>
          <w:noProof w:val="0"/>
          <w:sz w:val="18"/>
          <w:szCs w:val="24"/>
        </w:rPr>
        <w:t xml:space="preserve">, </w:t>
      </w:r>
      <w:r w:rsidRPr="00442C50">
        <w:rPr>
          <w:bCs/>
          <w:i/>
          <w:noProof w:val="0"/>
          <w:sz w:val="18"/>
          <w:szCs w:val="24"/>
        </w:rPr>
        <w:t>27</w:t>
      </w:r>
      <w:r w:rsidRPr="00442C50">
        <w:rPr>
          <w:bCs/>
          <w:noProof w:val="0"/>
          <w:sz w:val="18"/>
          <w:szCs w:val="24"/>
        </w:rPr>
        <w:t>, 722–736</w:t>
      </w:r>
      <w:r w:rsidRPr="00442C50">
        <w:rPr>
          <w:noProof w:val="0"/>
          <w:sz w:val="18"/>
          <w:szCs w:val="24"/>
        </w:rPr>
        <w:t>. https://doi.org/10.1101/GR.215087.116.</w:t>
      </w:r>
    </w:p>
    <w:p w:rsidRPr="00442C50" w:rsidR="00995292" w:rsidP="00995292" w:rsidRDefault="00995292" w14:paraId="5EB85D79" w14:textId="7ECE73F6">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Walker, B.J.; Abeel, T.; Shea, T.; Priest, M.; Abouelliel, A.; Sakthikumar, S.; Cuomo, C.A.; Zeng, Q.; Wortman, J.; Young, S.K.; et al. Pilon: An Integrated Tool for Comprehensive Microbial Variant Detection and Genome Assembly Improvement. </w:t>
      </w:r>
      <w:r w:rsidRPr="00442C50">
        <w:rPr>
          <w:i/>
          <w:iCs/>
          <w:noProof w:val="0"/>
          <w:sz w:val="18"/>
          <w:szCs w:val="24"/>
        </w:rPr>
        <w:t>PLoS ONE</w:t>
      </w:r>
      <w:r w:rsidRPr="00442C50">
        <w:rPr>
          <w:noProof w:val="0"/>
          <w:sz w:val="18"/>
          <w:szCs w:val="24"/>
        </w:rPr>
        <w:t xml:space="preserve"> </w:t>
      </w:r>
      <w:r w:rsidRPr="00442C50">
        <w:rPr>
          <w:b/>
          <w:bCs/>
          <w:noProof w:val="0"/>
          <w:sz w:val="18"/>
          <w:szCs w:val="24"/>
        </w:rPr>
        <w:t>2014</w:t>
      </w:r>
      <w:r w:rsidRPr="00442C50">
        <w:rPr>
          <w:bCs/>
          <w:noProof w:val="0"/>
          <w:sz w:val="18"/>
          <w:szCs w:val="24"/>
        </w:rPr>
        <w:t xml:space="preserve">, </w:t>
      </w:r>
      <w:r w:rsidRPr="00442C50">
        <w:rPr>
          <w:bCs/>
          <w:i/>
          <w:noProof w:val="0"/>
          <w:sz w:val="18"/>
          <w:szCs w:val="24"/>
        </w:rPr>
        <w:t>9</w:t>
      </w:r>
      <w:r w:rsidRPr="00442C50">
        <w:rPr>
          <w:bCs/>
          <w:noProof w:val="0"/>
          <w:sz w:val="18"/>
          <w:szCs w:val="24"/>
        </w:rPr>
        <w:t xml:space="preserve">, </w:t>
      </w:r>
      <w:r w:rsidRPr="00442C50">
        <w:rPr>
          <w:bCs/>
          <w:noProof w:val="0"/>
          <w:color w:val="auto"/>
          <w:sz w:val="18"/>
          <w:szCs w:val="24"/>
        </w:rPr>
        <w:t>e112963</w:t>
      </w:r>
      <w:r w:rsidRPr="00442C50">
        <w:rPr>
          <w:noProof w:val="0"/>
          <w:color w:val="auto"/>
          <w:sz w:val="18"/>
          <w:szCs w:val="24"/>
        </w:rPr>
        <w:t xml:space="preserve">. </w:t>
      </w:r>
      <w:r w:rsidRPr="00442C50">
        <w:rPr>
          <w:noProof w:val="0"/>
          <w:sz w:val="18"/>
          <w:szCs w:val="24"/>
        </w:rPr>
        <w:t>https://doi.org/10.1371/JOURNAL.PONE.0112963.</w:t>
      </w:r>
    </w:p>
    <w:p w:rsidRPr="00442C50" w:rsidR="00995292" w:rsidP="00995292" w:rsidRDefault="69A3F416" w14:paraId="61E6C9D1" w14:textId="77777777">
      <w:pPr>
        <w:pStyle w:val="ListParagraph"/>
        <w:numPr>
          <w:ilvl w:val="0"/>
          <w:numId w:val="26"/>
        </w:numPr>
        <w:adjustRightInd w:val="0"/>
        <w:snapToGrid w:val="0"/>
        <w:spacing w:line="228" w:lineRule="auto"/>
        <w:ind w:left="425" w:hanging="425" w:firstLineChars="0"/>
        <w:contextualSpacing/>
        <w:rPr>
          <w:noProof w:val="0"/>
          <w:sz w:val="18"/>
          <w:szCs w:val="18"/>
        </w:rPr>
      </w:pPr>
      <w:r w:rsidRPr="00442C50">
        <w:rPr>
          <w:noProof w:val="0"/>
          <w:sz w:val="18"/>
          <w:szCs w:val="18"/>
        </w:rPr>
        <w:t xml:space="preserve">Li, H. Aligning sequence reads, clone sequences and assembly contigs with BWA-MEM. </w:t>
      </w:r>
      <w:proofErr w:type="spellStart"/>
      <w:r w:rsidRPr="00442C50">
        <w:rPr>
          <w:i/>
          <w:iCs/>
          <w:noProof w:val="0"/>
          <w:sz w:val="18"/>
          <w:szCs w:val="18"/>
        </w:rPr>
        <w:t>arXiv</w:t>
      </w:r>
      <w:proofErr w:type="spellEnd"/>
      <w:r w:rsidRPr="00442C50">
        <w:rPr>
          <w:noProof w:val="0"/>
          <w:sz w:val="18"/>
          <w:szCs w:val="18"/>
        </w:rPr>
        <w:t xml:space="preserve"> </w:t>
      </w:r>
      <w:r w:rsidRPr="00442C50">
        <w:rPr>
          <w:b/>
          <w:bCs/>
          <w:noProof w:val="0"/>
          <w:sz w:val="18"/>
          <w:szCs w:val="18"/>
        </w:rPr>
        <w:t>2013</w:t>
      </w:r>
      <w:r w:rsidRPr="00442C50">
        <w:rPr>
          <w:noProof w:val="0"/>
          <w:sz w:val="18"/>
          <w:szCs w:val="18"/>
        </w:rPr>
        <w:t>, arXiv</w:t>
      </w:r>
      <w:r w:rsidRPr="00442C50">
        <w:rPr>
          <w:sz w:val="18"/>
          <w:szCs w:val="18"/>
        </w:rPr>
        <w:t>:1303.3997.</w:t>
      </w:r>
    </w:p>
    <w:p w:rsidRPr="00442C50" w:rsidR="00995292" w:rsidP="00995292" w:rsidRDefault="00995292" w14:paraId="6DD92F1D"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Langmead, B.; Salzberg, S.L. Fast gapped-read alignment with Bowtie 2. </w:t>
      </w:r>
      <w:r w:rsidRPr="00442C50">
        <w:rPr>
          <w:i/>
          <w:iCs/>
          <w:noProof w:val="0"/>
          <w:sz w:val="18"/>
          <w:szCs w:val="24"/>
        </w:rPr>
        <w:t xml:space="preserve">Nat. Methods </w:t>
      </w:r>
      <w:r w:rsidRPr="00442C50">
        <w:rPr>
          <w:b/>
          <w:bCs/>
          <w:noProof w:val="0"/>
          <w:sz w:val="18"/>
          <w:szCs w:val="24"/>
        </w:rPr>
        <w:t>2012</w:t>
      </w:r>
      <w:r w:rsidRPr="00442C50">
        <w:rPr>
          <w:bCs/>
          <w:noProof w:val="0"/>
          <w:sz w:val="18"/>
          <w:szCs w:val="24"/>
        </w:rPr>
        <w:t xml:space="preserve">, </w:t>
      </w:r>
      <w:r w:rsidRPr="00442C50">
        <w:rPr>
          <w:bCs/>
          <w:i/>
          <w:noProof w:val="0"/>
          <w:sz w:val="18"/>
          <w:szCs w:val="24"/>
        </w:rPr>
        <w:t>9</w:t>
      </w:r>
      <w:r w:rsidRPr="00442C50">
        <w:rPr>
          <w:bCs/>
          <w:noProof w:val="0"/>
          <w:sz w:val="18"/>
          <w:szCs w:val="24"/>
        </w:rPr>
        <w:t>, 357–359</w:t>
      </w:r>
      <w:r w:rsidRPr="00442C50">
        <w:rPr>
          <w:noProof w:val="0"/>
          <w:sz w:val="18"/>
          <w:szCs w:val="24"/>
        </w:rPr>
        <w:t>. https://doi.org/10.1038/nmeth.1923.</w:t>
      </w:r>
    </w:p>
    <w:p w:rsidRPr="00442C50" w:rsidR="00995292" w:rsidP="00995292" w:rsidRDefault="00995292" w14:paraId="3FF163B8"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Ter-Hovhannisyan, V.; Lomsadze, A.; Chernoff, Y.O.; Borodovsky, M. Gene prediction in novel fungal genomes using an ab initio algorithm with unsupervised training. </w:t>
      </w:r>
      <w:r w:rsidRPr="00442C50">
        <w:rPr>
          <w:i/>
          <w:iCs/>
          <w:noProof w:val="0"/>
          <w:sz w:val="18"/>
          <w:szCs w:val="24"/>
        </w:rPr>
        <w:t>Genome Res.</w:t>
      </w:r>
      <w:r w:rsidRPr="00442C50">
        <w:rPr>
          <w:noProof w:val="0"/>
          <w:sz w:val="18"/>
          <w:szCs w:val="24"/>
        </w:rPr>
        <w:t xml:space="preserve"> </w:t>
      </w:r>
      <w:r w:rsidRPr="00442C50">
        <w:rPr>
          <w:b/>
          <w:bCs/>
          <w:noProof w:val="0"/>
          <w:sz w:val="18"/>
          <w:szCs w:val="24"/>
        </w:rPr>
        <w:t>2008</w:t>
      </w:r>
      <w:r w:rsidRPr="00442C50">
        <w:rPr>
          <w:bCs/>
          <w:noProof w:val="0"/>
          <w:sz w:val="18"/>
          <w:szCs w:val="24"/>
        </w:rPr>
        <w:t xml:space="preserve">, </w:t>
      </w:r>
      <w:r w:rsidRPr="00442C50">
        <w:rPr>
          <w:bCs/>
          <w:i/>
          <w:noProof w:val="0"/>
          <w:sz w:val="18"/>
          <w:szCs w:val="24"/>
        </w:rPr>
        <w:t>18</w:t>
      </w:r>
      <w:r w:rsidRPr="00442C50">
        <w:rPr>
          <w:bCs/>
          <w:noProof w:val="0"/>
          <w:sz w:val="18"/>
          <w:szCs w:val="24"/>
        </w:rPr>
        <w:t>, 1979–1990</w:t>
      </w:r>
      <w:r w:rsidRPr="00442C50">
        <w:rPr>
          <w:noProof w:val="0"/>
          <w:sz w:val="18"/>
          <w:szCs w:val="24"/>
        </w:rPr>
        <w:t>. https://doi.org/10.1101/GR.081612.108.</w:t>
      </w:r>
    </w:p>
    <w:p w:rsidRPr="00442C50" w:rsidR="00995292" w:rsidP="00995292" w:rsidRDefault="00995292" w14:paraId="2A8B712C"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lang w:val="de-DE"/>
        </w:rPr>
        <w:t xml:space="preserve">Meyer, F.; Goesmann, A.; McHardy, A.C.; Bartels, D.; Bekel, T.; Clausen, J.; Kalinowski, J.; Linke, B.; Rupp, O.; Giegerich, R.; et al. </w:t>
      </w:r>
      <w:r w:rsidRPr="00442C50">
        <w:rPr>
          <w:noProof w:val="0"/>
          <w:sz w:val="18"/>
          <w:szCs w:val="24"/>
        </w:rPr>
        <w:t xml:space="preserve">GenDB—An open source genome annotation system for prokaryote genomes. </w:t>
      </w:r>
      <w:r w:rsidRPr="00442C50">
        <w:rPr>
          <w:i/>
          <w:iCs/>
          <w:noProof w:val="0"/>
          <w:sz w:val="18"/>
          <w:szCs w:val="24"/>
        </w:rPr>
        <w:t>Nucleic Acids Res.</w:t>
      </w:r>
      <w:r w:rsidRPr="00442C50">
        <w:rPr>
          <w:noProof w:val="0"/>
          <w:sz w:val="18"/>
          <w:szCs w:val="24"/>
        </w:rPr>
        <w:t xml:space="preserve"> </w:t>
      </w:r>
      <w:r w:rsidRPr="00442C50">
        <w:rPr>
          <w:b/>
          <w:bCs/>
          <w:noProof w:val="0"/>
          <w:sz w:val="18"/>
          <w:szCs w:val="24"/>
        </w:rPr>
        <w:t>2003</w:t>
      </w:r>
      <w:r w:rsidRPr="00442C50">
        <w:rPr>
          <w:bCs/>
          <w:noProof w:val="0"/>
          <w:sz w:val="18"/>
          <w:szCs w:val="24"/>
        </w:rPr>
        <w:t xml:space="preserve">, </w:t>
      </w:r>
      <w:r w:rsidRPr="00442C50">
        <w:rPr>
          <w:bCs/>
          <w:i/>
          <w:noProof w:val="0"/>
          <w:sz w:val="18"/>
          <w:szCs w:val="24"/>
        </w:rPr>
        <w:t>31</w:t>
      </w:r>
      <w:r w:rsidRPr="00442C50">
        <w:rPr>
          <w:bCs/>
          <w:noProof w:val="0"/>
          <w:sz w:val="18"/>
          <w:szCs w:val="24"/>
        </w:rPr>
        <w:t>, 2187–2195</w:t>
      </w:r>
      <w:r w:rsidRPr="00442C50">
        <w:rPr>
          <w:noProof w:val="0"/>
          <w:sz w:val="18"/>
          <w:szCs w:val="24"/>
        </w:rPr>
        <w:t>. https://doi.org/10.1093/NAR/GKG312.</w:t>
      </w:r>
    </w:p>
    <w:p w:rsidRPr="00442C50" w:rsidR="00995292" w:rsidP="00995292" w:rsidRDefault="00995292" w14:paraId="42816AF8"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Takahara, T.; Minamoto, T.; Yamanaka, H.; Doi, H.; Kawabata, Z. Estimation of Fish Biomass Using Environmental DNA. </w:t>
      </w:r>
      <w:r w:rsidRPr="00442C50">
        <w:rPr>
          <w:i/>
          <w:iCs/>
          <w:noProof w:val="0"/>
          <w:sz w:val="18"/>
          <w:szCs w:val="24"/>
        </w:rPr>
        <w:t>PLoS ONE</w:t>
      </w:r>
      <w:r w:rsidRPr="00442C50">
        <w:rPr>
          <w:noProof w:val="0"/>
          <w:sz w:val="18"/>
          <w:szCs w:val="24"/>
        </w:rPr>
        <w:t xml:space="preserve"> </w:t>
      </w:r>
      <w:r w:rsidRPr="00442C50">
        <w:rPr>
          <w:b/>
          <w:bCs/>
          <w:noProof w:val="0"/>
          <w:sz w:val="18"/>
          <w:szCs w:val="24"/>
        </w:rPr>
        <w:t>2012</w:t>
      </w:r>
      <w:r w:rsidRPr="00442C50">
        <w:rPr>
          <w:bCs/>
          <w:noProof w:val="0"/>
          <w:sz w:val="18"/>
          <w:szCs w:val="24"/>
        </w:rPr>
        <w:t xml:space="preserve">, </w:t>
      </w:r>
      <w:r w:rsidRPr="00442C50">
        <w:rPr>
          <w:bCs/>
          <w:i/>
          <w:noProof w:val="0"/>
          <w:sz w:val="18"/>
          <w:szCs w:val="24"/>
        </w:rPr>
        <w:t>7</w:t>
      </w:r>
      <w:r w:rsidRPr="00442C50">
        <w:rPr>
          <w:bCs/>
          <w:noProof w:val="0"/>
          <w:sz w:val="18"/>
          <w:szCs w:val="24"/>
        </w:rPr>
        <w:t>, e35868</w:t>
      </w:r>
      <w:r w:rsidRPr="00442C50">
        <w:rPr>
          <w:noProof w:val="0"/>
          <w:sz w:val="18"/>
          <w:szCs w:val="24"/>
        </w:rPr>
        <w:t>. https://doi.org/10.1371/JOURNAL.PONE.0035868.</w:t>
      </w:r>
    </w:p>
    <w:p w:rsidRPr="00442C50" w:rsidR="00995292" w:rsidP="00995292" w:rsidRDefault="00995292" w14:paraId="79F17898"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Tatusov, R.L.; Fedorova, N.D.; Jackson, J.D.; Jacobs, A.R.; Kiryutin, B.; Koonin, E.V.; Krylov, D.M.; Mazumder, R.; Smirnov, S.; Nikolskaya, A.N.; et al. The COG database: An updated vesion includes eukaryotes. </w:t>
      </w:r>
      <w:r w:rsidRPr="00442C50">
        <w:rPr>
          <w:i/>
          <w:iCs/>
          <w:noProof w:val="0"/>
          <w:sz w:val="18"/>
          <w:szCs w:val="24"/>
        </w:rPr>
        <w:t xml:space="preserve">BMC Bioinform. </w:t>
      </w:r>
      <w:r w:rsidRPr="00442C50">
        <w:rPr>
          <w:b/>
          <w:bCs/>
          <w:noProof w:val="0"/>
          <w:sz w:val="18"/>
          <w:szCs w:val="24"/>
        </w:rPr>
        <w:t>2003</w:t>
      </w:r>
      <w:r w:rsidRPr="00442C50">
        <w:rPr>
          <w:bCs/>
          <w:noProof w:val="0"/>
          <w:sz w:val="18"/>
          <w:szCs w:val="24"/>
        </w:rPr>
        <w:t xml:space="preserve">, </w:t>
      </w:r>
      <w:r w:rsidRPr="00442C50">
        <w:rPr>
          <w:bCs/>
          <w:i/>
          <w:noProof w:val="0"/>
          <w:sz w:val="18"/>
          <w:szCs w:val="24"/>
        </w:rPr>
        <w:t>4</w:t>
      </w:r>
      <w:r w:rsidRPr="00442C50">
        <w:rPr>
          <w:bCs/>
          <w:noProof w:val="0"/>
          <w:sz w:val="18"/>
          <w:szCs w:val="24"/>
        </w:rPr>
        <w:t>, 41</w:t>
      </w:r>
      <w:r w:rsidRPr="00442C50">
        <w:rPr>
          <w:noProof w:val="0"/>
          <w:sz w:val="18"/>
          <w:szCs w:val="24"/>
        </w:rPr>
        <w:t>. https://doi.org/10.1186/1471-2105-4-41/FIGURES/5.</w:t>
      </w:r>
    </w:p>
    <w:p w:rsidRPr="00442C50" w:rsidR="00995292" w:rsidP="00995292" w:rsidRDefault="00995292" w14:paraId="3FAC4A84"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lang w:val="de-DE"/>
        </w:rPr>
        <w:t xml:space="preserve">Boeckmann, B.; Bairoch, A.; Apweiler, R.; Blatter, M.-C.; Estreicher, A.; Gasteiger, E.; Martin, M.J.; Michoud, K.; O’Donovan, C.; Phan, I.; et al. </w:t>
      </w:r>
      <w:r w:rsidRPr="00442C50">
        <w:rPr>
          <w:noProof w:val="0"/>
          <w:sz w:val="18"/>
          <w:szCs w:val="24"/>
        </w:rPr>
        <w:t xml:space="preserve">The SWISS-PROT protein knowledgebase and its supplement TrEMBL in 2003. </w:t>
      </w:r>
      <w:r w:rsidRPr="00442C50">
        <w:rPr>
          <w:i/>
          <w:iCs/>
          <w:noProof w:val="0"/>
          <w:sz w:val="18"/>
          <w:szCs w:val="24"/>
        </w:rPr>
        <w:t>Nucleic Acids Res.</w:t>
      </w:r>
      <w:r w:rsidRPr="00442C50">
        <w:rPr>
          <w:noProof w:val="0"/>
          <w:sz w:val="18"/>
          <w:szCs w:val="24"/>
        </w:rPr>
        <w:t xml:space="preserve"> </w:t>
      </w:r>
      <w:r w:rsidRPr="00442C50">
        <w:rPr>
          <w:b/>
          <w:bCs/>
          <w:noProof w:val="0"/>
          <w:sz w:val="18"/>
          <w:szCs w:val="24"/>
        </w:rPr>
        <w:t>2003</w:t>
      </w:r>
      <w:r w:rsidRPr="00442C50">
        <w:rPr>
          <w:bCs/>
          <w:noProof w:val="0"/>
          <w:sz w:val="18"/>
          <w:szCs w:val="24"/>
        </w:rPr>
        <w:t xml:space="preserve">, </w:t>
      </w:r>
      <w:r w:rsidRPr="00442C50">
        <w:rPr>
          <w:bCs/>
          <w:i/>
          <w:noProof w:val="0"/>
          <w:sz w:val="18"/>
          <w:szCs w:val="24"/>
        </w:rPr>
        <w:t>31</w:t>
      </w:r>
      <w:r w:rsidRPr="00442C50">
        <w:rPr>
          <w:bCs/>
          <w:noProof w:val="0"/>
          <w:sz w:val="18"/>
          <w:szCs w:val="24"/>
        </w:rPr>
        <w:t>, 365–370</w:t>
      </w:r>
      <w:r w:rsidRPr="00442C50">
        <w:rPr>
          <w:noProof w:val="0"/>
          <w:sz w:val="18"/>
          <w:szCs w:val="24"/>
        </w:rPr>
        <w:t>. https://doi.org/10.1093/NAR/GKG095.</w:t>
      </w:r>
    </w:p>
    <w:p w:rsidRPr="00442C50" w:rsidR="00995292" w:rsidP="00995292" w:rsidRDefault="00995292" w14:paraId="4FB387FD"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Lowe, T.M.; Eddy, S.R. tRNAscan-SE: A Program for Improved Detection of Transfer RNA Genes in Genomic Sequence. </w:t>
      </w:r>
      <w:r w:rsidRPr="00442C50">
        <w:rPr>
          <w:i/>
          <w:iCs/>
          <w:noProof w:val="0"/>
          <w:sz w:val="18"/>
          <w:szCs w:val="24"/>
        </w:rPr>
        <w:t>Nucleic Acids Res.</w:t>
      </w:r>
      <w:r w:rsidRPr="00442C50">
        <w:rPr>
          <w:noProof w:val="0"/>
          <w:sz w:val="18"/>
          <w:szCs w:val="24"/>
        </w:rPr>
        <w:t xml:space="preserve"> </w:t>
      </w:r>
      <w:r w:rsidRPr="00442C50">
        <w:rPr>
          <w:b/>
          <w:bCs/>
          <w:noProof w:val="0"/>
          <w:sz w:val="18"/>
          <w:szCs w:val="24"/>
        </w:rPr>
        <w:t>1997</w:t>
      </w:r>
      <w:r w:rsidRPr="00442C50">
        <w:rPr>
          <w:bCs/>
          <w:noProof w:val="0"/>
          <w:sz w:val="18"/>
          <w:szCs w:val="24"/>
        </w:rPr>
        <w:t xml:space="preserve">, </w:t>
      </w:r>
      <w:r w:rsidRPr="00442C50">
        <w:rPr>
          <w:bCs/>
          <w:i/>
          <w:noProof w:val="0"/>
          <w:sz w:val="18"/>
          <w:szCs w:val="24"/>
        </w:rPr>
        <w:t>25</w:t>
      </w:r>
      <w:r w:rsidRPr="00442C50">
        <w:rPr>
          <w:bCs/>
          <w:noProof w:val="0"/>
          <w:sz w:val="18"/>
          <w:szCs w:val="24"/>
        </w:rPr>
        <w:t>, 955–964</w:t>
      </w:r>
      <w:r w:rsidRPr="00442C50">
        <w:rPr>
          <w:noProof w:val="0"/>
          <w:sz w:val="18"/>
          <w:szCs w:val="24"/>
        </w:rPr>
        <w:t>. https://doi.org/10.1093/NAR/25.5.955.</w:t>
      </w:r>
    </w:p>
    <w:p w:rsidRPr="00442C50" w:rsidR="00995292" w:rsidP="00995292" w:rsidRDefault="00995292" w14:paraId="3574CD2D"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Simão, F.A.; Waterhouse, R.M.; Ioannidis, P.; Kriventseva, E.V.; Zdobnov, E.M. BUSCO: Assessing genome assembly and annotation completeness with single-copy orthologs. </w:t>
      </w:r>
      <w:r w:rsidRPr="00442C50">
        <w:rPr>
          <w:i/>
          <w:iCs/>
          <w:noProof w:val="0"/>
          <w:sz w:val="18"/>
          <w:szCs w:val="24"/>
        </w:rPr>
        <w:t>Bioinformatics</w:t>
      </w:r>
      <w:r w:rsidRPr="00442C50">
        <w:rPr>
          <w:noProof w:val="0"/>
          <w:sz w:val="18"/>
          <w:szCs w:val="24"/>
        </w:rPr>
        <w:t xml:space="preserve"> </w:t>
      </w:r>
      <w:r w:rsidRPr="00442C50">
        <w:rPr>
          <w:b/>
          <w:bCs/>
          <w:noProof w:val="0"/>
          <w:sz w:val="18"/>
          <w:szCs w:val="24"/>
        </w:rPr>
        <w:t>2015</w:t>
      </w:r>
      <w:r w:rsidRPr="00442C50">
        <w:rPr>
          <w:bCs/>
          <w:noProof w:val="0"/>
          <w:sz w:val="18"/>
          <w:szCs w:val="24"/>
        </w:rPr>
        <w:t xml:space="preserve">, </w:t>
      </w:r>
      <w:r w:rsidRPr="00442C50">
        <w:rPr>
          <w:bCs/>
          <w:i/>
          <w:noProof w:val="0"/>
          <w:sz w:val="18"/>
          <w:szCs w:val="24"/>
        </w:rPr>
        <w:t>31</w:t>
      </w:r>
      <w:r w:rsidRPr="00442C50">
        <w:rPr>
          <w:bCs/>
          <w:noProof w:val="0"/>
          <w:sz w:val="18"/>
          <w:szCs w:val="24"/>
        </w:rPr>
        <w:t>, 3210–3212</w:t>
      </w:r>
      <w:r w:rsidRPr="00442C50">
        <w:rPr>
          <w:noProof w:val="0"/>
          <w:sz w:val="18"/>
          <w:szCs w:val="24"/>
        </w:rPr>
        <w:t>. https://doi.org/10.1093/BIOINFORMATICS/BTV351.</w:t>
      </w:r>
    </w:p>
    <w:p w:rsidRPr="00442C50" w:rsidR="00995292" w:rsidP="00995292" w:rsidRDefault="00995292" w14:paraId="5CF01023"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lastRenderedPageBreak/>
        <w:t xml:space="preserve">Dieckmann, M.A.; Beyvers, S.; Nkouamedjo-Fankep, R.C.; Hanel, P.H.G.; Jelonek, L.; Blom, J.; Goesmann, A. EDGAR3.0: Comparative genomics and phylogenomics on a scalable infrastructure. </w:t>
      </w:r>
      <w:r w:rsidRPr="00442C50">
        <w:rPr>
          <w:i/>
          <w:iCs/>
          <w:noProof w:val="0"/>
          <w:sz w:val="18"/>
          <w:szCs w:val="24"/>
        </w:rPr>
        <w:t>Nucleic Acids Res.</w:t>
      </w:r>
      <w:r w:rsidRPr="00442C50">
        <w:rPr>
          <w:noProof w:val="0"/>
          <w:sz w:val="18"/>
          <w:szCs w:val="24"/>
        </w:rPr>
        <w:t xml:space="preserve"> </w:t>
      </w:r>
      <w:r w:rsidRPr="00442C50">
        <w:rPr>
          <w:b/>
          <w:bCs/>
          <w:noProof w:val="0"/>
          <w:sz w:val="18"/>
          <w:szCs w:val="24"/>
        </w:rPr>
        <w:t>2021</w:t>
      </w:r>
      <w:r w:rsidRPr="00442C50">
        <w:rPr>
          <w:bCs/>
          <w:noProof w:val="0"/>
          <w:sz w:val="18"/>
          <w:szCs w:val="24"/>
        </w:rPr>
        <w:t xml:space="preserve">, </w:t>
      </w:r>
      <w:r w:rsidRPr="00442C50">
        <w:rPr>
          <w:bCs/>
          <w:i/>
          <w:noProof w:val="0"/>
          <w:sz w:val="18"/>
          <w:szCs w:val="24"/>
        </w:rPr>
        <w:t>49</w:t>
      </w:r>
      <w:r w:rsidRPr="00442C50">
        <w:rPr>
          <w:bCs/>
          <w:noProof w:val="0"/>
          <w:sz w:val="18"/>
          <w:szCs w:val="24"/>
        </w:rPr>
        <w:t>, W185–W192</w:t>
      </w:r>
      <w:r w:rsidRPr="00442C50">
        <w:rPr>
          <w:noProof w:val="0"/>
          <w:sz w:val="18"/>
          <w:szCs w:val="24"/>
        </w:rPr>
        <w:t>. https://doi.org/10.1093/NAR/GKAB341.</w:t>
      </w:r>
    </w:p>
    <w:p w:rsidRPr="00442C50" w:rsidR="00995292" w:rsidP="00995292" w:rsidRDefault="00995292" w14:paraId="00A7F1ED"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Moriya, Y.; Itoh, M.; Okuda, S.; Yoshizawa, A.C.; Kanehisa, M. KAAS: An automatic genome annotation and pathway reconstruction server. </w:t>
      </w:r>
      <w:r w:rsidRPr="00442C50">
        <w:rPr>
          <w:i/>
          <w:iCs/>
          <w:noProof w:val="0"/>
          <w:sz w:val="18"/>
          <w:szCs w:val="24"/>
        </w:rPr>
        <w:t>Nucleic Acids Res.</w:t>
      </w:r>
      <w:r w:rsidRPr="00442C50">
        <w:rPr>
          <w:noProof w:val="0"/>
          <w:sz w:val="18"/>
          <w:szCs w:val="24"/>
        </w:rPr>
        <w:t xml:space="preserve"> </w:t>
      </w:r>
      <w:r w:rsidRPr="00442C50">
        <w:rPr>
          <w:b/>
          <w:bCs/>
          <w:noProof w:val="0"/>
          <w:sz w:val="18"/>
          <w:szCs w:val="24"/>
        </w:rPr>
        <w:t>2007</w:t>
      </w:r>
      <w:r w:rsidRPr="00442C50">
        <w:rPr>
          <w:bCs/>
          <w:noProof w:val="0"/>
          <w:sz w:val="18"/>
          <w:szCs w:val="24"/>
        </w:rPr>
        <w:t xml:space="preserve">, </w:t>
      </w:r>
      <w:r w:rsidRPr="00442C50">
        <w:rPr>
          <w:bCs/>
          <w:i/>
          <w:noProof w:val="0"/>
          <w:sz w:val="18"/>
          <w:szCs w:val="24"/>
        </w:rPr>
        <w:t>35</w:t>
      </w:r>
      <w:r w:rsidRPr="00442C50">
        <w:rPr>
          <w:bCs/>
          <w:noProof w:val="0"/>
          <w:sz w:val="18"/>
          <w:szCs w:val="24"/>
        </w:rPr>
        <w:t>, W182–W185</w:t>
      </w:r>
      <w:r w:rsidRPr="00442C50">
        <w:rPr>
          <w:noProof w:val="0"/>
          <w:sz w:val="18"/>
          <w:szCs w:val="24"/>
        </w:rPr>
        <w:t>. https://doi.org/10.1093/NAR/GKM321.</w:t>
      </w:r>
    </w:p>
    <w:p w:rsidRPr="00442C50" w:rsidR="00995292" w:rsidP="00995292" w:rsidRDefault="00995292" w14:paraId="45F8B118"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Cokelaer, T.; Pultz, D.; Harder, L.M.; Serra-Musach, J.; Saez-Rodriguez, J.; Valencia, A. BioServices: A common Python package to access biological Web Services programmatically. </w:t>
      </w:r>
      <w:r w:rsidRPr="00442C50">
        <w:rPr>
          <w:i/>
          <w:iCs/>
          <w:noProof w:val="0"/>
          <w:sz w:val="18"/>
          <w:szCs w:val="24"/>
        </w:rPr>
        <w:t>Bioinformatics</w:t>
      </w:r>
      <w:r w:rsidRPr="00442C50">
        <w:rPr>
          <w:noProof w:val="0"/>
          <w:sz w:val="18"/>
          <w:szCs w:val="24"/>
        </w:rPr>
        <w:t xml:space="preserve"> </w:t>
      </w:r>
      <w:r w:rsidRPr="00442C50">
        <w:rPr>
          <w:b/>
          <w:bCs/>
          <w:noProof w:val="0"/>
          <w:sz w:val="18"/>
          <w:szCs w:val="24"/>
        </w:rPr>
        <w:t>2013</w:t>
      </w:r>
      <w:r w:rsidRPr="00442C50">
        <w:rPr>
          <w:bCs/>
          <w:noProof w:val="0"/>
          <w:sz w:val="18"/>
          <w:szCs w:val="24"/>
        </w:rPr>
        <w:t xml:space="preserve">, </w:t>
      </w:r>
      <w:r w:rsidRPr="00442C50">
        <w:rPr>
          <w:bCs/>
          <w:i/>
          <w:noProof w:val="0"/>
          <w:sz w:val="18"/>
          <w:szCs w:val="24"/>
        </w:rPr>
        <w:t>29</w:t>
      </w:r>
      <w:r w:rsidRPr="00442C50">
        <w:rPr>
          <w:bCs/>
          <w:noProof w:val="0"/>
          <w:sz w:val="18"/>
          <w:szCs w:val="24"/>
        </w:rPr>
        <w:t>, 3241–3242</w:t>
      </w:r>
      <w:r w:rsidRPr="00442C50">
        <w:rPr>
          <w:noProof w:val="0"/>
          <w:sz w:val="18"/>
          <w:szCs w:val="24"/>
        </w:rPr>
        <w:t>. https://doi.org/10.1093/BIOINFORMATICS/BTT547.</w:t>
      </w:r>
    </w:p>
    <w:p w:rsidRPr="00442C50" w:rsidR="00995292" w:rsidP="00995292" w:rsidRDefault="00995292" w14:paraId="70AEAEB3"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Hernández, A.; Cooke, D.T.; Lewis, M.; Clarkson, D.T. Fungicides and sterol-deficient mutants of </w:t>
      </w:r>
      <w:r w:rsidRPr="00442C50">
        <w:rPr>
          <w:i/>
          <w:iCs/>
          <w:noProof w:val="0"/>
          <w:sz w:val="18"/>
          <w:szCs w:val="24"/>
        </w:rPr>
        <w:t>Ustilago maydis</w:t>
      </w:r>
      <w:r w:rsidRPr="00442C50">
        <w:rPr>
          <w:noProof w:val="0"/>
          <w:sz w:val="18"/>
          <w:szCs w:val="24"/>
        </w:rPr>
        <w:t xml:space="preserve">: Plasma membrane physico-chemical characteristics do not explain growth inhibition. </w:t>
      </w:r>
      <w:r w:rsidRPr="00442C50">
        <w:rPr>
          <w:i/>
          <w:iCs/>
          <w:noProof w:val="0"/>
          <w:sz w:val="18"/>
          <w:szCs w:val="24"/>
        </w:rPr>
        <w:t>Microbiology</w:t>
      </w:r>
      <w:r w:rsidRPr="00442C50">
        <w:rPr>
          <w:noProof w:val="0"/>
          <w:sz w:val="18"/>
          <w:szCs w:val="24"/>
        </w:rPr>
        <w:t xml:space="preserve"> </w:t>
      </w:r>
      <w:r w:rsidRPr="00442C50">
        <w:rPr>
          <w:b/>
          <w:bCs/>
          <w:noProof w:val="0"/>
          <w:sz w:val="18"/>
          <w:szCs w:val="24"/>
        </w:rPr>
        <w:t>1997</w:t>
      </w:r>
      <w:r w:rsidRPr="00442C50">
        <w:rPr>
          <w:bCs/>
          <w:noProof w:val="0"/>
          <w:sz w:val="18"/>
          <w:szCs w:val="24"/>
        </w:rPr>
        <w:t xml:space="preserve">, </w:t>
      </w:r>
      <w:r w:rsidRPr="00442C50">
        <w:rPr>
          <w:bCs/>
          <w:i/>
          <w:noProof w:val="0"/>
          <w:sz w:val="18"/>
          <w:szCs w:val="24"/>
        </w:rPr>
        <w:t>143</w:t>
      </w:r>
      <w:r w:rsidRPr="00442C50">
        <w:rPr>
          <w:bCs/>
          <w:noProof w:val="0"/>
          <w:sz w:val="18"/>
          <w:szCs w:val="24"/>
        </w:rPr>
        <w:t>, 3165–3174</w:t>
      </w:r>
      <w:r w:rsidRPr="00442C50">
        <w:rPr>
          <w:noProof w:val="0"/>
          <w:sz w:val="18"/>
          <w:szCs w:val="24"/>
        </w:rPr>
        <w:t>. https://doi.org/10.1099/00221287-143-10-3165.</w:t>
      </w:r>
    </w:p>
    <w:p w:rsidRPr="00442C50" w:rsidR="00995292" w:rsidP="00995292" w:rsidRDefault="00995292" w14:paraId="7870EB2E"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Ruiz-Herrera, J.; Leon, C.G.; Carabez-Trejo, A.; Reyes-Salinas, E. Structure and chemical composition of the cell walls from the haploid yeast and mycelial forms of Ustilago maydis. </w:t>
      </w:r>
      <w:r w:rsidRPr="00442C50">
        <w:rPr>
          <w:i/>
          <w:iCs/>
          <w:noProof w:val="0"/>
          <w:sz w:val="18"/>
          <w:szCs w:val="24"/>
        </w:rPr>
        <w:t>Fungal Genet. Biol.</w:t>
      </w:r>
      <w:r w:rsidRPr="00442C50">
        <w:rPr>
          <w:noProof w:val="0"/>
          <w:sz w:val="18"/>
          <w:szCs w:val="24"/>
        </w:rPr>
        <w:t xml:space="preserve"> </w:t>
      </w:r>
      <w:r w:rsidRPr="00442C50">
        <w:rPr>
          <w:b/>
          <w:bCs/>
          <w:noProof w:val="0"/>
          <w:sz w:val="18"/>
          <w:szCs w:val="24"/>
        </w:rPr>
        <w:t>1996</w:t>
      </w:r>
      <w:r w:rsidRPr="00442C50">
        <w:rPr>
          <w:bCs/>
          <w:noProof w:val="0"/>
          <w:sz w:val="18"/>
          <w:szCs w:val="24"/>
        </w:rPr>
        <w:t xml:space="preserve">, </w:t>
      </w:r>
      <w:r w:rsidRPr="00442C50">
        <w:rPr>
          <w:bCs/>
          <w:i/>
          <w:noProof w:val="0"/>
          <w:sz w:val="18"/>
          <w:szCs w:val="24"/>
        </w:rPr>
        <w:t>20</w:t>
      </w:r>
      <w:r w:rsidRPr="00442C50">
        <w:rPr>
          <w:bCs/>
          <w:noProof w:val="0"/>
          <w:sz w:val="18"/>
          <w:szCs w:val="24"/>
        </w:rPr>
        <w:t>, 133–142</w:t>
      </w:r>
      <w:r w:rsidRPr="00442C50">
        <w:rPr>
          <w:noProof w:val="0"/>
          <w:sz w:val="18"/>
          <w:szCs w:val="24"/>
        </w:rPr>
        <w:t>. https://doi.org/10.1006/FGBI.1996.0028.</w:t>
      </w:r>
    </w:p>
    <w:p w:rsidRPr="00442C50" w:rsidR="00995292" w:rsidP="00995292" w:rsidRDefault="00995292" w14:paraId="1EFB421E"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Klement, T.; Milker, S.; Jäger, G.; Grande, P.M.; de María, P.D.; Büchs, J. Biomass pretreatment affects Ustilago maydis in producing itaconic acid. </w:t>
      </w:r>
      <w:r w:rsidRPr="00442C50">
        <w:rPr>
          <w:i/>
          <w:iCs/>
          <w:noProof w:val="0"/>
          <w:sz w:val="18"/>
          <w:szCs w:val="24"/>
        </w:rPr>
        <w:t>Microb. Cell Fact.</w:t>
      </w:r>
      <w:r w:rsidRPr="00442C50">
        <w:rPr>
          <w:noProof w:val="0"/>
          <w:sz w:val="18"/>
          <w:szCs w:val="24"/>
        </w:rPr>
        <w:t xml:space="preserve"> </w:t>
      </w:r>
      <w:r w:rsidRPr="00442C50">
        <w:rPr>
          <w:b/>
          <w:bCs/>
          <w:noProof w:val="0"/>
          <w:sz w:val="18"/>
          <w:szCs w:val="24"/>
        </w:rPr>
        <w:t>2012</w:t>
      </w:r>
      <w:r w:rsidRPr="00442C50">
        <w:rPr>
          <w:bCs/>
          <w:noProof w:val="0"/>
          <w:sz w:val="18"/>
          <w:szCs w:val="24"/>
        </w:rPr>
        <w:t xml:space="preserve">, </w:t>
      </w:r>
      <w:r w:rsidRPr="00442C50">
        <w:rPr>
          <w:bCs/>
          <w:i/>
          <w:noProof w:val="0"/>
          <w:sz w:val="18"/>
          <w:szCs w:val="24"/>
        </w:rPr>
        <w:t>11</w:t>
      </w:r>
      <w:r w:rsidRPr="00442C50">
        <w:rPr>
          <w:bCs/>
          <w:noProof w:val="0"/>
          <w:sz w:val="18"/>
          <w:szCs w:val="24"/>
        </w:rPr>
        <w:t>, 43</w:t>
      </w:r>
      <w:r w:rsidRPr="00442C50">
        <w:rPr>
          <w:noProof w:val="0"/>
          <w:sz w:val="18"/>
          <w:szCs w:val="24"/>
        </w:rPr>
        <w:t>. https://doi.org/10.1186/1475-2859-11-43/FIGURES/6.</w:t>
      </w:r>
    </w:p>
    <w:p w:rsidRPr="00442C50" w:rsidR="00995292" w:rsidP="00995292" w:rsidRDefault="00995292" w14:paraId="28243CDC"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Bushell, M.E. Fungal physiology (2nd Edition). By David H. Griffin, J. Wiley &amp; Sons, Inc., New York, 1994, x + 458 pp., price £66.00, US$92.50. ISBN 0 471 59586 1. </w:t>
      </w:r>
      <w:r w:rsidRPr="00442C50">
        <w:rPr>
          <w:i/>
          <w:iCs/>
          <w:noProof w:val="0"/>
          <w:sz w:val="18"/>
          <w:szCs w:val="24"/>
        </w:rPr>
        <w:t>J. Chem. Technol. Biotechnol.</w:t>
      </w:r>
      <w:r w:rsidRPr="00442C50">
        <w:rPr>
          <w:noProof w:val="0"/>
          <w:sz w:val="18"/>
          <w:szCs w:val="24"/>
        </w:rPr>
        <w:t xml:space="preserve"> </w:t>
      </w:r>
      <w:r w:rsidRPr="00442C50">
        <w:rPr>
          <w:b/>
          <w:bCs/>
          <w:noProof w:val="0"/>
          <w:sz w:val="18"/>
          <w:szCs w:val="24"/>
        </w:rPr>
        <w:t>1995</w:t>
      </w:r>
      <w:r w:rsidRPr="00442C50">
        <w:rPr>
          <w:bCs/>
          <w:noProof w:val="0"/>
          <w:sz w:val="18"/>
          <w:szCs w:val="24"/>
        </w:rPr>
        <w:t xml:space="preserve">, </w:t>
      </w:r>
      <w:r w:rsidRPr="00442C50">
        <w:rPr>
          <w:bCs/>
          <w:i/>
          <w:noProof w:val="0"/>
          <w:sz w:val="18"/>
          <w:szCs w:val="24"/>
        </w:rPr>
        <w:t>64</w:t>
      </w:r>
      <w:r w:rsidRPr="00442C50">
        <w:rPr>
          <w:bCs/>
          <w:noProof w:val="0"/>
          <w:sz w:val="18"/>
          <w:szCs w:val="24"/>
        </w:rPr>
        <w:t>, 105–105</w:t>
      </w:r>
      <w:r w:rsidRPr="00442C50">
        <w:rPr>
          <w:noProof w:val="0"/>
          <w:sz w:val="18"/>
          <w:szCs w:val="24"/>
        </w:rPr>
        <w:t>. https://doi.org/10.1002/JCTB.280640118.</w:t>
      </w:r>
    </w:p>
    <w:p w:rsidRPr="00442C50" w:rsidR="00995292" w:rsidP="00995292" w:rsidRDefault="00995292" w14:paraId="113F9419"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Thiele, I.; Palsson, B.O. A protocol for generating a high-quality genome-scale metabolic reconstruction. </w:t>
      </w:r>
      <w:r w:rsidRPr="00442C50">
        <w:rPr>
          <w:i/>
          <w:iCs/>
          <w:noProof w:val="0"/>
          <w:sz w:val="18"/>
          <w:szCs w:val="24"/>
        </w:rPr>
        <w:t>Nat. Protoc.</w:t>
      </w:r>
      <w:r w:rsidRPr="00442C50">
        <w:rPr>
          <w:noProof w:val="0"/>
          <w:sz w:val="18"/>
          <w:szCs w:val="24"/>
        </w:rPr>
        <w:t xml:space="preserve"> </w:t>
      </w:r>
      <w:r w:rsidRPr="00442C50">
        <w:rPr>
          <w:b/>
          <w:bCs/>
          <w:noProof w:val="0"/>
          <w:sz w:val="18"/>
          <w:szCs w:val="24"/>
        </w:rPr>
        <w:t>2010</w:t>
      </w:r>
      <w:r w:rsidRPr="00442C50">
        <w:rPr>
          <w:bCs/>
          <w:noProof w:val="0"/>
          <w:sz w:val="18"/>
          <w:szCs w:val="24"/>
        </w:rPr>
        <w:t xml:space="preserve">, </w:t>
      </w:r>
      <w:r w:rsidRPr="00442C50">
        <w:rPr>
          <w:bCs/>
          <w:i/>
          <w:noProof w:val="0"/>
          <w:sz w:val="18"/>
          <w:szCs w:val="24"/>
        </w:rPr>
        <w:t>5</w:t>
      </w:r>
      <w:r w:rsidRPr="00442C50">
        <w:rPr>
          <w:bCs/>
          <w:noProof w:val="0"/>
          <w:sz w:val="18"/>
          <w:szCs w:val="24"/>
        </w:rPr>
        <w:t>, 93–121</w:t>
      </w:r>
      <w:r w:rsidRPr="00442C50">
        <w:rPr>
          <w:noProof w:val="0"/>
          <w:sz w:val="18"/>
          <w:szCs w:val="24"/>
        </w:rPr>
        <w:t>. https://doi.org/10.1038/nprot.2009.203.</w:t>
      </w:r>
    </w:p>
    <w:p w:rsidRPr="00442C50" w:rsidR="00995292" w:rsidP="00995292" w:rsidRDefault="00995292" w14:paraId="4F214432"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lang w:val="de-DE"/>
        </w:rPr>
        <w:t xml:space="preserve">Geiser, E.; Przybilla, S.K.; Engel, M.; Kleineberg, W.; Büttner, L.; Sarikaya, E.; den Hartog, T.; Klankermayer, J.; Leitner, W.; Bölker, M.; et al. </w:t>
      </w:r>
      <w:r w:rsidRPr="00442C50">
        <w:rPr>
          <w:noProof w:val="0"/>
          <w:sz w:val="18"/>
          <w:szCs w:val="24"/>
        </w:rPr>
        <w:t xml:space="preserve">Genetic and biochemical insights into the itaconate pathway of Ustilago maydis enable enhanced production. </w:t>
      </w:r>
      <w:r w:rsidRPr="00442C50">
        <w:rPr>
          <w:i/>
          <w:iCs/>
          <w:noProof w:val="0"/>
          <w:sz w:val="18"/>
          <w:szCs w:val="24"/>
        </w:rPr>
        <w:t>Metab. Eng.</w:t>
      </w:r>
      <w:r w:rsidRPr="00442C50">
        <w:rPr>
          <w:noProof w:val="0"/>
          <w:sz w:val="18"/>
          <w:szCs w:val="24"/>
        </w:rPr>
        <w:t xml:space="preserve"> </w:t>
      </w:r>
      <w:r w:rsidRPr="00442C50">
        <w:rPr>
          <w:b/>
          <w:bCs/>
          <w:noProof w:val="0"/>
          <w:sz w:val="18"/>
          <w:szCs w:val="24"/>
        </w:rPr>
        <w:t>2016</w:t>
      </w:r>
      <w:r w:rsidRPr="00442C50">
        <w:rPr>
          <w:bCs/>
          <w:noProof w:val="0"/>
          <w:sz w:val="18"/>
          <w:szCs w:val="24"/>
        </w:rPr>
        <w:t xml:space="preserve">, </w:t>
      </w:r>
      <w:r w:rsidRPr="00442C50">
        <w:rPr>
          <w:bCs/>
          <w:i/>
          <w:noProof w:val="0"/>
          <w:sz w:val="18"/>
          <w:szCs w:val="24"/>
        </w:rPr>
        <w:t>38</w:t>
      </w:r>
      <w:r w:rsidRPr="00442C50">
        <w:rPr>
          <w:bCs/>
          <w:noProof w:val="0"/>
          <w:sz w:val="18"/>
          <w:szCs w:val="24"/>
        </w:rPr>
        <w:t>, 427–435</w:t>
      </w:r>
      <w:r w:rsidRPr="00442C50">
        <w:rPr>
          <w:noProof w:val="0"/>
          <w:sz w:val="18"/>
          <w:szCs w:val="24"/>
        </w:rPr>
        <w:t>. https://doi.org/10.1016/J.YMBEN.2016.10.006.</w:t>
      </w:r>
    </w:p>
    <w:p w:rsidRPr="00442C50" w:rsidR="00995292" w:rsidP="00995292" w:rsidRDefault="00995292" w14:paraId="4A420615"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Milo, R.; Jorgensen, P.; Moran, U.; Weber, G.; Springer, M. BioNumbers—The database of key numbers in molecular and cell biology. </w:t>
      </w:r>
      <w:r w:rsidRPr="00442C50">
        <w:rPr>
          <w:i/>
          <w:iCs/>
          <w:noProof w:val="0"/>
          <w:sz w:val="18"/>
          <w:szCs w:val="24"/>
        </w:rPr>
        <w:t>Nucleic Acids Res.</w:t>
      </w:r>
      <w:r w:rsidRPr="00442C50">
        <w:rPr>
          <w:noProof w:val="0"/>
          <w:sz w:val="18"/>
          <w:szCs w:val="24"/>
        </w:rPr>
        <w:t xml:space="preserve"> </w:t>
      </w:r>
      <w:r w:rsidRPr="00442C50">
        <w:rPr>
          <w:b/>
          <w:bCs/>
          <w:noProof w:val="0"/>
          <w:sz w:val="18"/>
          <w:szCs w:val="24"/>
        </w:rPr>
        <w:t>2010</w:t>
      </w:r>
      <w:r w:rsidRPr="00442C50">
        <w:rPr>
          <w:bCs/>
          <w:noProof w:val="0"/>
          <w:sz w:val="18"/>
          <w:szCs w:val="24"/>
        </w:rPr>
        <w:t xml:space="preserve">, </w:t>
      </w:r>
      <w:r w:rsidRPr="00442C50">
        <w:rPr>
          <w:bCs/>
          <w:i/>
          <w:noProof w:val="0"/>
          <w:sz w:val="18"/>
          <w:szCs w:val="24"/>
        </w:rPr>
        <w:t>38</w:t>
      </w:r>
      <w:r w:rsidRPr="00442C50">
        <w:rPr>
          <w:bCs/>
          <w:noProof w:val="0"/>
          <w:sz w:val="18"/>
          <w:szCs w:val="24"/>
        </w:rPr>
        <w:t>, D750–D753</w:t>
      </w:r>
      <w:r w:rsidRPr="00442C50">
        <w:rPr>
          <w:noProof w:val="0"/>
          <w:sz w:val="18"/>
          <w:szCs w:val="24"/>
        </w:rPr>
        <w:t>. https://doi.org/10.1093/NAR/GKP889.</w:t>
      </w:r>
    </w:p>
    <w:p w:rsidRPr="00442C50" w:rsidR="00995292" w:rsidP="00995292" w:rsidRDefault="00995292" w14:paraId="61F03E40"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Sato, T.K.; Tremaine, M.; Parreiras, L.S.; Hebert, A.S.; Myers, K.S.; Higbee, A.J.; Sardi, M.; McIlwain, S.J.; Ong, I.M.; Breuer, R.J.; et al. Directed Evolution Reveals Unexpected Epistatic Interactions That Alter Metabolic Regulation and Enable Anaerobic Xylose Use by Saccharomyces cerevisiae. </w:t>
      </w:r>
      <w:r w:rsidRPr="00442C50">
        <w:rPr>
          <w:i/>
          <w:iCs/>
          <w:noProof w:val="0"/>
          <w:sz w:val="18"/>
          <w:szCs w:val="24"/>
        </w:rPr>
        <w:t>PLoS Genet.</w:t>
      </w:r>
      <w:r w:rsidRPr="00442C50">
        <w:rPr>
          <w:noProof w:val="0"/>
          <w:sz w:val="18"/>
          <w:szCs w:val="24"/>
        </w:rPr>
        <w:t xml:space="preserve"> </w:t>
      </w:r>
      <w:r w:rsidRPr="00442C50">
        <w:rPr>
          <w:b/>
          <w:bCs/>
          <w:noProof w:val="0"/>
          <w:sz w:val="18"/>
          <w:szCs w:val="24"/>
        </w:rPr>
        <w:t>2016</w:t>
      </w:r>
      <w:r w:rsidRPr="00442C50">
        <w:rPr>
          <w:bCs/>
          <w:noProof w:val="0"/>
          <w:sz w:val="18"/>
          <w:szCs w:val="24"/>
        </w:rPr>
        <w:t xml:space="preserve">, </w:t>
      </w:r>
      <w:r w:rsidRPr="00442C50">
        <w:rPr>
          <w:bCs/>
          <w:i/>
          <w:noProof w:val="0"/>
          <w:sz w:val="18"/>
          <w:szCs w:val="24"/>
        </w:rPr>
        <w:t>12</w:t>
      </w:r>
      <w:r w:rsidRPr="00442C50">
        <w:rPr>
          <w:bCs/>
          <w:noProof w:val="0"/>
          <w:sz w:val="18"/>
          <w:szCs w:val="24"/>
        </w:rPr>
        <w:t>, e1006372</w:t>
      </w:r>
      <w:r w:rsidRPr="00442C50">
        <w:rPr>
          <w:noProof w:val="0"/>
          <w:sz w:val="18"/>
          <w:szCs w:val="24"/>
        </w:rPr>
        <w:t>. https://doi.org/10.1371/JOURNAL.PGEN.1006372.</w:t>
      </w:r>
    </w:p>
    <w:p w:rsidRPr="00442C50" w:rsidR="00995292" w:rsidP="00995292" w:rsidRDefault="00995292" w14:paraId="5891094C"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lang w:val="it-IT"/>
        </w:rPr>
        <w:t xml:space="preserve">Lu, H.; Li, F.; Sánchez, B.J.; Zhu, Z.; Li, G.; Domenzain, I.; Marcišauskas, S.; Anton, P.M.; Lappa, D.; Lieven, C.; et al. </w:t>
      </w:r>
      <w:r w:rsidRPr="00442C50">
        <w:rPr>
          <w:noProof w:val="0"/>
          <w:sz w:val="18"/>
          <w:szCs w:val="24"/>
        </w:rPr>
        <w:t xml:space="preserve">A consensus S. cerevisiae metabolic model Yeast8 and its ecosystem for comprehensively probing cellular metabolism. </w:t>
      </w:r>
      <w:r w:rsidRPr="00442C50">
        <w:rPr>
          <w:i/>
          <w:iCs/>
          <w:noProof w:val="0"/>
          <w:sz w:val="18"/>
          <w:szCs w:val="24"/>
        </w:rPr>
        <w:t>Nat. Commun.</w:t>
      </w:r>
      <w:r w:rsidRPr="00442C50">
        <w:rPr>
          <w:noProof w:val="0"/>
          <w:sz w:val="18"/>
          <w:szCs w:val="24"/>
        </w:rPr>
        <w:t xml:space="preserve"> </w:t>
      </w:r>
      <w:r w:rsidRPr="00442C50">
        <w:rPr>
          <w:b/>
          <w:bCs/>
          <w:noProof w:val="0"/>
          <w:sz w:val="18"/>
          <w:szCs w:val="24"/>
        </w:rPr>
        <w:t>2019</w:t>
      </w:r>
      <w:r w:rsidRPr="00442C50">
        <w:rPr>
          <w:bCs/>
          <w:noProof w:val="0"/>
          <w:sz w:val="18"/>
          <w:szCs w:val="24"/>
        </w:rPr>
        <w:t xml:space="preserve">, </w:t>
      </w:r>
      <w:r w:rsidRPr="00442C50">
        <w:rPr>
          <w:bCs/>
          <w:i/>
          <w:noProof w:val="0"/>
          <w:sz w:val="18"/>
          <w:szCs w:val="24"/>
        </w:rPr>
        <w:t>10</w:t>
      </w:r>
      <w:r w:rsidRPr="00442C50">
        <w:rPr>
          <w:bCs/>
          <w:noProof w:val="0"/>
          <w:sz w:val="18"/>
          <w:szCs w:val="24"/>
        </w:rPr>
        <w:t>, 3586</w:t>
      </w:r>
      <w:r w:rsidRPr="00442C50">
        <w:rPr>
          <w:noProof w:val="0"/>
          <w:sz w:val="18"/>
          <w:szCs w:val="24"/>
        </w:rPr>
        <w:t>. https://doi.org/10.1038/s41467-019-11581-3.</w:t>
      </w:r>
    </w:p>
    <w:p w:rsidRPr="00442C50" w:rsidR="00995292" w:rsidP="00995292" w:rsidRDefault="00995292" w14:paraId="4F1E7F9A"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Lieven, C.; Beber, M.E.; Olivier, B.G.; Bergmann, F.T.; Ataman, M.; Babaei, P.; Bartell, J.A.; Blank, L.M.; Chauhan, S.; Correia, K.; et al. MEMOTE for standardized genome-scale metabolic model testing. </w:t>
      </w:r>
      <w:r w:rsidRPr="00442C50">
        <w:rPr>
          <w:i/>
          <w:iCs/>
          <w:noProof w:val="0"/>
          <w:sz w:val="18"/>
          <w:szCs w:val="24"/>
        </w:rPr>
        <w:t>Nat. Biotechnol.</w:t>
      </w:r>
      <w:r w:rsidRPr="00442C50">
        <w:rPr>
          <w:noProof w:val="0"/>
          <w:sz w:val="18"/>
          <w:szCs w:val="24"/>
        </w:rPr>
        <w:t xml:space="preserve"> </w:t>
      </w:r>
      <w:r w:rsidRPr="00442C50">
        <w:rPr>
          <w:b/>
          <w:bCs/>
          <w:noProof w:val="0"/>
          <w:sz w:val="18"/>
          <w:szCs w:val="24"/>
        </w:rPr>
        <w:t>2020</w:t>
      </w:r>
      <w:r w:rsidRPr="00442C50">
        <w:rPr>
          <w:bCs/>
          <w:noProof w:val="0"/>
          <w:sz w:val="18"/>
          <w:szCs w:val="24"/>
        </w:rPr>
        <w:t xml:space="preserve">, </w:t>
      </w:r>
      <w:r w:rsidRPr="00442C50">
        <w:rPr>
          <w:bCs/>
          <w:i/>
          <w:noProof w:val="0"/>
          <w:sz w:val="18"/>
          <w:szCs w:val="24"/>
        </w:rPr>
        <w:t>38</w:t>
      </w:r>
      <w:r w:rsidRPr="00442C50">
        <w:rPr>
          <w:bCs/>
          <w:noProof w:val="0"/>
          <w:sz w:val="18"/>
          <w:szCs w:val="24"/>
        </w:rPr>
        <w:t>, 272–276</w:t>
      </w:r>
      <w:r w:rsidRPr="00442C50">
        <w:rPr>
          <w:noProof w:val="0"/>
          <w:sz w:val="18"/>
          <w:szCs w:val="24"/>
        </w:rPr>
        <w:t>. https://doi.org/10.1038/s41587-020-0446-y.</w:t>
      </w:r>
    </w:p>
    <w:p w:rsidRPr="00442C50" w:rsidR="00995292" w:rsidP="00995292" w:rsidRDefault="00995292" w14:paraId="60120C5D" w14:textId="77777777">
      <w:pPr>
        <w:pStyle w:val="ListParagraph"/>
        <w:numPr>
          <w:ilvl w:val="0"/>
          <w:numId w:val="26"/>
        </w:numPr>
        <w:adjustRightInd w:val="0"/>
        <w:snapToGrid w:val="0"/>
        <w:spacing w:line="228" w:lineRule="auto"/>
        <w:ind w:left="425" w:hanging="425" w:firstLineChars="0"/>
        <w:contextualSpacing/>
        <w:rPr>
          <w:noProof w:val="0"/>
          <w:sz w:val="18"/>
          <w:szCs w:val="24"/>
        </w:rPr>
      </w:pPr>
      <w:r w:rsidRPr="00442C50">
        <w:rPr>
          <w:noProof w:val="0"/>
          <w:sz w:val="18"/>
          <w:szCs w:val="24"/>
        </w:rPr>
        <w:t xml:space="preserve">Schirawski, J. Invasion is sweet. </w:t>
      </w:r>
      <w:r w:rsidRPr="00442C50">
        <w:rPr>
          <w:i/>
          <w:iCs/>
          <w:noProof w:val="0"/>
          <w:sz w:val="18"/>
          <w:szCs w:val="24"/>
        </w:rPr>
        <w:t>New Phytol.</w:t>
      </w:r>
      <w:r w:rsidRPr="00442C50">
        <w:rPr>
          <w:noProof w:val="0"/>
          <w:sz w:val="18"/>
          <w:szCs w:val="24"/>
        </w:rPr>
        <w:t xml:space="preserve"> </w:t>
      </w:r>
      <w:r w:rsidRPr="00442C50">
        <w:rPr>
          <w:b/>
          <w:bCs/>
          <w:noProof w:val="0"/>
          <w:sz w:val="18"/>
          <w:szCs w:val="24"/>
        </w:rPr>
        <w:t>2015</w:t>
      </w:r>
      <w:r w:rsidRPr="00442C50">
        <w:rPr>
          <w:bCs/>
          <w:noProof w:val="0"/>
          <w:sz w:val="18"/>
          <w:szCs w:val="24"/>
        </w:rPr>
        <w:t xml:space="preserve">, </w:t>
      </w:r>
      <w:r w:rsidRPr="00442C50">
        <w:rPr>
          <w:bCs/>
          <w:i/>
          <w:noProof w:val="0"/>
          <w:sz w:val="18"/>
          <w:szCs w:val="24"/>
        </w:rPr>
        <w:t>206</w:t>
      </w:r>
      <w:r w:rsidRPr="00442C50">
        <w:rPr>
          <w:bCs/>
          <w:noProof w:val="0"/>
          <w:sz w:val="18"/>
          <w:szCs w:val="24"/>
        </w:rPr>
        <w:t>, 892–894</w:t>
      </w:r>
      <w:r w:rsidRPr="00442C50">
        <w:rPr>
          <w:noProof w:val="0"/>
          <w:sz w:val="18"/>
          <w:szCs w:val="24"/>
        </w:rPr>
        <w:t>. https://doi.org/10.1111/nph.13397.</w:t>
      </w:r>
    </w:p>
    <w:p w:rsidRPr="00442C50" w:rsidR="00995292" w:rsidP="00995292" w:rsidRDefault="00995292" w14:paraId="2F712853" w14:textId="77777777">
      <w:pPr>
        <w:pStyle w:val="ListParagraph"/>
        <w:numPr>
          <w:ilvl w:val="0"/>
          <w:numId w:val="26"/>
        </w:numPr>
        <w:adjustRightInd w:val="0"/>
        <w:snapToGrid w:val="0"/>
        <w:spacing w:line="228" w:lineRule="auto"/>
        <w:ind w:left="425" w:hanging="425" w:firstLineChars="0"/>
        <w:contextualSpacing/>
        <w:rPr>
          <w:noProof w:val="0"/>
          <w:sz w:val="18"/>
        </w:rPr>
      </w:pPr>
      <w:r w:rsidRPr="00442C50">
        <w:rPr>
          <w:noProof w:val="0"/>
          <w:sz w:val="18"/>
          <w:szCs w:val="24"/>
        </w:rPr>
        <w:t xml:space="preserve">Verduyn, C.; Stouthamer, A.H.; Scheffers, W.A.; van Dijken, J.P. A theoretical evaluation of growth yields of yeasts. </w:t>
      </w:r>
      <w:r w:rsidRPr="00442C50">
        <w:rPr>
          <w:i/>
          <w:iCs/>
          <w:noProof w:val="0"/>
          <w:sz w:val="18"/>
          <w:szCs w:val="24"/>
        </w:rPr>
        <w:t xml:space="preserve">Antonie Van Leeuwenhoek </w:t>
      </w:r>
      <w:r w:rsidRPr="00442C50">
        <w:rPr>
          <w:b/>
          <w:bCs/>
          <w:noProof w:val="0"/>
          <w:sz w:val="18"/>
          <w:szCs w:val="24"/>
        </w:rPr>
        <w:t>1991</w:t>
      </w:r>
      <w:r w:rsidRPr="00442C50">
        <w:rPr>
          <w:bCs/>
          <w:noProof w:val="0"/>
          <w:sz w:val="18"/>
          <w:szCs w:val="24"/>
        </w:rPr>
        <w:t xml:space="preserve">, </w:t>
      </w:r>
      <w:r w:rsidRPr="00442C50">
        <w:rPr>
          <w:bCs/>
          <w:i/>
          <w:noProof w:val="0"/>
          <w:sz w:val="18"/>
          <w:szCs w:val="24"/>
        </w:rPr>
        <w:t>59</w:t>
      </w:r>
      <w:r w:rsidRPr="00442C50">
        <w:rPr>
          <w:bCs/>
          <w:noProof w:val="0"/>
          <w:sz w:val="18"/>
          <w:szCs w:val="24"/>
        </w:rPr>
        <w:t>, 49–63</w:t>
      </w:r>
      <w:r w:rsidRPr="00442C50">
        <w:rPr>
          <w:noProof w:val="0"/>
          <w:sz w:val="18"/>
          <w:szCs w:val="24"/>
        </w:rPr>
        <w:t>. https://doi.org/10.1007/BF00582119.</w:t>
      </w:r>
    </w:p>
    <w:p w:rsidRPr="00C701E7" w:rsidR="00995292" w:rsidP="00995292" w:rsidRDefault="00995292" w14:paraId="2324B825" w14:textId="5143B02F">
      <w:pPr>
        <w:pStyle w:val="ListParagraph"/>
        <w:adjustRightInd w:val="0"/>
        <w:snapToGrid w:val="0"/>
        <w:spacing w:line="228" w:lineRule="auto"/>
        <w:ind w:left="425" w:firstLine="400"/>
      </w:pPr>
    </w:p>
    <w:p w:rsidRPr="00567911" w:rsidR="00325A48" w:rsidP="00567911" w:rsidRDefault="00325A48" w14:paraId="580BE671" w14:textId="07443D94">
      <w:pPr>
        <w:pStyle w:val="MDPI71References"/>
        <w:numPr>
          <w:ilvl w:val="0"/>
          <w:numId w:val="0"/>
        </w:numPr>
        <w:ind w:left="425" w:hanging="425"/>
      </w:pPr>
    </w:p>
    <w:p w:rsidRPr="00325A48" w:rsidR="00C34A11" w:rsidP="00325A48" w:rsidRDefault="00C34A11" w14:paraId="504180B7" w14:textId="37A5072D"/>
    <w:sectPr w:rsidRPr="00325A48" w:rsidR="00C34A11" w:rsidSect="008843B4">
      <w:headerReference w:type="even" r:id="rId16"/>
      <w:headerReference w:type="default" r:id="rId17"/>
      <w:footerReference w:type="default" r:id="rId18"/>
      <w:headerReference w:type="first" r:id="rId19"/>
      <w:footerReference w:type="first" r:id="rId20"/>
      <w:type w:val="continuous"/>
      <w:pgSz w:w="11906" w:h="16838" w:orient="portrait" w:code="9"/>
      <w:pgMar w:top="1417" w:right="720" w:bottom="1077" w:left="720" w:header="1020" w:footer="340" w:gutter="0"/>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M" w:author="MDPI" w:date="2022-05-19T16:30:00Z" w:id="0">
    <w:p w:rsidR="00723B80" w:rsidRDefault="00723B80" w14:paraId="6EDC89A1" w14:textId="77777777">
      <w:pPr>
        <w:pStyle w:val="CommentText"/>
      </w:pPr>
      <w:r>
        <w:rPr>
          <w:rStyle w:val="CommentReference"/>
        </w:rPr>
        <w:annotationRef/>
      </w:r>
      <w:r>
        <w:t>!! The Figure could not be changed as the former one was the accepted version from all the editors.</w:t>
      </w:r>
    </w:p>
    <w:p w:rsidR="00723B80" w:rsidRDefault="00723B80" w14:paraId="07374EDA" w14:textId="77777777">
      <w:pPr>
        <w:pStyle w:val="CommentText"/>
      </w:pPr>
    </w:p>
    <w:p w:rsidR="00EB002B" w:rsidRDefault="00EB002B" w14:paraId="5889A085" w14:textId="07EA36F4">
      <w:pPr>
        <w:pStyle w:val="CommentText"/>
      </w:pPr>
      <w:r>
        <w:t>Please remove the overlap in the figure 3</w:t>
      </w:r>
      <w:r w:rsidR="00B06815">
        <w:t>C</w:t>
      </w:r>
    </w:p>
  </w:comment>
  <w:comment w:initials="M" w:author="MDPI" w:date="2022-05-17T13:46:00Z" w:id="2">
    <w:p w:rsidR="006451C8" w:rsidP="00CA32D8" w:rsidRDefault="006451C8" w14:paraId="2925C66C" w14:textId="77777777">
      <w:pPr>
        <w:pStyle w:val="CommentText"/>
      </w:pPr>
      <w:r>
        <w:rPr>
          <w:rStyle w:val="CommentReference"/>
        </w:rPr>
        <w:annotationRef/>
      </w:r>
      <w:r w:rsidR="00CA32D8">
        <w:t>Figure</w:t>
      </w:r>
      <w:r w:rsidRPr="00CA32D8" w:rsidR="00CA32D8">
        <w:t xml:space="preserve"> </w:t>
      </w:r>
      <w:r w:rsidR="00CA32D8">
        <w:t>4</w:t>
      </w:r>
      <w:r w:rsidRPr="00CA32D8" w:rsidR="00CA32D8">
        <w:t xml:space="preserve">C is not very clear. </w:t>
      </w:r>
      <w:r w:rsidR="00CA32D8">
        <w:t>Please check if</w:t>
      </w:r>
      <w:r w:rsidRPr="00CA32D8" w:rsidR="00CA32D8">
        <w:t xml:space="preserve"> there </w:t>
      </w:r>
      <w:r w:rsidR="00CA32D8">
        <w:t xml:space="preserve">is </w:t>
      </w:r>
      <w:r w:rsidRPr="00CA32D8" w:rsidR="00CA32D8">
        <w:t>a clearer picture  can be provided?</w:t>
      </w:r>
    </w:p>
    <w:p w:rsidR="00937462" w:rsidP="00CA32D8" w:rsidRDefault="00937462" w14:paraId="1E3BFD48" w14:textId="7B0B11E7">
      <w:pPr>
        <w:pStyle w:val="CommentText"/>
      </w:pPr>
      <w:r>
        <w:t>When replacing the figure, please double check all the contents in it to avoid any possible errors.</w:t>
      </w:r>
    </w:p>
  </w:comment>
  <w:comment w:initials="UL" w:author="Ulf Liebal" w:date="2022-05-18T17:15:00Z" w:id="3">
    <w:p w:rsidR="69A3F416" w:rsidRDefault="69A3F416" w14:paraId="2168DDD9" w14:textId="5103A7A1">
      <w:pPr>
        <w:pStyle w:val="CommentText"/>
      </w:pPr>
      <w:r>
        <w:t>I cut a zoom area from the figure 3C to make it more readable.</w:t>
      </w:r>
      <w:r>
        <w:rPr>
          <w:rStyle w:val="CommentReference"/>
        </w:rPr>
        <w:annotationRef/>
      </w:r>
    </w:p>
  </w:comment>
  <w:comment w:initials="M" w:author="MDPI" w:date="2022-05-19T16:32:00Z" w:id="4">
    <w:p w:rsidR="006E46D9" w:rsidRDefault="006E46D9" w14:paraId="534A606B" w14:textId="77777777">
      <w:pPr>
        <w:pStyle w:val="CommentText"/>
      </w:pPr>
      <w:r>
        <w:rPr>
          <w:rStyle w:val="CommentReference"/>
        </w:rPr>
        <w:annotationRef/>
      </w:r>
      <w:r>
        <w:t>The zooming is not acceptable as the figure will not be complete.</w:t>
      </w:r>
    </w:p>
    <w:p w:rsidR="006E46D9" w:rsidRDefault="006E46D9" w14:paraId="26A9A0EB" w14:textId="77777777">
      <w:pPr>
        <w:pStyle w:val="CommentText"/>
      </w:pPr>
    </w:p>
    <w:p w:rsidR="006E46D9" w:rsidRDefault="006E46D9" w14:paraId="6AF65514" w14:textId="59F0F352">
      <w:pPr>
        <w:pStyle w:val="CommentText"/>
      </w:pPr>
      <w:r>
        <w:t>We suggest to retain the former one if there is no higher-solution version.</w:t>
      </w:r>
    </w:p>
  </w:comment>
  <w:comment w:initials="UL" w:author="Ulf Liebal" w:date="2022-05-19T12:23:30" w:id="1604237185">
    <w:p w:rsidR="52FDC415" w:rsidRDefault="52FDC415" w14:paraId="41F25419" w14:textId="52745CEF">
      <w:pPr>
        <w:pStyle w:val="CommentText"/>
      </w:pPr>
      <w:r w:rsidR="52FDC415">
        <w:rPr/>
        <w:t>The reviewer explicitly recommended the exclusion of the red data point, which we followed by removal from the table 3 and Figure 3. While I failed to upload an updated separate high resolution figure, the editors/ reviewers have seen the new figure 3 within the manuscript itself in the second review round.</w:t>
      </w:r>
      <w:r>
        <w:rPr>
          <w:rStyle w:val="CommentReference"/>
        </w:rPr>
        <w:annotationRef/>
      </w:r>
    </w:p>
    <w:p w:rsidR="52FDC415" w:rsidRDefault="52FDC415" w14:paraId="26DFAD32" w14:textId="3234F481">
      <w:pPr>
        <w:pStyle w:val="CommentText"/>
      </w:pPr>
    </w:p>
    <w:p w:rsidR="52FDC415" w:rsidRDefault="52FDC415" w14:paraId="49E758E5" w14:textId="587CC950">
      <w:pPr>
        <w:pStyle w:val="CommentText"/>
      </w:pPr>
      <w:r w:rsidR="52FDC415">
        <w:rPr/>
        <w:t>The manuscript cannot proceed with the controversial, red marked data in Figure 3 still present.</w:t>
      </w:r>
    </w:p>
    <w:p w:rsidR="52FDC415" w:rsidRDefault="52FDC415" w14:paraId="4A2346B5" w14:textId="66834511">
      <w:pPr>
        <w:pStyle w:val="CommentText"/>
      </w:pPr>
    </w:p>
    <w:p w:rsidR="52FDC415" w:rsidRDefault="52FDC415" w14:paraId="01C8BB44" w14:textId="6526D276">
      <w:pPr>
        <w:pStyle w:val="CommentText"/>
      </w:pPr>
      <w:r w:rsidR="52FDC415">
        <w:rPr/>
        <w:t>The latest version of the high resolution of Fig 3C does not contain an overlap of the legend with the error bar.</w:t>
      </w:r>
    </w:p>
  </w:comment>
  <w:comment w:initials="UL" w:author="Ulf Liebal" w:date="2022-05-19T12:32:28" w:id="1162058095">
    <w:p w:rsidR="52FDC415" w:rsidRDefault="52FDC415" w14:paraId="2A577641" w14:textId="4E0AE8F5">
      <w:pPr>
        <w:pStyle w:val="CommentText"/>
      </w:pPr>
      <w:r w:rsidR="52FDC415">
        <w:rPr/>
        <w:t>Please use the original version without zooming. There is no export with a higher resolution of the Figure 4C possible.</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5889A085"/>
  <w15:commentEx w15:done="0" w15:paraId="1E3BFD48"/>
  <w15:commentEx w15:done="0" w15:paraId="2168DDD9" w15:paraIdParent="1E3BFD48"/>
  <w15:commentEx w15:done="0" w15:paraId="6AF65514" w15:paraIdParent="1E3BFD48"/>
  <w15:commentEx w15:done="0" w15:paraId="01C8BB44" w15:paraIdParent="5889A085"/>
  <w15:commentEx w15:done="0" w15:paraId="2A577641" w15:paraIdParent="1E3BFD4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30EF09" w16cex:dateUtc="2022-05-19T08:30:00Z"/>
  <w16cex:commentExtensible w16cex:durableId="262E25AB" w16cex:dateUtc="2022-05-17T05:46:00Z"/>
  <w16cex:commentExtensible w16cex:durableId="76DAB32B" w16cex:dateUtc="2022-05-18T09:15:00Z"/>
  <w16cex:commentExtensible w16cex:durableId="2630EF8D" w16cex:dateUtc="2022-05-19T08:32:00Z"/>
  <w16cex:commentExtensible w16cex:durableId="6174046F" w16cex:dateUtc="2022-05-19T10:23:30.517Z"/>
  <w16cex:commentExtensible w16cex:durableId="386D0BC9" w16cex:dateUtc="2022-05-19T10:32:28.691Z"/>
</w16cex:commentsExtensible>
</file>

<file path=word/commentsIds.xml><?xml version="1.0" encoding="utf-8"?>
<w16cid:commentsIds xmlns:mc="http://schemas.openxmlformats.org/markup-compatibility/2006" xmlns:w16cid="http://schemas.microsoft.com/office/word/2016/wordml/cid" mc:Ignorable="w16cid">
  <w16cid:commentId w16cid:paraId="5889A085" w16cid:durableId="2630EF09"/>
  <w16cid:commentId w16cid:paraId="1E3BFD48" w16cid:durableId="262E25AB"/>
  <w16cid:commentId w16cid:paraId="2168DDD9" w16cid:durableId="76DAB32B"/>
  <w16cid:commentId w16cid:paraId="6AF65514" w16cid:durableId="2630EF8D"/>
  <w16cid:commentId w16cid:paraId="01C8BB44" w16cid:durableId="6174046F"/>
  <w16cid:commentId w16cid:paraId="2A577641" w16cid:durableId="386D0B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11B4B" w:rsidRDefault="00711B4B" w14:paraId="5336EFD6" w14:textId="77777777">
      <w:pPr>
        <w:spacing w:line="240" w:lineRule="auto"/>
      </w:pPr>
      <w:r>
        <w:separator/>
      </w:r>
    </w:p>
  </w:endnote>
  <w:endnote w:type="continuationSeparator" w:id="0">
    <w:p w:rsidR="00711B4B" w:rsidRDefault="00711B4B" w14:paraId="5B4CE76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Math">
    <w:altName w:val="Malgun Gothic"/>
    <w:panose1 w:val="00000000000000000000"/>
    <w:charset w:val="81"/>
    <w:family w:val="auto"/>
    <w:notTrueType/>
    <w:pitch w:val="default"/>
    <w:sig w:usb0="00000000" w:usb1="09060000" w:usb2="00000010" w:usb3="00000000" w:csb0="0008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27793" w:rsidR="008765C7" w:rsidP="008765C7" w:rsidRDefault="008765C7" w14:paraId="2E0AE4CD" w14:textId="77777777">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20FE" w:rsidP="00D165AC" w:rsidRDefault="00A920FE" w14:paraId="5563C6B9" w14:textId="77777777">
    <w:pPr>
      <w:pBdr>
        <w:top w:val="single" w:color="000000" w:sz="4" w:space="0"/>
      </w:pBdr>
      <w:tabs>
        <w:tab w:val="right" w:pos="8844"/>
      </w:tabs>
      <w:adjustRightInd w:val="0"/>
      <w:snapToGrid w:val="0"/>
      <w:spacing w:before="480" w:line="100" w:lineRule="exact"/>
      <w:jc w:val="left"/>
      <w:rPr>
        <w:i/>
        <w:sz w:val="16"/>
        <w:szCs w:val="16"/>
        <w:lang w:val="it-IT"/>
      </w:rPr>
    </w:pPr>
  </w:p>
  <w:p w:rsidRPr="006E46D9" w:rsidR="008765C7" w:rsidP="00AA048A" w:rsidRDefault="008765C7" w14:paraId="6FCB8158" w14:textId="77777777">
    <w:pPr>
      <w:tabs>
        <w:tab w:val="right" w:pos="10466"/>
      </w:tabs>
      <w:adjustRightInd w:val="0"/>
      <w:snapToGrid w:val="0"/>
      <w:spacing w:line="240" w:lineRule="auto"/>
      <w:rPr>
        <w:sz w:val="16"/>
        <w:szCs w:val="16"/>
        <w:lang w:val="de-DE"/>
      </w:rPr>
    </w:pPr>
    <w:r w:rsidRPr="00B67F2D">
      <w:rPr>
        <w:i/>
        <w:sz w:val="16"/>
        <w:szCs w:val="16"/>
        <w:lang w:val="it-IT"/>
      </w:rPr>
      <w:t xml:space="preserve">J. Fungi </w:t>
    </w:r>
    <w:r w:rsidR="004E5855">
      <w:rPr>
        <w:b/>
        <w:bCs/>
        <w:iCs/>
        <w:sz w:val="16"/>
        <w:szCs w:val="16"/>
        <w:lang w:val="it-IT"/>
      </w:rPr>
      <w:t>2022</w:t>
    </w:r>
    <w:r w:rsidRPr="003174AC" w:rsidR="003174AC">
      <w:rPr>
        <w:bCs/>
        <w:iCs/>
        <w:sz w:val="16"/>
        <w:szCs w:val="16"/>
        <w:lang w:val="it-IT"/>
      </w:rPr>
      <w:t>,</w:t>
    </w:r>
    <w:r w:rsidR="004E5855">
      <w:rPr>
        <w:bCs/>
        <w:i/>
        <w:iCs/>
        <w:sz w:val="16"/>
        <w:szCs w:val="16"/>
        <w:lang w:val="it-IT"/>
      </w:rPr>
      <w:t xml:space="preserve"> 8</w:t>
    </w:r>
    <w:r w:rsidRPr="003174AC" w:rsidR="003174AC">
      <w:rPr>
        <w:bCs/>
        <w:iCs/>
        <w:sz w:val="16"/>
        <w:szCs w:val="16"/>
        <w:lang w:val="it-IT"/>
      </w:rPr>
      <w:t xml:space="preserve">, </w:t>
    </w:r>
    <w:r w:rsidR="00133C79">
      <w:rPr>
        <w:bCs/>
        <w:iCs/>
        <w:sz w:val="16"/>
        <w:szCs w:val="16"/>
        <w:lang w:val="it-IT"/>
      </w:rPr>
      <w:t>x</w:t>
    </w:r>
    <w:r w:rsidR="00A920FE">
      <w:rPr>
        <w:bCs/>
        <w:iCs/>
        <w:sz w:val="16"/>
        <w:szCs w:val="16"/>
        <w:lang w:val="it-IT"/>
      </w:rPr>
      <w:t>. https://doi.org/10.3390/xxxxx</w:t>
    </w:r>
    <w:r w:rsidRPr="00F35949" w:rsidR="00AA048A">
      <w:rPr>
        <w:sz w:val="16"/>
        <w:szCs w:val="16"/>
        <w:lang w:val="de-DE"/>
      </w:rPr>
      <w:tab/>
    </w:r>
    <w:r w:rsidRPr="00F35949">
      <w:rPr>
        <w:sz w:val="16"/>
        <w:szCs w:val="16"/>
        <w:lang w:val="de-DE"/>
      </w:rPr>
      <w:t>www.mdpi.com/journal/</w:t>
    </w:r>
    <w:r w:rsidRPr="00B67F2D">
      <w:rPr>
        <w:sz w:val="16"/>
        <w:szCs w:val="16"/>
        <w:lang w:val="it-IT"/>
      </w:rPr>
      <w:t>jof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11B4B" w:rsidRDefault="00711B4B" w14:paraId="32514877" w14:textId="77777777">
      <w:pPr>
        <w:spacing w:line="240" w:lineRule="auto"/>
      </w:pPr>
      <w:r>
        <w:separator/>
      </w:r>
    </w:p>
  </w:footnote>
  <w:footnote w:type="continuationSeparator" w:id="0">
    <w:p w:rsidR="00711B4B" w:rsidRDefault="00711B4B" w14:paraId="3F36FE9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65C7" w:rsidP="008765C7" w:rsidRDefault="008765C7" w14:paraId="38258447" w14:textId="77777777">
    <w:pPr>
      <w:pStyle w:val="Header"/>
      <w:pBdr>
        <w:bottom w:val="none" w:color="auto" w:sz="0" w:space="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20FE" w:rsidP="00AA048A" w:rsidRDefault="008765C7" w14:paraId="33CDBDE5" w14:textId="48C12560">
    <w:pPr>
      <w:tabs>
        <w:tab w:val="right" w:pos="10466"/>
      </w:tabs>
      <w:adjustRightInd w:val="0"/>
      <w:snapToGrid w:val="0"/>
      <w:spacing w:line="240" w:lineRule="auto"/>
      <w:rPr>
        <w:sz w:val="16"/>
      </w:rPr>
    </w:pPr>
    <w:r>
      <w:rPr>
        <w:i/>
        <w:sz w:val="16"/>
      </w:rPr>
      <w:t xml:space="preserve">J. Fungi </w:t>
    </w:r>
    <w:r w:rsidR="004E5855">
      <w:rPr>
        <w:b/>
        <w:sz w:val="16"/>
      </w:rPr>
      <w:t>2022</w:t>
    </w:r>
    <w:r w:rsidRPr="003174AC" w:rsidR="003174AC">
      <w:rPr>
        <w:sz w:val="16"/>
      </w:rPr>
      <w:t>,</w:t>
    </w:r>
    <w:r w:rsidR="004E5855">
      <w:rPr>
        <w:i/>
        <w:sz w:val="16"/>
      </w:rPr>
      <w:t xml:space="preserve"> 8</w:t>
    </w:r>
    <w:r w:rsidR="00133C79">
      <w:rPr>
        <w:sz w:val="16"/>
      </w:rPr>
      <w:t>, x FOR PEER REVIEW</w:t>
    </w:r>
    <w:r w:rsidR="00AA048A">
      <w:rPr>
        <w:sz w:val="16"/>
      </w:rPr>
      <w:tab/>
    </w:r>
    <w:r w:rsidR="00133C79">
      <w:rPr>
        <w:sz w:val="16"/>
      </w:rPr>
      <w:fldChar w:fldCharType="begin"/>
    </w:r>
    <w:r w:rsidR="00133C79">
      <w:rPr>
        <w:sz w:val="16"/>
      </w:rPr>
      <w:instrText xml:space="preserve"> PAGE   \* MERGEFORMAT </w:instrText>
    </w:r>
    <w:r w:rsidR="00133C79">
      <w:rPr>
        <w:sz w:val="16"/>
      </w:rPr>
      <w:fldChar w:fldCharType="separate"/>
    </w:r>
    <w:r w:rsidR="00BA78CA">
      <w:rPr>
        <w:sz w:val="16"/>
      </w:rPr>
      <w:t>13</w:t>
    </w:r>
    <w:r w:rsidR="00133C79">
      <w:rPr>
        <w:sz w:val="16"/>
      </w:rPr>
      <w:fldChar w:fldCharType="end"/>
    </w:r>
    <w:r w:rsidR="00133C79">
      <w:rPr>
        <w:sz w:val="16"/>
      </w:rPr>
      <w:t xml:space="preserve"> of </w:t>
    </w:r>
    <w:r w:rsidR="00133C79">
      <w:rPr>
        <w:sz w:val="16"/>
      </w:rPr>
      <w:fldChar w:fldCharType="begin"/>
    </w:r>
    <w:r w:rsidR="00133C79">
      <w:rPr>
        <w:sz w:val="16"/>
      </w:rPr>
      <w:instrText xml:space="preserve"> NUMPAGES   \* MERGEFORMAT </w:instrText>
    </w:r>
    <w:r w:rsidR="00133C79">
      <w:rPr>
        <w:sz w:val="16"/>
      </w:rPr>
      <w:fldChar w:fldCharType="separate"/>
    </w:r>
    <w:r w:rsidR="00BA78CA">
      <w:rPr>
        <w:sz w:val="16"/>
      </w:rPr>
      <w:t>13</w:t>
    </w:r>
    <w:r w:rsidR="00133C79">
      <w:rPr>
        <w:sz w:val="16"/>
      </w:rPr>
      <w:fldChar w:fldCharType="end"/>
    </w:r>
  </w:p>
  <w:p w:rsidRPr="00D13D31" w:rsidR="008765C7" w:rsidP="00D165AC" w:rsidRDefault="008765C7" w14:paraId="76FAC69E" w14:textId="77777777">
    <w:pPr>
      <w:pBdr>
        <w:bottom w:val="single" w:color="000000" w:sz="4" w:space="1"/>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Pr="00AA048A" w:rsidR="00A920FE" w:rsidTr="00856487" w14:paraId="0AA8CDA1" w14:textId="77777777">
      <w:trPr>
        <w:trHeight w:val="686"/>
      </w:trPr>
      <w:tc>
        <w:tcPr>
          <w:tcW w:w="3679" w:type="dxa"/>
          <w:shd w:val="clear" w:color="auto" w:fill="auto"/>
          <w:vAlign w:val="center"/>
        </w:tcPr>
        <w:p w:rsidRPr="0011000A" w:rsidR="00A920FE" w:rsidP="00AA048A" w:rsidRDefault="00714FFC" w14:paraId="3F3A7412" w14:textId="77777777">
          <w:pPr>
            <w:pStyle w:val="Header"/>
            <w:pBdr>
              <w:bottom w:val="none" w:color="auto" w:sz="0" w:space="0"/>
            </w:pBdr>
            <w:jc w:val="left"/>
            <w:rPr>
              <w:rFonts w:eastAsia="等线"/>
              <w:b/>
              <w:bCs/>
            </w:rPr>
          </w:pPr>
          <w:r w:rsidRPr="0011000A">
            <w:rPr>
              <w:rFonts w:eastAsia="等线"/>
              <w:b/>
              <w:bCs/>
              <w:lang w:val="de-DE" w:eastAsia="de-DE"/>
            </w:rPr>
            <w:drawing>
              <wp:inline distT="0" distB="0" distL="0" distR="0" wp14:anchorId="7C132175" wp14:editId="04F78EA0">
                <wp:extent cx="1156970" cy="429260"/>
                <wp:effectExtent l="0" t="0" r="0" b="0"/>
                <wp:docPr id="1" name="Picture 3" descr="C:\Users\home\AppData\Local\Temp\HZ$D.661.3551\jof-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AppData\Local\Temp\HZ$D.661.3551\jof-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970" cy="429260"/>
                        </a:xfrm>
                        <a:prstGeom prst="rect">
                          <a:avLst/>
                        </a:prstGeom>
                        <a:noFill/>
                        <a:ln>
                          <a:noFill/>
                        </a:ln>
                      </pic:spPr>
                    </pic:pic>
                  </a:graphicData>
                </a:graphic>
              </wp:inline>
            </w:drawing>
          </w:r>
        </w:p>
      </w:tc>
      <w:tc>
        <w:tcPr>
          <w:tcW w:w="4535" w:type="dxa"/>
          <w:shd w:val="clear" w:color="auto" w:fill="auto"/>
          <w:vAlign w:val="center"/>
        </w:tcPr>
        <w:p w:rsidRPr="0011000A" w:rsidR="00A920FE" w:rsidP="00AA048A" w:rsidRDefault="00A920FE" w14:paraId="4083A870" w14:textId="77777777">
          <w:pPr>
            <w:pStyle w:val="Header"/>
            <w:pBdr>
              <w:bottom w:val="none" w:color="auto" w:sz="0" w:space="0"/>
            </w:pBdr>
            <w:rPr>
              <w:rFonts w:eastAsia="等线"/>
              <w:b/>
              <w:bCs/>
            </w:rPr>
          </w:pPr>
        </w:p>
      </w:tc>
      <w:tc>
        <w:tcPr>
          <w:tcW w:w="2273" w:type="dxa"/>
          <w:shd w:val="clear" w:color="auto" w:fill="auto"/>
          <w:vAlign w:val="center"/>
        </w:tcPr>
        <w:p w:rsidRPr="0011000A" w:rsidR="00A920FE" w:rsidP="00856487" w:rsidRDefault="00856487" w14:paraId="15E1989F" w14:textId="77777777">
          <w:pPr>
            <w:pStyle w:val="Header"/>
            <w:pBdr>
              <w:bottom w:val="none" w:color="auto" w:sz="0" w:space="0"/>
            </w:pBdr>
            <w:jc w:val="right"/>
            <w:rPr>
              <w:rFonts w:eastAsia="等线"/>
              <w:b/>
              <w:bCs/>
            </w:rPr>
          </w:pPr>
          <w:r>
            <w:rPr>
              <w:rFonts w:eastAsia="等线"/>
              <w:b/>
              <w:bCs/>
              <w:lang w:val="de-DE" w:eastAsia="de-DE"/>
            </w:rPr>
            <w:drawing>
              <wp:inline distT="0" distB="0" distL="0" distR="0" wp14:anchorId="28275330" wp14:editId="07AF21B9">
                <wp:extent cx="540000" cy="360000"/>
                <wp:effectExtent l="0" t="0" r="0" b="2540"/>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2">
                          <a:extLst>
                            <a:ext uri="{28A0092B-C50C-407E-A947-70E740481C1C}">
                              <a14:useLocalDpi xmlns:a14="http://schemas.microsoft.com/office/drawing/2010/main" val="0"/>
                            </a:ext>
                          </a:extLst>
                        </a:blip>
                        <a:stretch>
                          <a:fillRect/>
                        </a:stretch>
                      </pic:blipFill>
                      <pic:spPr>
                        <a:xfrm>
                          <a:off x="0" y="0"/>
                          <a:ext cx="540000" cy="360000"/>
                        </a:xfrm>
                        <a:prstGeom prst="rect">
                          <a:avLst/>
                        </a:prstGeom>
                      </pic:spPr>
                    </pic:pic>
                  </a:graphicData>
                </a:graphic>
              </wp:inline>
            </w:drawing>
          </w:r>
        </w:p>
      </w:tc>
    </w:tr>
  </w:tbl>
  <w:p w:rsidRPr="00A920FE" w:rsidR="008765C7" w:rsidP="00D165AC" w:rsidRDefault="008765C7" w14:paraId="08E54001" w14:textId="77777777">
    <w:pPr>
      <w:pBdr>
        <w:bottom w:val="single" w:color="000000" w:sz="4" w:space="1"/>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468F5"/>
    <w:multiLevelType w:val="hybridMultilevel"/>
    <w:tmpl w:val="EA2C195E"/>
    <w:lvl w:ilvl="0" w:tplc="AB985B7A">
      <w:start w:val="1"/>
      <w:numFmt w:val="bullet"/>
      <w:lvlRestart w:val="0"/>
      <w:pStyle w:val="MDPI38bullet"/>
      <w:lvlText w:val=""/>
      <w:lvlJc w:val="left"/>
      <w:pPr>
        <w:ind w:left="3033" w:hanging="425"/>
      </w:pPr>
      <w:rPr>
        <w:rFonts w:hint="default" w:ascii="Symbol" w:hAnsi="Symbol"/>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hint="default" w:ascii="Symbol" w:hAnsi="Symbol"/>
      </w:rPr>
    </w:lvl>
    <w:lvl w:ilvl="1" w:tplc="04090003" w:tentative="1">
      <w:start w:val="1"/>
      <w:numFmt w:val="bullet"/>
      <w:lvlText w:val="o"/>
      <w:lvlJc w:val="left"/>
      <w:pPr>
        <w:ind w:left="4048" w:hanging="360"/>
      </w:pPr>
      <w:rPr>
        <w:rFonts w:hint="default" w:ascii="Courier New" w:hAnsi="Courier New" w:cs="Courier New"/>
      </w:rPr>
    </w:lvl>
    <w:lvl w:ilvl="2" w:tplc="04090005" w:tentative="1">
      <w:start w:val="1"/>
      <w:numFmt w:val="bullet"/>
      <w:lvlText w:val=""/>
      <w:lvlJc w:val="left"/>
      <w:pPr>
        <w:ind w:left="4768" w:hanging="360"/>
      </w:pPr>
      <w:rPr>
        <w:rFonts w:hint="default" w:ascii="Wingdings" w:hAnsi="Wingdings"/>
      </w:rPr>
    </w:lvl>
    <w:lvl w:ilvl="3" w:tplc="04090001" w:tentative="1">
      <w:start w:val="1"/>
      <w:numFmt w:val="bullet"/>
      <w:lvlText w:val=""/>
      <w:lvlJc w:val="left"/>
      <w:pPr>
        <w:ind w:left="5488" w:hanging="360"/>
      </w:pPr>
      <w:rPr>
        <w:rFonts w:hint="default" w:ascii="Symbol" w:hAnsi="Symbol"/>
      </w:rPr>
    </w:lvl>
    <w:lvl w:ilvl="4" w:tplc="04090003" w:tentative="1">
      <w:start w:val="1"/>
      <w:numFmt w:val="bullet"/>
      <w:lvlText w:val="o"/>
      <w:lvlJc w:val="left"/>
      <w:pPr>
        <w:ind w:left="6208" w:hanging="360"/>
      </w:pPr>
      <w:rPr>
        <w:rFonts w:hint="default" w:ascii="Courier New" w:hAnsi="Courier New" w:cs="Courier New"/>
      </w:rPr>
    </w:lvl>
    <w:lvl w:ilvl="5" w:tplc="04090005" w:tentative="1">
      <w:start w:val="1"/>
      <w:numFmt w:val="bullet"/>
      <w:lvlText w:val=""/>
      <w:lvlJc w:val="left"/>
      <w:pPr>
        <w:ind w:left="6928" w:hanging="360"/>
      </w:pPr>
      <w:rPr>
        <w:rFonts w:hint="default" w:ascii="Wingdings" w:hAnsi="Wingdings"/>
      </w:rPr>
    </w:lvl>
    <w:lvl w:ilvl="6" w:tplc="04090001" w:tentative="1">
      <w:start w:val="1"/>
      <w:numFmt w:val="bullet"/>
      <w:lvlText w:val=""/>
      <w:lvlJc w:val="left"/>
      <w:pPr>
        <w:ind w:left="7648" w:hanging="360"/>
      </w:pPr>
      <w:rPr>
        <w:rFonts w:hint="default" w:ascii="Symbol" w:hAnsi="Symbol"/>
      </w:rPr>
    </w:lvl>
    <w:lvl w:ilvl="7" w:tplc="04090003" w:tentative="1">
      <w:start w:val="1"/>
      <w:numFmt w:val="bullet"/>
      <w:lvlText w:val="o"/>
      <w:lvlJc w:val="left"/>
      <w:pPr>
        <w:ind w:left="8368" w:hanging="360"/>
      </w:pPr>
      <w:rPr>
        <w:rFonts w:hint="default" w:ascii="Courier New" w:hAnsi="Courier New" w:cs="Courier New"/>
      </w:rPr>
    </w:lvl>
    <w:lvl w:ilvl="8" w:tplc="04090005" w:tentative="1">
      <w:start w:val="1"/>
      <w:numFmt w:val="bullet"/>
      <w:lvlText w:val=""/>
      <w:lvlJc w:val="left"/>
      <w:pPr>
        <w:ind w:left="9088" w:hanging="360"/>
      </w:pPr>
      <w:rPr>
        <w:rFonts w:hint="default" w:ascii="Wingdings" w:hAnsi="Wingdings"/>
      </w:rPr>
    </w:lvl>
  </w:abstractNum>
  <w:abstractNum w:abstractNumId="2" w15:restartNumberingAfterBreak="0">
    <w:nsid w:val="21113123"/>
    <w:multiLevelType w:val="hybridMultilevel"/>
    <w:tmpl w:val="761CAD1A"/>
    <w:lvl w:ilvl="0" w:tplc="2D3CC0D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CE7828"/>
    <w:multiLevelType w:val="hybridMultilevel"/>
    <w:tmpl w:val="E84EA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795299"/>
    <w:multiLevelType w:val="hybridMultilevel"/>
    <w:tmpl w:val="ADEA839C"/>
    <w:lvl w:ilvl="0" w:tplc="510EDC80">
      <w:start w:val="1"/>
      <w:numFmt w:val="decimal"/>
      <w:lvlText w:val="%1."/>
      <w:lvlJc w:val="left"/>
      <w:pPr>
        <w:ind w:left="2968" w:hanging="360"/>
      </w:pPr>
      <w:rPr>
        <w:rFonts w:hint="default"/>
      </w:rPr>
    </w:lvl>
    <w:lvl w:ilvl="1" w:tplc="10090019" w:tentative="1">
      <w:start w:val="1"/>
      <w:numFmt w:val="lowerLetter"/>
      <w:lvlText w:val="%2."/>
      <w:lvlJc w:val="left"/>
      <w:pPr>
        <w:ind w:left="3688" w:hanging="360"/>
      </w:pPr>
    </w:lvl>
    <w:lvl w:ilvl="2" w:tplc="1009001B" w:tentative="1">
      <w:start w:val="1"/>
      <w:numFmt w:val="lowerRoman"/>
      <w:lvlText w:val="%3."/>
      <w:lvlJc w:val="right"/>
      <w:pPr>
        <w:ind w:left="4408" w:hanging="180"/>
      </w:pPr>
    </w:lvl>
    <w:lvl w:ilvl="3" w:tplc="1009000F" w:tentative="1">
      <w:start w:val="1"/>
      <w:numFmt w:val="decimal"/>
      <w:lvlText w:val="%4."/>
      <w:lvlJc w:val="left"/>
      <w:pPr>
        <w:ind w:left="5128" w:hanging="360"/>
      </w:pPr>
    </w:lvl>
    <w:lvl w:ilvl="4" w:tplc="10090019" w:tentative="1">
      <w:start w:val="1"/>
      <w:numFmt w:val="lowerLetter"/>
      <w:lvlText w:val="%5."/>
      <w:lvlJc w:val="left"/>
      <w:pPr>
        <w:ind w:left="5848" w:hanging="360"/>
      </w:pPr>
    </w:lvl>
    <w:lvl w:ilvl="5" w:tplc="1009001B" w:tentative="1">
      <w:start w:val="1"/>
      <w:numFmt w:val="lowerRoman"/>
      <w:lvlText w:val="%6."/>
      <w:lvlJc w:val="right"/>
      <w:pPr>
        <w:ind w:left="6568" w:hanging="180"/>
      </w:pPr>
    </w:lvl>
    <w:lvl w:ilvl="6" w:tplc="1009000F" w:tentative="1">
      <w:start w:val="1"/>
      <w:numFmt w:val="decimal"/>
      <w:lvlText w:val="%7."/>
      <w:lvlJc w:val="left"/>
      <w:pPr>
        <w:ind w:left="7288" w:hanging="360"/>
      </w:pPr>
    </w:lvl>
    <w:lvl w:ilvl="7" w:tplc="10090019" w:tentative="1">
      <w:start w:val="1"/>
      <w:numFmt w:val="lowerLetter"/>
      <w:lvlText w:val="%8."/>
      <w:lvlJc w:val="left"/>
      <w:pPr>
        <w:ind w:left="8008" w:hanging="360"/>
      </w:pPr>
    </w:lvl>
    <w:lvl w:ilvl="8" w:tplc="1009001B" w:tentative="1">
      <w:start w:val="1"/>
      <w:numFmt w:val="lowerRoman"/>
      <w:lvlText w:val="%9."/>
      <w:lvlJc w:val="right"/>
      <w:pPr>
        <w:ind w:left="8728"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9" w15:restartNumberingAfterBreak="0">
    <w:nsid w:val="3C9616F3"/>
    <w:multiLevelType w:val="hybridMultilevel"/>
    <w:tmpl w:val="03426872"/>
    <w:lvl w:ilvl="0" w:tplc="4C56D6C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C30A9F"/>
    <w:multiLevelType w:val="hybridMultilevel"/>
    <w:tmpl w:val="5C8A8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3" w15:restartNumberingAfterBreak="0">
    <w:nsid w:val="58B73D00"/>
    <w:multiLevelType w:val="hybridMultilevel"/>
    <w:tmpl w:val="451A60A2"/>
    <w:lvl w:ilvl="0" w:tplc="839C846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4"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8"/>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12"/>
  </w:num>
  <w:num w:numId="7">
    <w:abstractNumId w:val="1"/>
  </w:num>
  <w:num w:numId="8">
    <w:abstractNumId w:val="12"/>
  </w:num>
  <w:num w:numId="9">
    <w:abstractNumId w:val="1"/>
  </w:num>
  <w:num w:numId="10">
    <w:abstractNumId w:val="12"/>
  </w:num>
  <w:num w:numId="11">
    <w:abstractNumId w:val="1"/>
  </w:num>
  <w:num w:numId="12">
    <w:abstractNumId w:val="14"/>
  </w:num>
  <w:num w:numId="13">
    <w:abstractNumId w:val="12"/>
  </w:num>
  <w:num w:numId="14">
    <w:abstractNumId w:val="1"/>
  </w:num>
  <w:num w:numId="15">
    <w:abstractNumId w:val="0"/>
  </w:num>
  <w:num w:numId="16">
    <w:abstractNumId w:val="11"/>
  </w:num>
  <w:num w:numId="17">
    <w:abstractNumId w:val="0"/>
  </w:num>
  <w:num w:numId="18">
    <w:abstractNumId w:val="12"/>
  </w:num>
  <w:num w:numId="19">
    <w:abstractNumId w:val="1"/>
  </w:num>
  <w:num w:numId="20">
    <w:abstractNumId w:val="0"/>
  </w:num>
  <w:num w:numId="21">
    <w:abstractNumId w:val="2"/>
  </w:num>
  <w:num w:numId="22">
    <w:abstractNumId w:val="13"/>
  </w:num>
  <w:num w:numId="23">
    <w:abstractNumId w:val="9"/>
  </w:num>
  <w:num w:numId="24">
    <w:abstractNumId w:val="6"/>
  </w:num>
  <w:num w:numId="25">
    <w:abstractNumId w:val="7"/>
  </w:num>
  <w:num w:numId="26">
    <w:abstractNumId w:val="10"/>
  </w:num>
</w:numbering>
</file>

<file path=word/people.xml><?xml version="1.0" encoding="utf-8"?>
<w15:people xmlns:mc="http://schemas.openxmlformats.org/markup-compatibility/2006" xmlns:w15="http://schemas.microsoft.com/office/word/2012/wordml" mc:Ignorable="w15">
  <w15:person w15:author="MDPI">
    <w15:presenceInfo w15:providerId="None" w15:userId="MDPI"/>
  </w15:person>
  <w15:person w15:author="Ulf Liebal">
    <w15:presenceInfo w15:providerId="Windows Live" w15:userId="294b3999772e613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0"/>
  <w:bordersDoNotSurroundHeader/>
  <w:bordersDoNotSurroundFooter/>
  <w:proofState w:spelling="clean" w:grammar="dirty"/>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51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2sTA0NjO1NLIwMTFV0lEKTi0uzszPAykwrAUAOd0cXiwAAAA="/>
  </w:docVars>
  <w:rsids>
    <w:rsidRoot w:val="00325A48"/>
    <w:rsid w:val="0001218A"/>
    <w:rsid w:val="00016829"/>
    <w:rsid w:val="00031431"/>
    <w:rsid w:val="00031FDC"/>
    <w:rsid w:val="00056A7E"/>
    <w:rsid w:val="0005727C"/>
    <w:rsid w:val="000625D4"/>
    <w:rsid w:val="00070871"/>
    <w:rsid w:val="00070A79"/>
    <w:rsid w:val="00082508"/>
    <w:rsid w:val="00094CCA"/>
    <w:rsid w:val="000A4002"/>
    <w:rsid w:val="000A4C0B"/>
    <w:rsid w:val="000A5632"/>
    <w:rsid w:val="000B4B75"/>
    <w:rsid w:val="000C120F"/>
    <w:rsid w:val="000D4838"/>
    <w:rsid w:val="000E6C12"/>
    <w:rsid w:val="000F1E23"/>
    <w:rsid w:val="000F7EFB"/>
    <w:rsid w:val="001009AB"/>
    <w:rsid w:val="0011000A"/>
    <w:rsid w:val="00112537"/>
    <w:rsid w:val="001212A1"/>
    <w:rsid w:val="00133C79"/>
    <w:rsid w:val="001344BC"/>
    <w:rsid w:val="001431C8"/>
    <w:rsid w:val="00144848"/>
    <w:rsid w:val="00173396"/>
    <w:rsid w:val="00181FF6"/>
    <w:rsid w:val="0019099E"/>
    <w:rsid w:val="001C276D"/>
    <w:rsid w:val="001D16DD"/>
    <w:rsid w:val="001E2AEB"/>
    <w:rsid w:val="00212AD5"/>
    <w:rsid w:val="00215A0B"/>
    <w:rsid w:val="00222EC6"/>
    <w:rsid w:val="002407CC"/>
    <w:rsid w:val="00241CC4"/>
    <w:rsid w:val="00260117"/>
    <w:rsid w:val="0026338A"/>
    <w:rsid w:val="00264842"/>
    <w:rsid w:val="0026776A"/>
    <w:rsid w:val="00280F4E"/>
    <w:rsid w:val="00283D98"/>
    <w:rsid w:val="002A6CD6"/>
    <w:rsid w:val="002D2CC0"/>
    <w:rsid w:val="002E1DE3"/>
    <w:rsid w:val="002E389C"/>
    <w:rsid w:val="002F0633"/>
    <w:rsid w:val="003017A5"/>
    <w:rsid w:val="00314A54"/>
    <w:rsid w:val="00316164"/>
    <w:rsid w:val="003174AC"/>
    <w:rsid w:val="00325A48"/>
    <w:rsid w:val="00326141"/>
    <w:rsid w:val="00326818"/>
    <w:rsid w:val="00331E7F"/>
    <w:rsid w:val="0033248C"/>
    <w:rsid w:val="00363548"/>
    <w:rsid w:val="003664F8"/>
    <w:rsid w:val="00374744"/>
    <w:rsid w:val="00381364"/>
    <w:rsid w:val="003828BF"/>
    <w:rsid w:val="003932C7"/>
    <w:rsid w:val="003A392B"/>
    <w:rsid w:val="003C07AC"/>
    <w:rsid w:val="003C34A3"/>
    <w:rsid w:val="003C69C6"/>
    <w:rsid w:val="003D6750"/>
    <w:rsid w:val="003D7413"/>
    <w:rsid w:val="00401D30"/>
    <w:rsid w:val="00404844"/>
    <w:rsid w:val="004050D7"/>
    <w:rsid w:val="00415F38"/>
    <w:rsid w:val="00422F7B"/>
    <w:rsid w:val="00435B93"/>
    <w:rsid w:val="00442C50"/>
    <w:rsid w:val="00451FC4"/>
    <w:rsid w:val="004550E7"/>
    <w:rsid w:val="00455FD3"/>
    <w:rsid w:val="004564B3"/>
    <w:rsid w:val="0046590B"/>
    <w:rsid w:val="00465B9B"/>
    <w:rsid w:val="00490AF5"/>
    <w:rsid w:val="004963B9"/>
    <w:rsid w:val="004A1F4F"/>
    <w:rsid w:val="004B21DD"/>
    <w:rsid w:val="004C7791"/>
    <w:rsid w:val="004D2811"/>
    <w:rsid w:val="004E2A54"/>
    <w:rsid w:val="004E5855"/>
    <w:rsid w:val="004F1319"/>
    <w:rsid w:val="005225B6"/>
    <w:rsid w:val="0052293D"/>
    <w:rsid w:val="00522D89"/>
    <w:rsid w:val="005341B5"/>
    <w:rsid w:val="0053506D"/>
    <w:rsid w:val="00536ECE"/>
    <w:rsid w:val="0053797A"/>
    <w:rsid w:val="005412C8"/>
    <w:rsid w:val="0054138E"/>
    <w:rsid w:val="005423AD"/>
    <w:rsid w:val="00552E1B"/>
    <w:rsid w:val="00563A1F"/>
    <w:rsid w:val="00563C6B"/>
    <w:rsid w:val="005643B2"/>
    <w:rsid w:val="00567911"/>
    <w:rsid w:val="005706E6"/>
    <w:rsid w:val="005819C0"/>
    <w:rsid w:val="005841CC"/>
    <w:rsid w:val="005A1CFA"/>
    <w:rsid w:val="005A4FF1"/>
    <w:rsid w:val="005C0093"/>
    <w:rsid w:val="005C3655"/>
    <w:rsid w:val="005D6928"/>
    <w:rsid w:val="005E179F"/>
    <w:rsid w:val="005E1B1C"/>
    <w:rsid w:val="005E2567"/>
    <w:rsid w:val="00605781"/>
    <w:rsid w:val="006130D6"/>
    <w:rsid w:val="00615A06"/>
    <w:rsid w:val="006225CC"/>
    <w:rsid w:val="00627FC5"/>
    <w:rsid w:val="006378C5"/>
    <w:rsid w:val="006413FC"/>
    <w:rsid w:val="00642AD1"/>
    <w:rsid w:val="006451C8"/>
    <w:rsid w:val="006566C0"/>
    <w:rsid w:val="006771FB"/>
    <w:rsid w:val="00692393"/>
    <w:rsid w:val="00695008"/>
    <w:rsid w:val="006A11D7"/>
    <w:rsid w:val="006C0475"/>
    <w:rsid w:val="006C09DD"/>
    <w:rsid w:val="006D7035"/>
    <w:rsid w:val="006E0C7B"/>
    <w:rsid w:val="006E3CF8"/>
    <w:rsid w:val="006E46D9"/>
    <w:rsid w:val="006F2230"/>
    <w:rsid w:val="006F792A"/>
    <w:rsid w:val="00711B4B"/>
    <w:rsid w:val="007122BA"/>
    <w:rsid w:val="0071380F"/>
    <w:rsid w:val="00713B60"/>
    <w:rsid w:val="00714FFC"/>
    <w:rsid w:val="007171B6"/>
    <w:rsid w:val="0072024E"/>
    <w:rsid w:val="00723B80"/>
    <w:rsid w:val="0073722C"/>
    <w:rsid w:val="00742AE1"/>
    <w:rsid w:val="00747293"/>
    <w:rsid w:val="00755A2A"/>
    <w:rsid w:val="00757D0C"/>
    <w:rsid w:val="007716D1"/>
    <w:rsid w:val="00775DA5"/>
    <w:rsid w:val="0078635F"/>
    <w:rsid w:val="00793178"/>
    <w:rsid w:val="007A0DD8"/>
    <w:rsid w:val="007A3DAF"/>
    <w:rsid w:val="007B3474"/>
    <w:rsid w:val="00801959"/>
    <w:rsid w:val="00805E90"/>
    <w:rsid w:val="0080636C"/>
    <w:rsid w:val="00806E2E"/>
    <w:rsid w:val="00815240"/>
    <w:rsid w:val="00840540"/>
    <w:rsid w:val="00841E49"/>
    <w:rsid w:val="00856487"/>
    <w:rsid w:val="00864120"/>
    <w:rsid w:val="00871E61"/>
    <w:rsid w:val="008765C7"/>
    <w:rsid w:val="008843B4"/>
    <w:rsid w:val="00884D03"/>
    <w:rsid w:val="008869C9"/>
    <w:rsid w:val="00890359"/>
    <w:rsid w:val="00893D52"/>
    <w:rsid w:val="008A1CB6"/>
    <w:rsid w:val="008A3A97"/>
    <w:rsid w:val="008B2191"/>
    <w:rsid w:val="008D5BDE"/>
    <w:rsid w:val="008E01B6"/>
    <w:rsid w:val="008E2AA8"/>
    <w:rsid w:val="008F00E8"/>
    <w:rsid w:val="008F687A"/>
    <w:rsid w:val="00903AAA"/>
    <w:rsid w:val="00903BBA"/>
    <w:rsid w:val="00907883"/>
    <w:rsid w:val="0091033D"/>
    <w:rsid w:val="009238E2"/>
    <w:rsid w:val="00927E51"/>
    <w:rsid w:val="00933F4D"/>
    <w:rsid w:val="00937462"/>
    <w:rsid w:val="0095642E"/>
    <w:rsid w:val="00960938"/>
    <w:rsid w:val="00970088"/>
    <w:rsid w:val="0098748A"/>
    <w:rsid w:val="009900C1"/>
    <w:rsid w:val="00992618"/>
    <w:rsid w:val="00995292"/>
    <w:rsid w:val="00996CC4"/>
    <w:rsid w:val="009A137D"/>
    <w:rsid w:val="009E2A9C"/>
    <w:rsid w:val="009E4892"/>
    <w:rsid w:val="009F5229"/>
    <w:rsid w:val="009F70E6"/>
    <w:rsid w:val="00A10D99"/>
    <w:rsid w:val="00A30FEA"/>
    <w:rsid w:val="00A367B8"/>
    <w:rsid w:val="00A529EE"/>
    <w:rsid w:val="00A57EE8"/>
    <w:rsid w:val="00A67A21"/>
    <w:rsid w:val="00A72CE1"/>
    <w:rsid w:val="00A920FE"/>
    <w:rsid w:val="00A92E8A"/>
    <w:rsid w:val="00A96D61"/>
    <w:rsid w:val="00AA048A"/>
    <w:rsid w:val="00AD6954"/>
    <w:rsid w:val="00B056AB"/>
    <w:rsid w:val="00B05A2D"/>
    <w:rsid w:val="00B06815"/>
    <w:rsid w:val="00B06ACA"/>
    <w:rsid w:val="00B07A59"/>
    <w:rsid w:val="00B34AB1"/>
    <w:rsid w:val="00B34B6D"/>
    <w:rsid w:val="00B41ED3"/>
    <w:rsid w:val="00B50D8A"/>
    <w:rsid w:val="00B61EA4"/>
    <w:rsid w:val="00B715D5"/>
    <w:rsid w:val="00B80D54"/>
    <w:rsid w:val="00B842B7"/>
    <w:rsid w:val="00B85268"/>
    <w:rsid w:val="00B93137"/>
    <w:rsid w:val="00B979EE"/>
    <w:rsid w:val="00BA78CA"/>
    <w:rsid w:val="00BC54B6"/>
    <w:rsid w:val="00BC5F3A"/>
    <w:rsid w:val="00BD1BC4"/>
    <w:rsid w:val="00BE626F"/>
    <w:rsid w:val="00BF4467"/>
    <w:rsid w:val="00BF7F70"/>
    <w:rsid w:val="00C026B6"/>
    <w:rsid w:val="00C05125"/>
    <w:rsid w:val="00C2303E"/>
    <w:rsid w:val="00C2397A"/>
    <w:rsid w:val="00C3078D"/>
    <w:rsid w:val="00C32452"/>
    <w:rsid w:val="00C34A11"/>
    <w:rsid w:val="00C50FB3"/>
    <w:rsid w:val="00C55F02"/>
    <w:rsid w:val="00C5722C"/>
    <w:rsid w:val="00C6154D"/>
    <w:rsid w:val="00CA1AD2"/>
    <w:rsid w:val="00CA32D8"/>
    <w:rsid w:val="00CB6CBA"/>
    <w:rsid w:val="00CC0F0D"/>
    <w:rsid w:val="00CD1874"/>
    <w:rsid w:val="00CD30E4"/>
    <w:rsid w:val="00CE33F9"/>
    <w:rsid w:val="00CF3F44"/>
    <w:rsid w:val="00CF719B"/>
    <w:rsid w:val="00D12DE6"/>
    <w:rsid w:val="00D14FCF"/>
    <w:rsid w:val="00D165AC"/>
    <w:rsid w:val="00D464C1"/>
    <w:rsid w:val="00D83F09"/>
    <w:rsid w:val="00DC4357"/>
    <w:rsid w:val="00DD6792"/>
    <w:rsid w:val="00DE321B"/>
    <w:rsid w:val="00DF102F"/>
    <w:rsid w:val="00DF4F0C"/>
    <w:rsid w:val="00E3091B"/>
    <w:rsid w:val="00E36E82"/>
    <w:rsid w:val="00E408BB"/>
    <w:rsid w:val="00E4692B"/>
    <w:rsid w:val="00E47FBE"/>
    <w:rsid w:val="00E609DD"/>
    <w:rsid w:val="00E63428"/>
    <w:rsid w:val="00E80B50"/>
    <w:rsid w:val="00E82FBE"/>
    <w:rsid w:val="00EB002B"/>
    <w:rsid w:val="00EB1C2F"/>
    <w:rsid w:val="00EB37A8"/>
    <w:rsid w:val="00EC0ED1"/>
    <w:rsid w:val="00EC3A59"/>
    <w:rsid w:val="00ED2031"/>
    <w:rsid w:val="00ED4303"/>
    <w:rsid w:val="00F0704D"/>
    <w:rsid w:val="00F21BDA"/>
    <w:rsid w:val="00F30E0B"/>
    <w:rsid w:val="00F35949"/>
    <w:rsid w:val="00F41DAE"/>
    <w:rsid w:val="00F4573B"/>
    <w:rsid w:val="00F46BA1"/>
    <w:rsid w:val="00F52CF7"/>
    <w:rsid w:val="00F64361"/>
    <w:rsid w:val="00F7619F"/>
    <w:rsid w:val="00F923BB"/>
    <w:rsid w:val="00F94B86"/>
    <w:rsid w:val="00FC0B7A"/>
    <w:rsid w:val="00FC100C"/>
    <w:rsid w:val="00FC3C92"/>
    <w:rsid w:val="00FD3A68"/>
    <w:rsid w:val="00FD3F59"/>
    <w:rsid w:val="00FE22CA"/>
    <w:rsid w:val="212854B6"/>
    <w:rsid w:val="52FDC415"/>
    <w:rsid w:val="69A3F41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107C8"/>
  <w15:docId w15:val="{58D14968-29C6-4C12-9DD4-30F9368B37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宋体"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4A11"/>
    <w:pPr>
      <w:spacing w:line="260" w:lineRule="atLeast"/>
      <w:jc w:val="both"/>
    </w:pPr>
    <w:rPr>
      <w:rFonts w:ascii="Palatino Linotype" w:hAnsi="Palatino Linotype"/>
      <w:noProof/>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DPI11articletype" w:customStyle="1">
    <w:name w:val="MDPI_1.1_article_type"/>
    <w:next w:val="Normal"/>
    <w:qFormat/>
    <w:rsid w:val="00C34A11"/>
    <w:pPr>
      <w:adjustRightInd w:val="0"/>
      <w:snapToGrid w:val="0"/>
      <w:spacing w:before="240"/>
    </w:pPr>
    <w:rPr>
      <w:rFonts w:ascii="Palatino Linotype" w:hAnsi="Palatino Linotype" w:eastAsia="Times New Roman"/>
      <w:i/>
      <w:snapToGrid w:val="0"/>
      <w:color w:val="000000"/>
      <w:szCs w:val="22"/>
      <w:lang w:eastAsia="de-DE" w:bidi="en-US"/>
    </w:rPr>
  </w:style>
  <w:style w:type="paragraph" w:styleId="MDPI12title" w:customStyle="1">
    <w:name w:val="MDPI_1.2_title"/>
    <w:next w:val="Normal"/>
    <w:qFormat/>
    <w:rsid w:val="00C34A11"/>
    <w:pPr>
      <w:adjustRightInd w:val="0"/>
      <w:snapToGrid w:val="0"/>
      <w:spacing w:after="240" w:line="240" w:lineRule="atLeast"/>
    </w:pPr>
    <w:rPr>
      <w:rFonts w:ascii="Palatino Linotype" w:hAnsi="Palatino Linotype" w:eastAsia="Times New Roman"/>
      <w:b/>
      <w:snapToGrid w:val="0"/>
      <w:color w:val="000000"/>
      <w:sz w:val="36"/>
      <w:lang w:eastAsia="de-DE" w:bidi="en-US"/>
    </w:rPr>
  </w:style>
  <w:style w:type="paragraph" w:styleId="MDPI13authornames" w:customStyle="1">
    <w:name w:val="MDPI_1.3_authornames"/>
    <w:next w:val="Normal"/>
    <w:qFormat/>
    <w:rsid w:val="00C34A11"/>
    <w:pPr>
      <w:adjustRightInd w:val="0"/>
      <w:snapToGrid w:val="0"/>
      <w:spacing w:after="360" w:line="260" w:lineRule="atLeast"/>
    </w:pPr>
    <w:rPr>
      <w:rFonts w:ascii="Palatino Linotype" w:hAnsi="Palatino Linotype" w:eastAsia="Times New Roman"/>
      <w:b/>
      <w:color w:val="000000"/>
      <w:szCs w:val="22"/>
      <w:lang w:eastAsia="de-DE" w:bidi="en-US"/>
    </w:rPr>
  </w:style>
  <w:style w:type="paragraph" w:styleId="MDPI14history" w:customStyle="1">
    <w:name w:val="MDPI_1.4_history"/>
    <w:basedOn w:val="Normal"/>
    <w:next w:val="Normal"/>
    <w:qFormat/>
    <w:rsid w:val="00C34A11"/>
    <w:pPr>
      <w:adjustRightInd w:val="0"/>
      <w:snapToGrid w:val="0"/>
      <w:spacing w:line="240" w:lineRule="atLeast"/>
      <w:ind w:right="113"/>
      <w:jc w:val="left"/>
    </w:pPr>
    <w:rPr>
      <w:rFonts w:eastAsia="Times New Roman"/>
      <w:noProof w:val="0"/>
      <w:sz w:val="14"/>
      <w:lang w:eastAsia="de-DE" w:bidi="en-US"/>
    </w:rPr>
  </w:style>
  <w:style w:type="paragraph" w:styleId="MDPI16affiliation" w:customStyle="1">
    <w:name w:val="MDPI_1.6_affiliation"/>
    <w:qFormat/>
    <w:rsid w:val="00C34A11"/>
    <w:pPr>
      <w:adjustRightInd w:val="0"/>
      <w:snapToGrid w:val="0"/>
      <w:spacing w:line="200" w:lineRule="atLeast"/>
      <w:ind w:left="2806" w:hanging="198"/>
    </w:pPr>
    <w:rPr>
      <w:rFonts w:ascii="Palatino Linotype" w:hAnsi="Palatino Linotype" w:eastAsia="Times New Roman"/>
      <w:color w:val="000000"/>
      <w:sz w:val="16"/>
      <w:szCs w:val="18"/>
      <w:lang w:eastAsia="de-DE" w:bidi="en-US"/>
    </w:rPr>
  </w:style>
  <w:style w:type="paragraph" w:styleId="MDPI17abstract" w:customStyle="1">
    <w:name w:val="MDPI_1.7_abstract"/>
    <w:next w:val="Normal"/>
    <w:qFormat/>
    <w:rsid w:val="00C34A11"/>
    <w:pPr>
      <w:adjustRightInd w:val="0"/>
      <w:snapToGrid w:val="0"/>
      <w:spacing w:before="240" w:line="260" w:lineRule="atLeast"/>
      <w:ind w:left="2608"/>
      <w:jc w:val="both"/>
    </w:pPr>
    <w:rPr>
      <w:rFonts w:ascii="Palatino Linotype" w:hAnsi="Palatino Linotype" w:eastAsia="Times New Roman"/>
      <w:color w:val="000000"/>
      <w:sz w:val="18"/>
      <w:szCs w:val="22"/>
      <w:lang w:eastAsia="de-DE" w:bidi="en-US"/>
    </w:rPr>
  </w:style>
  <w:style w:type="paragraph" w:styleId="MDPI18keywords" w:customStyle="1">
    <w:name w:val="MDPI_1.8_keywords"/>
    <w:next w:val="Normal"/>
    <w:qFormat/>
    <w:rsid w:val="00C34A11"/>
    <w:pPr>
      <w:adjustRightInd w:val="0"/>
      <w:snapToGrid w:val="0"/>
      <w:spacing w:before="240" w:line="260" w:lineRule="atLeast"/>
      <w:ind w:left="2608"/>
      <w:jc w:val="both"/>
    </w:pPr>
    <w:rPr>
      <w:rFonts w:ascii="Palatino Linotype" w:hAnsi="Palatino Linotype" w:eastAsia="Times New Roman"/>
      <w:snapToGrid w:val="0"/>
      <w:color w:val="000000"/>
      <w:sz w:val="18"/>
      <w:szCs w:val="22"/>
      <w:lang w:eastAsia="de-DE" w:bidi="en-US"/>
    </w:rPr>
  </w:style>
  <w:style w:type="paragraph" w:styleId="MDPI19line" w:customStyle="1">
    <w:name w:val="MDPI_1.9_line"/>
    <w:qFormat/>
    <w:rsid w:val="00B34B6D"/>
    <w:pPr>
      <w:pBdr>
        <w:bottom w:val="single" w:color="auto" w:sz="4" w:space="1"/>
      </w:pBdr>
      <w:adjustRightInd w:val="0"/>
      <w:snapToGrid w:val="0"/>
      <w:spacing w:after="480" w:line="260" w:lineRule="atLeast"/>
      <w:ind w:left="2608"/>
      <w:jc w:val="both"/>
    </w:pPr>
    <w:rPr>
      <w:rFonts w:ascii="Palatino Linotype" w:hAnsi="Palatino Linotype" w:eastAsia="Times New Roman" w:cs="Cordia New"/>
      <w:color w:val="000000"/>
      <w:szCs w:val="24"/>
      <w:lang w:eastAsia="de-DE" w:bidi="en-US"/>
    </w:rPr>
  </w:style>
  <w:style w:type="table" w:styleId="Mdeck5tablebodythreelines" w:customStyle="1">
    <w:name w:val="M_deck_5_table_body_three_lines"/>
    <w:basedOn w:val="TableNormal"/>
    <w:uiPriority w:val="99"/>
    <w:rsid w:val="00EB1C2F"/>
    <w:pPr>
      <w:adjustRightInd w:val="0"/>
      <w:snapToGrid w:val="0"/>
      <w:spacing w:line="300" w:lineRule="exact"/>
      <w:jc w:val="center"/>
    </w:pPr>
    <w:rPr>
      <w:rFonts w:ascii="Times New Roman" w:hAnsi="Times New Roman"/>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mirrorIndents w:val="0"/>
        <w:jc w:val="center"/>
        <w:outlineLvl w:val="9"/>
      </w:pPr>
      <w:rPr>
        <w:rFonts w:ascii="Times New Roman" w:hAnsi="Times New Roman" w:eastAsia="Times New Roman"/>
        <w:b w:val="0"/>
        <w:i w:val="0"/>
        <w:snapToGrid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C34A11"/>
    <w:pPr>
      <w:spacing w:line="260" w:lineRule="atLeast"/>
      <w:jc w:val="both"/>
    </w:pPr>
    <w:rPr>
      <w:rFonts w:ascii="Palatino Linotype" w:hAnsi="Palatino Linotype"/>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rsid w:val="00C34A11"/>
    <w:pPr>
      <w:tabs>
        <w:tab w:val="center" w:pos="4153"/>
        <w:tab w:val="right" w:pos="8306"/>
      </w:tabs>
      <w:snapToGrid w:val="0"/>
      <w:spacing w:line="240" w:lineRule="atLeast"/>
    </w:pPr>
    <w:rPr>
      <w:szCs w:val="18"/>
    </w:rPr>
  </w:style>
  <w:style w:type="character" w:styleId="FooterChar" w:customStyle="1">
    <w:name w:val="Footer Char"/>
    <w:link w:val="Footer"/>
    <w:uiPriority w:val="99"/>
    <w:rsid w:val="00C34A11"/>
    <w:rPr>
      <w:rFonts w:ascii="Palatino Linotype" w:hAnsi="Palatino Linotype"/>
      <w:noProof/>
      <w:color w:val="000000"/>
      <w:szCs w:val="18"/>
    </w:rPr>
  </w:style>
  <w:style w:type="paragraph" w:styleId="Header">
    <w:name w:val="header"/>
    <w:basedOn w:val="Normal"/>
    <w:link w:val="HeaderChar"/>
    <w:uiPriority w:val="99"/>
    <w:rsid w:val="00C34A11"/>
    <w:pPr>
      <w:pBdr>
        <w:bottom w:val="single" w:color="auto" w:sz="6" w:space="1"/>
      </w:pBdr>
      <w:tabs>
        <w:tab w:val="center" w:pos="4153"/>
        <w:tab w:val="right" w:pos="8306"/>
      </w:tabs>
      <w:snapToGrid w:val="0"/>
      <w:spacing w:line="240" w:lineRule="atLeast"/>
      <w:jc w:val="center"/>
    </w:pPr>
    <w:rPr>
      <w:szCs w:val="18"/>
    </w:rPr>
  </w:style>
  <w:style w:type="character" w:styleId="HeaderChar" w:customStyle="1">
    <w:name w:val="Header Char"/>
    <w:link w:val="Header"/>
    <w:uiPriority w:val="99"/>
    <w:rsid w:val="00C34A11"/>
    <w:rPr>
      <w:rFonts w:ascii="Palatino Linotype" w:hAnsi="Palatino Linotype"/>
      <w:noProof/>
      <w:color w:val="000000"/>
      <w:szCs w:val="18"/>
    </w:rPr>
  </w:style>
  <w:style w:type="paragraph" w:styleId="MDPIheaderjournallogo" w:customStyle="1">
    <w:name w:val="MDPI_header_journal_logo"/>
    <w:qFormat/>
    <w:rsid w:val="00C34A11"/>
    <w:pPr>
      <w:adjustRightInd w:val="0"/>
      <w:snapToGrid w:val="0"/>
      <w:spacing w:line="260" w:lineRule="atLeast"/>
      <w:jc w:val="both"/>
    </w:pPr>
    <w:rPr>
      <w:rFonts w:ascii="Palatino Linotype" w:hAnsi="Palatino Linotype" w:eastAsia="Times New Roman"/>
      <w:i/>
      <w:color w:val="000000"/>
      <w:sz w:val="24"/>
      <w:szCs w:val="22"/>
      <w:lang w:eastAsia="de-CH"/>
    </w:rPr>
  </w:style>
  <w:style w:type="paragraph" w:styleId="MDPI32textnoindent" w:customStyle="1">
    <w:name w:val="MDPI_3.2_text_no_indent"/>
    <w:basedOn w:val="MDPI31text"/>
    <w:qFormat/>
    <w:rsid w:val="00C34A11"/>
    <w:pPr>
      <w:ind w:firstLine="0"/>
    </w:pPr>
  </w:style>
  <w:style w:type="paragraph" w:styleId="MDPI31text" w:customStyle="1">
    <w:name w:val="MDPI_3.1_text"/>
    <w:qFormat/>
    <w:rsid w:val="00E36E82"/>
    <w:pPr>
      <w:adjustRightInd w:val="0"/>
      <w:snapToGrid w:val="0"/>
      <w:spacing w:line="228" w:lineRule="auto"/>
      <w:ind w:left="2608" w:firstLine="425"/>
      <w:jc w:val="both"/>
    </w:pPr>
    <w:rPr>
      <w:rFonts w:ascii="Palatino Linotype" w:hAnsi="Palatino Linotype" w:eastAsia="Times New Roman"/>
      <w:snapToGrid w:val="0"/>
      <w:color w:val="000000"/>
      <w:szCs w:val="22"/>
      <w:lang w:eastAsia="de-DE" w:bidi="en-US"/>
    </w:rPr>
  </w:style>
  <w:style w:type="paragraph" w:styleId="MDPI33textspaceafter" w:customStyle="1">
    <w:name w:val="MDPI_3.3_text_space_after"/>
    <w:qFormat/>
    <w:rsid w:val="00C34A11"/>
    <w:pPr>
      <w:adjustRightInd w:val="0"/>
      <w:snapToGrid w:val="0"/>
      <w:spacing w:after="240" w:line="228" w:lineRule="auto"/>
      <w:ind w:left="2608"/>
      <w:jc w:val="both"/>
    </w:pPr>
    <w:rPr>
      <w:rFonts w:ascii="Palatino Linotype" w:hAnsi="Palatino Linotype" w:eastAsia="Times New Roman"/>
      <w:snapToGrid w:val="0"/>
      <w:color w:val="000000"/>
      <w:szCs w:val="22"/>
      <w:lang w:eastAsia="de-DE" w:bidi="en-US"/>
    </w:rPr>
  </w:style>
  <w:style w:type="paragraph" w:styleId="MDPI35textbeforelist" w:customStyle="1">
    <w:name w:val="MDPI_3.5_text_before_list"/>
    <w:qFormat/>
    <w:rsid w:val="00C34A11"/>
    <w:pPr>
      <w:adjustRightInd w:val="0"/>
      <w:snapToGrid w:val="0"/>
      <w:spacing w:line="228" w:lineRule="auto"/>
      <w:ind w:left="2608" w:firstLine="425"/>
      <w:jc w:val="both"/>
    </w:pPr>
    <w:rPr>
      <w:rFonts w:ascii="Palatino Linotype" w:hAnsi="Palatino Linotype" w:eastAsia="Times New Roman"/>
      <w:snapToGrid w:val="0"/>
      <w:color w:val="000000"/>
      <w:szCs w:val="22"/>
      <w:lang w:eastAsia="de-DE" w:bidi="en-US"/>
    </w:rPr>
  </w:style>
  <w:style w:type="paragraph" w:styleId="MDPI36textafterlist" w:customStyle="1">
    <w:name w:val="MDPI_3.6_text_after_list"/>
    <w:qFormat/>
    <w:rsid w:val="00C34A11"/>
    <w:pPr>
      <w:adjustRightInd w:val="0"/>
      <w:snapToGrid w:val="0"/>
      <w:spacing w:before="120" w:line="228" w:lineRule="auto"/>
      <w:ind w:left="2608"/>
      <w:jc w:val="both"/>
    </w:pPr>
    <w:rPr>
      <w:rFonts w:ascii="Palatino Linotype" w:hAnsi="Palatino Linotype" w:eastAsia="Times New Roman"/>
      <w:snapToGrid w:val="0"/>
      <w:color w:val="000000"/>
      <w:szCs w:val="22"/>
      <w:lang w:eastAsia="de-DE" w:bidi="en-US"/>
    </w:rPr>
  </w:style>
  <w:style w:type="paragraph" w:styleId="MDPI37itemize" w:customStyle="1">
    <w:name w:val="MDPI_3.7_itemize"/>
    <w:qFormat/>
    <w:rsid w:val="00856487"/>
    <w:pPr>
      <w:numPr>
        <w:numId w:val="22"/>
      </w:numPr>
      <w:adjustRightInd w:val="0"/>
      <w:snapToGrid w:val="0"/>
      <w:spacing w:line="228" w:lineRule="auto"/>
      <w:jc w:val="both"/>
    </w:pPr>
    <w:rPr>
      <w:rFonts w:ascii="Palatino Linotype" w:hAnsi="Palatino Linotype" w:eastAsia="Times New Roman"/>
      <w:color w:val="000000"/>
      <w:szCs w:val="22"/>
      <w:lang w:eastAsia="de-DE" w:bidi="en-US"/>
    </w:rPr>
  </w:style>
  <w:style w:type="paragraph" w:styleId="MDPI38bullet" w:customStyle="1">
    <w:name w:val="MDPI_3.8_bullet"/>
    <w:qFormat/>
    <w:rsid w:val="00856487"/>
    <w:pPr>
      <w:numPr>
        <w:numId w:val="20"/>
      </w:numPr>
      <w:adjustRightInd w:val="0"/>
      <w:snapToGrid w:val="0"/>
      <w:spacing w:line="228" w:lineRule="auto"/>
      <w:jc w:val="both"/>
    </w:pPr>
    <w:rPr>
      <w:rFonts w:ascii="Palatino Linotype" w:hAnsi="Palatino Linotype" w:eastAsia="Times New Roman"/>
      <w:color w:val="000000"/>
      <w:szCs w:val="22"/>
      <w:lang w:eastAsia="de-DE" w:bidi="en-US"/>
    </w:rPr>
  </w:style>
  <w:style w:type="paragraph" w:styleId="MDPI39equation" w:customStyle="1">
    <w:name w:val="MDPI_3.9_equation"/>
    <w:qFormat/>
    <w:rsid w:val="00C34A11"/>
    <w:pPr>
      <w:adjustRightInd w:val="0"/>
      <w:snapToGrid w:val="0"/>
      <w:spacing w:before="120" w:after="120" w:line="260" w:lineRule="atLeast"/>
      <w:ind w:left="709"/>
      <w:jc w:val="center"/>
    </w:pPr>
    <w:rPr>
      <w:rFonts w:ascii="Palatino Linotype" w:hAnsi="Palatino Linotype" w:eastAsia="Times New Roman"/>
      <w:snapToGrid w:val="0"/>
      <w:color w:val="000000"/>
      <w:szCs w:val="22"/>
      <w:lang w:eastAsia="de-DE" w:bidi="en-US"/>
    </w:rPr>
  </w:style>
  <w:style w:type="paragraph" w:styleId="MDPI3aequationnumber" w:customStyle="1">
    <w:name w:val="MDPI_3.a_equation_number"/>
    <w:qFormat/>
    <w:rsid w:val="00C34A11"/>
    <w:pPr>
      <w:spacing w:before="120" w:after="120"/>
      <w:jc w:val="right"/>
    </w:pPr>
    <w:rPr>
      <w:rFonts w:ascii="Palatino Linotype" w:hAnsi="Palatino Linotype" w:eastAsia="Times New Roman"/>
      <w:snapToGrid w:val="0"/>
      <w:color w:val="000000"/>
      <w:szCs w:val="22"/>
      <w:lang w:eastAsia="de-DE" w:bidi="en-US"/>
    </w:rPr>
  </w:style>
  <w:style w:type="paragraph" w:styleId="MDPI41tablecaption" w:customStyle="1">
    <w:name w:val="MDPI_4.1_table_caption"/>
    <w:qFormat/>
    <w:rsid w:val="00C34A11"/>
    <w:pPr>
      <w:adjustRightInd w:val="0"/>
      <w:snapToGrid w:val="0"/>
      <w:spacing w:before="240" w:after="120" w:line="228" w:lineRule="auto"/>
      <w:ind w:left="2608"/>
      <w:jc w:val="both"/>
    </w:pPr>
    <w:rPr>
      <w:rFonts w:ascii="Palatino Linotype" w:hAnsi="Palatino Linotype" w:eastAsia="Times New Roman" w:cs="Cordia New"/>
      <w:color w:val="000000"/>
      <w:sz w:val="18"/>
      <w:szCs w:val="22"/>
      <w:lang w:eastAsia="de-DE" w:bidi="en-US"/>
    </w:rPr>
  </w:style>
  <w:style w:type="paragraph" w:styleId="MDPI42tablebody" w:customStyle="1">
    <w:name w:val="MDPI_4.2_table_body"/>
    <w:qFormat/>
    <w:rsid w:val="00775DA5"/>
    <w:pPr>
      <w:adjustRightInd w:val="0"/>
      <w:snapToGrid w:val="0"/>
      <w:spacing w:line="260" w:lineRule="atLeast"/>
      <w:jc w:val="center"/>
    </w:pPr>
    <w:rPr>
      <w:rFonts w:ascii="Palatino Linotype" w:hAnsi="Palatino Linotype" w:eastAsia="Times New Roman"/>
      <w:snapToGrid w:val="0"/>
      <w:color w:val="000000"/>
      <w:lang w:eastAsia="de-DE" w:bidi="en-US"/>
    </w:rPr>
  </w:style>
  <w:style w:type="paragraph" w:styleId="MDPI43tablefooter" w:customStyle="1">
    <w:name w:val="MDPI_4.3_table_footer"/>
    <w:next w:val="MDPI31text"/>
    <w:qFormat/>
    <w:rsid w:val="00C34A11"/>
    <w:pPr>
      <w:adjustRightInd w:val="0"/>
      <w:snapToGrid w:val="0"/>
      <w:spacing w:line="228" w:lineRule="auto"/>
      <w:ind w:left="2608"/>
      <w:jc w:val="both"/>
    </w:pPr>
    <w:rPr>
      <w:rFonts w:ascii="Palatino Linotype" w:hAnsi="Palatino Linotype" w:eastAsia="Times New Roman" w:cs="Cordia New"/>
      <w:color w:val="000000"/>
      <w:sz w:val="18"/>
      <w:szCs w:val="22"/>
      <w:lang w:eastAsia="de-DE" w:bidi="en-US"/>
    </w:rPr>
  </w:style>
  <w:style w:type="paragraph" w:styleId="MDPI51figurecaption" w:customStyle="1">
    <w:name w:val="MDPI_5.1_figure_caption"/>
    <w:qFormat/>
    <w:rsid w:val="00C34A11"/>
    <w:pPr>
      <w:adjustRightInd w:val="0"/>
      <w:snapToGrid w:val="0"/>
      <w:spacing w:before="120" w:after="240" w:line="228" w:lineRule="auto"/>
      <w:ind w:left="2608"/>
      <w:jc w:val="both"/>
    </w:pPr>
    <w:rPr>
      <w:rFonts w:ascii="Palatino Linotype" w:hAnsi="Palatino Linotype" w:eastAsia="Times New Roman"/>
      <w:color w:val="000000"/>
      <w:sz w:val="18"/>
      <w:lang w:eastAsia="de-DE" w:bidi="en-US"/>
    </w:rPr>
  </w:style>
  <w:style w:type="paragraph" w:styleId="MDPI52figure" w:customStyle="1">
    <w:name w:val="MDPI_5.2_figure"/>
    <w:qFormat/>
    <w:rsid w:val="00C34A11"/>
    <w:pPr>
      <w:adjustRightInd w:val="0"/>
      <w:snapToGrid w:val="0"/>
      <w:spacing w:before="240" w:after="120"/>
      <w:jc w:val="center"/>
    </w:pPr>
    <w:rPr>
      <w:rFonts w:ascii="Palatino Linotype" w:hAnsi="Palatino Linotype" w:eastAsia="Times New Roman"/>
      <w:snapToGrid w:val="0"/>
      <w:color w:val="000000"/>
      <w:lang w:eastAsia="de-DE" w:bidi="en-US"/>
    </w:rPr>
  </w:style>
  <w:style w:type="paragraph" w:styleId="MDPI23heading3" w:customStyle="1">
    <w:name w:val="MDPI_2.3_heading3"/>
    <w:qFormat/>
    <w:rsid w:val="00C34A11"/>
    <w:pPr>
      <w:adjustRightInd w:val="0"/>
      <w:snapToGrid w:val="0"/>
      <w:spacing w:before="60" w:after="60" w:line="228" w:lineRule="auto"/>
      <w:ind w:left="2608"/>
      <w:outlineLvl w:val="2"/>
    </w:pPr>
    <w:rPr>
      <w:rFonts w:ascii="Palatino Linotype" w:hAnsi="Palatino Linotype" w:eastAsia="Times New Roman"/>
      <w:snapToGrid w:val="0"/>
      <w:color w:val="000000"/>
      <w:szCs w:val="22"/>
      <w:lang w:eastAsia="de-DE" w:bidi="en-US"/>
    </w:rPr>
  </w:style>
  <w:style w:type="paragraph" w:styleId="MDPI21heading1" w:customStyle="1">
    <w:name w:val="MDPI_2.1_heading1"/>
    <w:qFormat/>
    <w:rsid w:val="00C34A11"/>
    <w:pPr>
      <w:adjustRightInd w:val="0"/>
      <w:snapToGrid w:val="0"/>
      <w:spacing w:before="240" w:after="60" w:line="228" w:lineRule="auto"/>
      <w:ind w:left="2608"/>
      <w:outlineLvl w:val="0"/>
    </w:pPr>
    <w:rPr>
      <w:rFonts w:ascii="Palatino Linotype" w:hAnsi="Palatino Linotype" w:eastAsia="Times New Roman"/>
      <w:b/>
      <w:snapToGrid w:val="0"/>
      <w:color w:val="000000"/>
      <w:szCs w:val="22"/>
      <w:lang w:eastAsia="de-DE" w:bidi="en-US"/>
    </w:rPr>
  </w:style>
  <w:style w:type="paragraph" w:styleId="MDPI22heading2" w:customStyle="1">
    <w:name w:val="MDPI_2.2_heading2"/>
    <w:qFormat/>
    <w:rsid w:val="00C34A11"/>
    <w:pPr>
      <w:adjustRightInd w:val="0"/>
      <w:snapToGrid w:val="0"/>
      <w:spacing w:before="60" w:after="60" w:line="228" w:lineRule="auto"/>
      <w:ind w:left="2608"/>
      <w:outlineLvl w:val="1"/>
    </w:pPr>
    <w:rPr>
      <w:rFonts w:ascii="Palatino Linotype" w:hAnsi="Palatino Linotype" w:eastAsia="Times New Roman"/>
      <w:i/>
      <w:noProof/>
      <w:snapToGrid w:val="0"/>
      <w:color w:val="000000"/>
      <w:szCs w:val="22"/>
      <w:lang w:eastAsia="de-DE" w:bidi="en-US"/>
    </w:rPr>
  </w:style>
  <w:style w:type="paragraph" w:styleId="MDPI71References" w:customStyle="1">
    <w:name w:val="MDPI_7.1_References"/>
    <w:qFormat/>
    <w:rsid w:val="00567911"/>
    <w:pPr>
      <w:numPr>
        <w:numId w:val="23"/>
      </w:numPr>
      <w:adjustRightInd w:val="0"/>
      <w:snapToGrid w:val="0"/>
      <w:spacing w:line="228" w:lineRule="auto"/>
      <w:jc w:val="both"/>
    </w:pPr>
    <w:rPr>
      <w:rFonts w:ascii="Palatino Linotype" w:hAnsi="Palatino Linotype" w:eastAsia="Times New Roman"/>
      <w:color w:val="000000"/>
      <w:sz w:val="18"/>
      <w:lang w:eastAsia="de-DE" w:bidi="en-US"/>
    </w:rPr>
  </w:style>
  <w:style w:type="paragraph" w:styleId="BalloonText">
    <w:name w:val="Balloon Text"/>
    <w:basedOn w:val="Normal"/>
    <w:link w:val="BalloonTextChar"/>
    <w:uiPriority w:val="99"/>
    <w:rsid w:val="00C34A11"/>
    <w:rPr>
      <w:rFonts w:cs="Tahoma"/>
      <w:szCs w:val="18"/>
    </w:rPr>
  </w:style>
  <w:style w:type="character" w:styleId="BalloonTextChar" w:customStyle="1">
    <w:name w:val="Balloon Text Char"/>
    <w:link w:val="BalloonText"/>
    <w:uiPriority w:val="99"/>
    <w:rsid w:val="00C34A11"/>
    <w:rPr>
      <w:rFonts w:ascii="Palatino Linotype" w:hAnsi="Palatino Linotype" w:cs="Tahoma"/>
      <w:noProof/>
      <w:color w:val="000000"/>
      <w:szCs w:val="18"/>
    </w:rPr>
  </w:style>
  <w:style w:type="character" w:styleId="LineNumber">
    <w:name w:val="line number"/>
    <w:uiPriority w:val="99"/>
    <w:rsid w:val="00404844"/>
    <w:rPr>
      <w:rFonts w:ascii="Palatino Linotype" w:hAnsi="Palatino Linotype"/>
      <w:sz w:val="16"/>
    </w:rPr>
  </w:style>
  <w:style w:type="table" w:styleId="MDPI41threelinetable" w:customStyle="1">
    <w:name w:val="MDPI_4.1_three_line_table"/>
    <w:basedOn w:val="TableNormal"/>
    <w:uiPriority w:val="99"/>
    <w:rsid w:val="00C34A11"/>
    <w:pPr>
      <w:adjustRightInd w:val="0"/>
      <w:snapToGrid w:val="0"/>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blPr/>
      <w:tcPr>
        <w:tcBorders>
          <w:bottom w:val="single" w:color="auto" w:sz="4" w:space="0"/>
        </w:tcBorders>
      </w:tcPr>
    </w:tblStylePr>
  </w:style>
  <w:style w:type="character" w:styleId="Hyperlink">
    <w:name w:val="Hyperlink"/>
    <w:uiPriority w:val="99"/>
    <w:rsid w:val="00C34A11"/>
    <w:rPr>
      <w:color w:val="0000FF"/>
      <w:u w:val="single"/>
    </w:rPr>
  </w:style>
  <w:style w:type="character" w:styleId="UnresolvedMention1" w:customStyle="1">
    <w:name w:val="Unresolved Mention1"/>
    <w:uiPriority w:val="99"/>
    <w:semiHidden/>
    <w:unhideWhenUsed/>
    <w:rsid w:val="00C6154D"/>
    <w:rPr>
      <w:color w:val="605E5C"/>
      <w:shd w:val="clear" w:color="auto" w:fill="E1DFDD"/>
    </w:rPr>
  </w:style>
  <w:style w:type="table" w:styleId="PlainTable4">
    <w:name w:val="Plain Table 4"/>
    <w:basedOn w:val="TableNormal"/>
    <w:uiPriority w:val="44"/>
    <w:rsid w:val="003174A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MDPI34textspacebefore" w:customStyle="1">
    <w:name w:val="MDPI_3.4_text_space_before"/>
    <w:qFormat/>
    <w:rsid w:val="00C34A11"/>
    <w:pPr>
      <w:adjustRightInd w:val="0"/>
      <w:snapToGrid w:val="0"/>
      <w:spacing w:before="240" w:line="228" w:lineRule="auto"/>
      <w:ind w:left="2608"/>
      <w:jc w:val="both"/>
    </w:pPr>
    <w:rPr>
      <w:rFonts w:ascii="Palatino Linotype" w:hAnsi="Palatino Linotype" w:eastAsia="Times New Roman"/>
      <w:snapToGrid w:val="0"/>
      <w:color w:val="000000"/>
      <w:szCs w:val="22"/>
      <w:lang w:eastAsia="de-DE" w:bidi="en-US"/>
    </w:rPr>
  </w:style>
  <w:style w:type="paragraph" w:styleId="MDPI81theorem" w:customStyle="1">
    <w:name w:val="MDPI_8.1_theorem"/>
    <w:qFormat/>
    <w:rsid w:val="00C34A11"/>
    <w:pPr>
      <w:adjustRightInd w:val="0"/>
      <w:snapToGrid w:val="0"/>
      <w:spacing w:line="228" w:lineRule="auto"/>
      <w:ind w:left="2608"/>
      <w:jc w:val="both"/>
    </w:pPr>
    <w:rPr>
      <w:rFonts w:ascii="Palatino Linotype" w:hAnsi="Palatino Linotype" w:eastAsia="Times New Roman"/>
      <w:i/>
      <w:snapToGrid w:val="0"/>
      <w:color w:val="000000"/>
      <w:szCs w:val="22"/>
      <w:lang w:eastAsia="de-DE" w:bidi="en-US"/>
    </w:rPr>
  </w:style>
  <w:style w:type="paragraph" w:styleId="MDPI82proof" w:customStyle="1">
    <w:name w:val="MDPI_8.2_proof"/>
    <w:qFormat/>
    <w:rsid w:val="00C34A11"/>
    <w:pPr>
      <w:adjustRightInd w:val="0"/>
      <w:snapToGrid w:val="0"/>
      <w:spacing w:line="228" w:lineRule="auto"/>
      <w:ind w:left="2608"/>
      <w:jc w:val="both"/>
    </w:pPr>
    <w:rPr>
      <w:rFonts w:ascii="Palatino Linotype" w:hAnsi="Palatino Linotype" w:eastAsia="Times New Roman"/>
      <w:snapToGrid w:val="0"/>
      <w:color w:val="000000"/>
      <w:szCs w:val="22"/>
      <w:lang w:eastAsia="de-DE" w:bidi="en-US"/>
    </w:rPr>
  </w:style>
  <w:style w:type="paragraph" w:styleId="MDPI61Citation" w:customStyle="1">
    <w:name w:val="MDPI_6.1_Citation"/>
    <w:qFormat/>
    <w:rsid w:val="00C34A11"/>
    <w:pPr>
      <w:adjustRightInd w:val="0"/>
      <w:snapToGrid w:val="0"/>
      <w:spacing w:line="240" w:lineRule="atLeast"/>
      <w:ind w:right="113"/>
    </w:pPr>
    <w:rPr>
      <w:rFonts w:ascii="Palatino Linotype" w:hAnsi="Palatino Linotype" w:cs="Cordia New"/>
      <w:sz w:val="14"/>
      <w:szCs w:val="22"/>
    </w:rPr>
  </w:style>
  <w:style w:type="paragraph" w:styleId="MDPI62BackMatter" w:customStyle="1">
    <w:name w:val="MDPI_6.2_BackMatter"/>
    <w:qFormat/>
    <w:rsid w:val="00C34A11"/>
    <w:pPr>
      <w:adjustRightInd w:val="0"/>
      <w:snapToGrid w:val="0"/>
      <w:spacing w:after="120" w:line="228" w:lineRule="auto"/>
      <w:ind w:left="2608"/>
      <w:jc w:val="both"/>
    </w:pPr>
    <w:rPr>
      <w:rFonts w:ascii="Palatino Linotype" w:hAnsi="Palatino Linotype" w:eastAsia="Times New Roman"/>
      <w:snapToGrid w:val="0"/>
      <w:color w:val="000000"/>
      <w:sz w:val="18"/>
      <w:lang w:eastAsia="en-US" w:bidi="en-US"/>
    </w:rPr>
  </w:style>
  <w:style w:type="paragraph" w:styleId="MDPI63Notes" w:customStyle="1">
    <w:name w:val="MDPI_6.3_Notes"/>
    <w:qFormat/>
    <w:rsid w:val="00C34A11"/>
    <w:pPr>
      <w:adjustRightInd w:val="0"/>
      <w:snapToGrid w:val="0"/>
      <w:spacing w:after="120" w:line="240" w:lineRule="atLeast"/>
      <w:ind w:right="113"/>
    </w:pPr>
    <w:rPr>
      <w:rFonts w:ascii="Palatino Linotype" w:hAnsi="Palatino Linotype"/>
      <w:snapToGrid w:val="0"/>
      <w:color w:val="000000"/>
      <w:sz w:val="14"/>
      <w:lang w:eastAsia="en-US" w:bidi="en-US"/>
    </w:rPr>
  </w:style>
  <w:style w:type="paragraph" w:styleId="MDPI15academiceditor" w:customStyle="1">
    <w:name w:val="MDPI_1.5_academic_editor"/>
    <w:qFormat/>
    <w:rsid w:val="004E5855"/>
    <w:pPr>
      <w:adjustRightInd w:val="0"/>
      <w:snapToGrid w:val="0"/>
      <w:spacing w:before="120" w:line="240" w:lineRule="atLeast"/>
      <w:ind w:right="113"/>
    </w:pPr>
    <w:rPr>
      <w:rFonts w:ascii="Palatino Linotype" w:hAnsi="Palatino Linotype" w:eastAsia="Times New Roman"/>
      <w:color w:val="000000"/>
      <w:sz w:val="14"/>
      <w:szCs w:val="22"/>
      <w:lang w:eastAsia="de-DE" w:bidi="en-US"/>
    </w:rPr>
  </w:style>
  <w:style w:type="paragraph" w:styleId="MDPI19classification" w:customStyle="1">
    <w:name w:val="MDPI_1.9_classification"/>
    <w:qFormat/>
    <w:rsid w:val="00C34A11"/>
    <w:pPr>
      <w:spacing w:before="240" w:line="260" w:lineRule="atLeast"/>
      <w:ind w:left="113"/>
      <w:jc w:val="both"/>
    </w:pPr>
    <w:rPr>
      <w:rFonts w:ascii="Palatino Linotype" w:hAnsi="Palatino Linotype" w:eastAsia="Times New Roman"/>
      <w:b/>
      <w:color w:val="000000"/>
      <w:szCs w:val="22"/>
      <w:lang w:eastAsia="de-DE" w:bidi="en-US"/>
    </w:rPr>
  </w:style>
  <w:style w:type="paragraph" w:styleId="MDPI411onetablecaption" w:customStyle="1">
    <w:name w:val="MDPI_4.1.1_one_table_caption"/>
    <w:qFormat/>
    <w:rsid w:val="00C34A11"/>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styleId="MDPI511onefigurecaption" w:customStyle="1">
    <w:name w:val="MDPI_5.1.1_one_figure_caption"/>
    <w:qFormat/>
    <w:rsid w:val="00C34A11"/>
    <w:pPr>
      <w:adjustRightInd w:val="0"/>
      <w:snapToGrid w:val="0"/>
      <w:spacing w:before="240" w:after="120" w:line="260" w:lineRule="atLeast"/>
      <w:jc w:val="center"/>
    </w:pPr>
    <w:rPr>
      <w:rFonts w:ascii="Palatino Linotype" w:hAnsi="Palatino Linotype"/>
      <w:noProof/>
      <w:color w:val="000000"/>
      <w:sz w:val="18"/>
      <w:lang w:bidi="en-US"/>
    </w:rPr>
  </w:style>
  <w:style w:type="paragraph" w:styleId="MDPI72Copyright" w:customStyle="1">
    <w:name w:val="MDPI_7.2_Copyright"/>
    <w:qFormat/>
    <w:rsid w:val="00C34A11"/>
    <w:pPr>
      <w:adjustRightInd w:val="0"/>
      <w:snapToGrid w:val="0"/>
      <w:spacing w:before="240" w:line="240" w:lineRule="atLeast"/>
      <w:ind w:right="113"/>
    </w:pPr>
    <w:rPr>
      <w:rFonts w:ascii="Palatino Linotype" w:hAnsi="Palatino Linotype" w:eastAsia="Times New Roman"/>
      <w:noProof/>
      <w:snapToGrid w:val="0"/>
      <w:color w:val="000000"/>
      <w:spacing w:val="-2"/>
      <w:sz w:val="14"/>
      <w:lang w:val="en-GB" w:eastAsia="en-GB"/>
    </w:rPr>
  </w:style>
  <w:style w:type="paragraph" w:styleId="MDPI73CopyrightImage" w:customStyle="1">
    <w:name w:val="MDPI_7.3_CopyrightImage"/>
    <w:rsid w:val="00C34A11"/>
    <w:pPr>
      <w:adjustRightInd w:val="0"/>
      <w:snapToGrid w:val="0"/>
      <w:spacing w:after="100" w:line="260" w:lineRule="atLeast"/>
      <w:jc w:val="right"/>
    </w:pPr>
    <w:rPr>
      <w:rFonts w:ascii="Palatino Linotype" w:hAnsi="Palatino Linotype" w:eastAsia="Times New Roman"/>
      <w:color w:val="000000"/>
      <w:lang w:eastAsia="de-CH"/>
    </w:rPr>
  </w:style>
  <w:style w:type="paragraph" w:styleId="MDPIequationFram" w:customStyle="1">
    <w:name w:val="MDPI_equationFram"/>
    <w:qFormat/>
    <w:rsid w:val="00C34A11"/>
    <w:pPr>
      <w:adjustRightInd w:val="0"/>
      <w:snapToGrid w:val="0"/>
      <w:spacing w:before="120" w:after="120"/>
      <w:jc w:val="center"/>
    </w:pPr>
    <w:rPr>
      <w:rFonts w:ascii="Palatino Linotype" w:hAnsi="Palatino Linotype" w:eastAsia="Times New Roman"/>
      <w:snapToGrid w:val="0"/>
      <w:color w:val="000000"/>
      <w:szCs w:val="22"/>
      <w:lang w:eastAsia="de-DE" w:bidi="en-US"/>
    </w:rPr>
  </w:style>
  <w:style w:type="paragraph" w:styleId="MDPIfooter" w:customStyle="1">
    <w:name w:val="MDPI_footer"/>
    <w:qFormat/>
    <w:rsid w:val="00C34A11"/>
    <w:pPr>
      <w:adjustRightInd w:val="0"/>
      <w:snapToGrid w:val="0"/>
      <w:spacing w:before="120" w:line="260" w:lineRule="atLeast"/>
      <w:jc w:val="center"/>
    </w:pPr>
    <w:rPr>
      <w:rFonts w:ascii="Palatino Linotype" w:hAnsi="Palatino Linotype" w:eastAsia="Times New Roman"/>
      <w:color w:val="000000"/>
      <w:lang w:eastAsia="de-DE"/>
    </w:rPr>
  </w:style>
  <w:style w:type="paragraph" w:styleId="MDPIfooterfirstpage" w:customStyle="1">
    <w:name w:val="MDPI_footer_firstpage"/>
    <w:qFormat/>
    <w:rsid w:val="00C34A11"/>
    <w:pPr>
      <w:tabs>
        <w:tab w:val="right" w:pos="8845"/>
      </w:tabs>
      <w:spacing w:line="160" w:lineRule="exact"/>
    </w:pPr>
    <w:rPr>
      <w:rFonts w:ascii="Palatino Linotype" w:hAnsi="Palatino Linotype" w:eastAsia="Times New Roman"/>
      <w:color w:val="000000"/>
      <w:sz w:val="16"/>
      <w:lang w:eastAsia="de-DE"/>
    </w:rPr>
  </w:style>
  <w:style w:type="paragraph" w:styleId="MDPIheader" w:customStyle="1">
    <w:name w:val="MDPI_header"/>
    <w:qFormat/>
    <w:rsid w:val="00C34A11"/>
    <w:pPr>
      <w:adjustRightInd w:val="0"/>
      <w:snapToGrid w:val="0"/>
      <w:spacing w:after="240" w:line="260" w:lineRule="atLeast"/>
      <w:jc w:val="both"/>
    </w:pPr>
    <w:rPr>
      <w:rFonts w:ascii="Palatino Linotype" w:hAnsi="Palatino Linotype" w:eastAsia="Times New Roman"/>
      <w:iCs/>
      <w:color w:val="000000"/>
      <w:sz w:val="16"/>
      <w:lang w:eastAsia="de-DE"/>
    </w:rPr>
  </w:style>
  <w:style w:type="paragraph" w:styleId="MDPIheadercitation" w:customStyle="1">
    <w:name w:val="MDPI_header_citation"/>
    <w:rsid w:val="00C34A11"/>
    <w:pPr>
      <w:spacing w:after="240"/>
    </w:pPr>
    <w:rPr>
      <w:rFonts w:ascii="Palatino Linotype" w:hAnsi="Palatino Linotype" w:eastAsia="Times New Roman"/>
      <w:snapToGrid w:val="0"/>
      <w:color w:val="000000"/>
      <w:sz w:val="18"/>
      <w:lang w:eastAsia="de-DE" w:bidi="en-US"/>
    </w:rPr>
  </w:style>
  <w:style w:type="paragraph" w:styleId="MDPIheadermdpilogo" w:customStyle="1">
    <w:name w:val="MDPI_header_mdpi_logo"/>
    <w:qFormat/>
    <w:rsid w:val="00C34A11"/>
    <w:pPr>
      <w:adjustRightInd w:val="0"/>
      <w:snapToGrid w:val="0"/>
      <w:spacing w:line="260" w:lineRule="atLeast"/>
      <w:jc w:val="right"/>
    </w:pPr>
    <w:rPr>
      <w:rFonts w:ascii="Palatino Linotype" w:hAnsi="Palatino Linotype" w:eastAsia="Times New Roman"/>
      <w:color w:val="000000"/>
      <w:sz w:val="24"/>
      <w:szCs w:val="22"/>
      <w:lang w:eastAsia="de-CH"/>
    </w:rPr>
  </w:style>
  <w:style w:type="table" w:styleId="MDPITable" w:customStyle="1">
    <w:name w:val="MDPI_Table"/>
    <w:basedOn w:val="TableNormal"/>
    <w:uiPriority w:val="99"/>
    <w:rsid w:val="00C34A11"/>
    <w:rPr>
      <w:rFonts w:ascii="Palatino Linotype" w:hAnsi="Palatino Linotype"/>
      <w:color w:val="000000"/>
      <w:lang w:val="en-CA" w:eastAsia="en-US"/>
    </w:rPr>
    <w:tblPr>
      <w:tblCellMar>
        <w:left w:w="0" w:type="dxa"/>
        <w:right w:w="0" w:type="dxa"/>
      </w:tblCellMar>
    </w:tblPr>
  </w:style>
  <w:style w:type="paragraph" w:styleId="MDPItext" w:customStyle="1">
    <w:name w:val="MDPI_text"/>
    <w:qFormat/>
    <w:rsid w:val="00C34A11"/>
    <w:pPr>
      <w:spacing w:line="260" w:lineRule="atLeast"/>
      <w:ind w:left="425" w:right="425" w:firstLine="284"/>
      <w:jc w:val="both"/>
    </w:pPr>
    <w:rPr>
      <w:rFonts w:ascii="Times New Roman" w:hAnsi="Times New Roman" w:eastAsia="Times New Roman"/>
      <w:noProof/>
      <w:snapToGrid w:val="0"/>
      <w:color w:val="000000"/>
      <w:sz w:val="22"/>
      <w:szCs w:val="22"/>
      <w:lang w:eastAsia="de-DE" w:bidi="en-US"/>
    </w:rPr>
  </w:style>
  <w:style w:type="paragraph" w:styleId="MDPItitle" w:customStyle="1">
    <w:name w:val="MDPI_title"/>
    <w:qFormat/>
    <w:rsid w:val="00C34A11"/>
    <w:pPr>
      <w:adjustRightInd w:val="0"/>
      <w:snapToGrid w:val="0"/>
      <w:spacing w:after="240" w:line="260" w:lineRule="atLeast"/>
      <w:jc w:val="both"/>
    </w:pPr>
    <w:rPr>
      <w:rFonts w:ascii="Palatino Linotype" w:hAnsi="Palatino Linotype" w:eastAsia="Times New Roman"/>
      <w:b/>
      <w:snapToGrid w:val="0"/>
      <w:color w:val="000000"/>
      <w:sz w:val="36"/>
      <w:lang w:eastAsia="de-DE" w:bidi="en-US"/>
    </w:rPr>
  </w:style>
  <w:style w:type="character" w:styleId="apple-converted-space" w:customStyle="1">
    <w:name w:val="apple-converted-space"/>
    <w:rsid w:val="00C34A11"/>
  </w:style>
  <w:style w:type="paragraph" w:styleId="Bibliography">
    <w:name w:val="Bibliography"/>
    <w:basedOn w:val="Normal"/>
    <w:next w:val="Normal"/>
    <w:uiPriority w:val="37"/>
    <w:semiHidden/>
    <w:unhideWhenUsed/>
    <w:rsid w:val="00C34A11"/>
  </w:style>
  <w:style w:type="paragraph" w:styleId="BodyText">
    <w:name w:val="Body Text"/>
    <w:link w:val="BodyTextChar"/>
    <w:rsid w:val="00C34A11"/>
    <w:pPr>
      <w:spacing w:after="120" w:line="340" w:lineRule="atLeast"/>
      <w:jc w:val="both"/>
    </w:pPr>
    <w:rPr>
      <w:rFonts w:ascii="Palatino Linotype" w:hAnsi="Palatino Linotype"/>
      <w:color w:val="000000"/>
      <w:sz w:val="24"/>
      <w:lang w:eastAsia="de-DE"/>
    </w:rPr>
  </w:style>
  <w:style w:type="character" w:styleId="BodyTextChar" w:customStyle="1">
    <w:name w:val="Body Text Char"/>
    <w:link w:val="BodyText"/>
    <w:rsid w:val="00C34A11"/>
    <w:rPr>
      <w:rFonts w:ascii="Palatino Linotype" w:hAnsi="Palatino Linotype"/>
      <w:color w:val="000000"/>
      <w:sz w:val="24"/>
      <w:lang w:eastAsia="de-DE"/>
    </w:rPr>
  </w:style>
  <w:style w:type="character" w:styleId="CommentReference">
    <w:name w:val="annotation reference"/>
    <w:rsid w:val="00C34A11"/>
    <w:rPr>
      <w:sz w:val="21"/>
      <w:szCs w:val="21"/>
    </w:rPr>
  </w:style>
  <w:style w:type="paragraph" w:styleId="CommentText">
    <w:name w:val="annotation text"/>
    <w:basedOn w:val="Normal"/>
    <w:link w:val="CommentTextChar"/>
    <w:rsid w:val="00C34A11"/>
  </w:style>
  <w:style w:type="character" w:styleId="CommentTextChar" w:customStyle="1">
    <w:name w:val="Comment Text Char"/>
    <w:link w:val="CommentText"/>
    <w:rsid w:val="00C34A11"/>
    <w:rPr>
      <w:rFonts w:ascii="Palatino Linotype" w:hAnsi="Palatino Linotype"/>
      <w:noProof/>
      <w:color w:val="000000"/>
    </w:rPr>
  </w:style>
  <w:style w:type="paragraph" w:styleId="CommentSubject">
    <w:name w:val="annotation subject"/>
    <w:basedOn w:val="CommentText"/>
    <w:next w:val="CommentText"/>
    <w:link w:val="CommentSubjectChar"/>
    <w:rsid w:val="00C34A11"/>
    <w:rPr>
      <w:b/>
      <w:bCs/>
    </w:rPr>
  </w:style>
  <w:style w:type="character" w:styleId="CommentSubjectChar" w:customStyle="1">
    <w:name w:val="Comment Subject Char"/>
    <w:link w:val="CommentSubject"/>
    <w:rsid w:val="00C34A11"/>
    <w:rPr>
      <w:rFonts w:ascii="Palatino Linotype" w:hAnsi="Palatino Linotype"/>
      <w:b/>
      <w:bCs/>
      <w:noProof/>
      <w:color w:val="000000"/>
    </w:rPr>
  </w:style>
  <w:style w:type="character" w:styleId="EndnoteReference">
    <w:name w:val="endnote reference"/>
    <w:rsid w:val="00C34A11"/>
    <w:rPr>
      <w:vertAlign w:val="superscript"/>
    </w:rPr>
  </w:style>
  <w:style w:type="paragraph" w:styleId="EndnoteText">
    <w:name w:val="endnote text"/>
    <w:basedOn w:val="Normal"/>
    <w:link w:val="EndnoteTextChar"/>
    <w:semiHidden/>
    <w:unhideWhenUsed/>
    <w:rsid w:val="00C34A11"/>
    <w:pPr>
      <w:spacing w:line="240" w:lineRule="auto"/>
    </w:pPr>
  </w:style>
  <w:style w:type="character" w:styleId="EndnoteTextChar" w:customStyle="1">
    <w:name w:val="Endnote Text Char"/>
    <w:link w:val="EndnoteText"/>
    <w:semiHidden/>
    <w:rsid w:val="00C34A11"/>
    <w:rPr>
      <w:rFonts w:ascii="Palatino Linotype" w:hAnsi="Palatino Linotype"/>
      <w:noProof/>
      <w:color w:val="000000"/>
    </w:rPr>
  </w:style>
  <w:style w:type="character" w:styleId="FollowedHyperlink">
    <w:name w:val="FollowedHyperlink"/>
    <w:rsid w:val="00C34A11"/>
    <w:rPr>
      <w:color w:val="954F72"/>
      <w:u w:val="single"/>
    </w:rPr>
  </w:style>
  <w:style w:type="paragraph" w:styleId="FootnoteText">
    <w:name w:val="footnote text"/>
    <w:basedOn w:val="Normal"/>
    <w:link w:val="FootnoteTextChar"/>
    <w:semiHidden/>
    <w:unhideWhenUsed/>
    <w:rsid w:val="00C34A11"/>
    <w:pPr>
      <w:spacing w:line="240" w:lineRule="auto"/>
    </w:pPr>
  </w:style>
  <w:style w:type="character" w:styleId="FootnoteTextChar" w:customStyle="1">
    <w:name w:val="Footnote Text Char"/>
    <w:link w:val="FootnoteText"/>
    <w:semiHidden/>
    <w:rsid w:val="00C34A11"/>
    <w:rPr>
      <w:rFonts w:ascii="Palatino Linotype" w:hAnsi="Palatino Linotype"/>
      <w:noProof/>
      <w:color w:val="000000"/>
    </w:rPr>
  </w:style>
  <w:style w:type="paragraph" w:styleId="NormalWeb">
    <w:name w:val="Normal (Web)"/>
    <w:basedOn w:val="Normal"/>
    <w:uiPriority w:val="99"/>
    <w:rsid w:val="00C34A11"/>
    <w:rPr>
      <w:szCs w:val="24"/>
    </w:rPr>
  </w:style>
  <w:style w:type="paragraph" w:styleId="MsoFootnoteText0" w:customStyle="1">
    <w:name w:val="MsoFootnoteText"/>
    <w:basedOn w:val="NormalWeb"/>
    <w:qFormat/>
    <w:rsid w:val="00C34A11"/>
    <w:rPr>
      <w:rFonts w:ascii="Times New Roman" w:hAnsi="Times New Roman"/>
    </w:rPr>
  </w:style>
  <w:style w:type="character" w:styleId="PageNumber">
    <w:name w:val="page number"/>
    <w:rsid w:val="00C34A11"/>
  </w:style>
  <w:style w:type="character" w:styleId="PlaceholderText">
    <w:name w:val="Placeholder Text"/>
    <w:uiPriority w:val="99"/>
    <w:semiHidden/>
    <w:rsid w:val="00C34A11"/>
    <w:rPr>
      <w:color w:val="808080"/>
    </w:rPr>
  </w:style>
  <w:style w:type="paragraph" w:styleId="MDPI71FootNotes" w:customStyle="1">
    <w:name w:val="MDPI_7.1_FootNotes"/>
    <w:qFormat/>
    <w:rsid w:val="00B979EE"/>
    <w:pPr>
      <w:numPr>
        <w:numId w:val="21"/>
      </w:numPr>
      <w:adjustRightInd w:val="0"/>
      <w:snapToGrid w:val="0"/>
      <w:spacing w:line="228" w:lineRule="auto"/>
    </w:pPr>
    <w:rPr>
      <w:rFonts w:ascii="Palatino Linotype" w:hAnsi="Palatino Linotype" w:eastAsiaTheme="minorEastAsia"/>
      <w:noProof/>
      <w:color w:val="000000"/>
      <w:sz w:val="18"/>
    </w:rPr>
  </w:style>
  <w:style w:type="character" w:styleId="UnresolvedMention10" w:customStyle="1">
    <w:name w:val="Unresolved Mention10"/>
    <w:uiPriority w:val="99"/>
    <w:semiHidden/>
    <w:unhideWhenUsed/>
    <w:rsid w:val="00325A48"/>
    <w:rPr>
      <w:color w:val="605E5C"/>
      <w:shd w:val="clear" w:color="auto" w:fill="E1DFDD"/>
    </w:rPr>
  </w:style>
  <w:style w:type="paragraph" w:styleId="ListParagraph">
    <w:name w:val="List Paragraph"/>
    <w:basedOn w:val="Normal"/>
    <w:uiPriority w:val="34"/>
    <w:qFormat/>
    <w:rsid w:val="00F7619F"/>
    <w:pPr>
      <w:ind w:firstLine="420" w:firstLineChars="200"/>
    </w:pPr>
    <w:rPr>
      <w:rFonts w:eastAsiaTheme="minorEastAsia"/>
    </w:rPr>
  </w:style>
  <w:style w:type="paragraph" w:styleId="Revision">
    <w:name w:val="Revision"/>
    <w:hidden/>
    <w:uiPriority w:val="99"/>
    <w:semiHidden/>
    <w:rsid w:val="002D2CC0"/>
    <w:rPr>
      <w:rFonts w:ascii="Palatino Linotype" w:hAnsi="Palatino Linotype"/>
      <w:noProof/>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iso-8859-6"/>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8/08/relationships/commentsExtensible" Target="commentsExtensible.xml"/><Relationship Id="rId22" Type="http://schemas.microsoft.com/office/2011/relationships/people" Target="people.xm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E:\0%20MS\0%20Under%20Processing\1%20Revision\jof-1673071\jof-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jof-template.dot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Type of the Paper (Article</dc:title>
  <dc:subject/>
  <dc:creator>MDPI</dc:creator>
  <keywords/>
  <dc:description/>
  <lastModifiedBy>Ulf Liebal</lastModifiedBy>
  <revision>45</revision>
  <lastPrinted>2022-05-17T22:48:00.0000000Z</lastPrinted>
  <dcterms:created xsi:type="dcterms:W3CDTF">2022-05-17T22:48:00.0000000Z</dcterms:created>
  <dcterms:modified xsi:type="dcterms:W3CDTF">2022-05-19T10:33:00.3304096Z</dcterms:modified>
</coreProperties>
</file>