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3A89" w14:textId="77777777" w:rsidR="00261B88" w:rsidRDefault="00797126">
      <w:pPr>
        <w:spacing w:after="240"/>
        <w:jc w:val="center"/>
      </w:pPr>
      <w:r>
        <w:rPr>
          <w:rFonts w:ascii="Times New Roman" w:hAnsi="Times New Roman"/>
          <w:b/>
          <w:sz w:val="28"/>
        </w:rPr>
        <w:t>Triple-E: Efficient, Emergent, and Explainable Debiasing for AI Ethics</w:t>
      </w:r>
    </w:p>
    <w:p w14:paraId="0D406EF7" w14:textId="77777777" w:rsidR="00261B88" w:rsidRDefault="00797126">
      <w:pPr>
        <w:spacing w:after="40"/>
        <w:jc w:val="center"/>
      </w:pPr>
      <w:r>
        <w:rPr>
          <w:rFonts w:ascii="Times New Roman" w:hAnsi="Times New Roman"/>
          <w:sz w:val="20"/>
        </w:rPr>
        <w:t>Aahan Arora</w:t>
      </w:r>
    </w:p>
    <w:p w14:paraId="7BEDC15C" w14:textId="77777777" w:rsidR="00261B88" w:rsidRDefault="00797126">
      <w:pPr>
        <w:spacing w:after="40"/>
        <w:jc w:val="center"/>
      </w:pPr>
      <w:r>
        <w:rPr>
          <w:rFonts w:ascii="Times New Roman" w:hAnsi="Times New Roman"/>
          <w:i/>
          <w:sz w:val="20"/>
        </w:rPr>
        <w:t>Chitkara University</w:t>
      </w:r>
    </w:p>
    <w:p w14:paraId="6B1FD923" w14:textId="77777777" w:rsidR="00261B88" w:rsidRDefault="00797126">
      <w:pPr>
        <w:spacing w:after="280"/>
        <w:jc w:val="center"/>
      </w:pPr>
      <w:r>
        <w:rPr>
          <w:rFonts w:ascii="Times New Roman" w:hAnsi="Times New Roman"/>
          <w:sz w:val="20"/>
        </w:rPr>
        <w:t>aahan1107.be22@chitkara.edu.in</w:t>
      </w:r>
    </w:p>
    <w:p w14:paraId="3FD9F127" w14:textId="7C6C845A" w:rsidR="00261B88" w:rsidRDefault="00797126">
      <w:pPr>
        <w:spacing w:after="0" w:line="240" w:lineRule="exact"/>
        <w:ind w:left="567"/>
      </w:pPr>
      <w:r>
        <w:rPr>
          <w:rFonts w:ascii="Times New Roman" w:hAnsi="Times New Roman"/>
          <w:b/>
          <w:sz w:val="20"/>
        </w:rPr>
        <w:t xml:space="preserve">Abstract. </w:t>
      </w:r>
      <w:r>
        <w:rPr>
          <w:rFonts w:ascii="Times New Roman" w:hAnsi="Times New Roman"/>
          <w:sz w:val="20"/>
        </w:rPr>
        <w:t xml:space="preserve">Algorithmic bias in machine learning models is a </w:t>
      </w:r>
      <w:r w:rsidR="00E56ACE">
        <w:rPr>
          <w:rFonts w:ascii="Times New Roman" w:hAnsi="Times New Roman"/>
          <w:sz w:val="20"/>
        </w:rPr>
        <w:t>major</w:t>
      </w:r>
      <w:r>
        <w:rPr>
          <w:rFonts w:ascii="Times New Roman" w:hAnsi="Times New Roman"/>
          <w:sz w:val="20"/>
        </w:rPr>
        <w:t xml:space="preserve"> problem as the application of AI systems in decision-making is on the rise. In this paper, we have introduced a debiasing algorithm named Triple-E, which is applicable to visual classifiers and does not need the sensitive attribute labels. The algorithm is based on subnetwork discovery through </w:t>
      </w:r>
      <w:r w:rsidR="004E7A10">
        <w:rPr>
          <w:rFonts w:ascii="Times New Roman" w:hAnsi="Times New Roman"/>
          <w:sz w:val="20"/>
        </w:rPr>
        <w:t>trimming</w:t>
      </w:r>
      <w:r>
        <w:rPr>
          <w:rFonts w:ascii="Times New Roman" w:hAnsi="Times New Roman"/>
          <w:sz w:val="20"/>
        </w:rPr>
        <w:t>, an emergent fairness signal, and post-hoc interpretability using Sparse Autoencoders. We have performed experiments on the CelebA and UTKFace datasets, obtaining higher fairness and comparable accuracy and computational costs than the retraining-based methods.</w:t>
      </w:r>
    </w:p>
    <w:p w14:paraId="27052C20" w14:textId="22A243B0" w:rsidR="00261B88" w:rsidRDefault="00797126">
      <w:pPr>
        <w:spacing w:before="120" w:line="240" w:lineRule="exact"/>
        <w:ind w:left="567"/>
      </w:pPr>
      <w:r>
        <w:rPr>
          <w:rFonts w:ascii="Times New Roman" w:hAnsi="Times New Roman"/>
          <w:b/>
          <w:sz w:val="20"/>
        </w:rPr>
        <w:t xml:space="preserve">Keywords: </w:t>
      </w:r>
      <w:r>
        <w:rPr>
          <w:rFonts w:ascii="Times New Roman" w:hAnsi="Times New Roman"/>
          <w:sz w:val="20"/>
        </w:rPr>
        <w:t xml:space="preserve">Algorithmic Fairness · Debiasing · Explainable AI · Sparse Autoencoders · Neural Network </w:t>
      </w:r>
      <w:r w:rsidR="0028255D">
        <w:rPr>
          <w:rFonts w:ascii="Times New Roman" w:hAnsi="Times New Roman"/>
          <w:sz w:val="20"/>
        </w:rPr>
        <w:t>Trimming</w:t>
      </w:r>
    </w:p>
    <w:p w14:paraId="0C7AA1FE" w14:textId="77777777" w:rsidR="00261B88" w:rsidRDefault="00797126" w:rsidP="00956203">
      <w:pPr>
        <w:spacing w:before="240" w:after="120" w:line="240" w:lineRule="exact"/>
        <w:jc w:val="center"/>
      </w:pPr>
      <w:r>
        <w:rPr>
          <w:rFonts w:ascii="Times New Roman" w:hAnsi="Times New Roman"/>
          <w:b/>
          <w:sz w:val="20"/>
        </w:rPr>
        <w:t>1 Introduction</w:t>
      </w:r>
    </w:p>
    <w:p w14:paraId="57A542FF" w14:textId="1C528B04" w:rsidR="00261B88" w:rsidRDefault="00797126">
      <w:pPr>
        <w:spacing w:after="120" w:line="240" w:lineRule="exact"/>
        <w:jc w:val="both"/>
      </w:pPr>
      <w:r>
        <w:rPr>
          <w:rFonts w:ascii="Times New Roman" w:hAnsi="Times New Roman"/>
          <w:sz w:val="20"/>
        </w:rPr>
        <w:t xml:space="preserve">Machine learning models that are part of the decision-making system may carry biases that exist in their </w:t>
      </w:r>
      <w:r w:rsidR="00322B40">
        <w:rPr>
          <w:rFonts w:ascii="Times New Roman" w:hAnsi="Times New Roman"/>
          <w:sz w:val="20"/>
        </w:rPr>
        <w:t xml:space="preserve">already </w:t>
      </w:r>
      <w:r>
        <w:rPr>
          <w:rFonts w:ascii="Times New Roman" w:hAnsi="Times New Roman"/>
          <w:sz w:val="20"/>
        </w:rPr>
        <w:t>training data. Such biases may cause unfair predictions for specific demographic groups. Most fairness mitigation approaches rely on access to sensitive demographic labels. However, such access is limited owing to privacy and legal issues.</w:t>
      </w:r>
    </w:p>
    <w:p w14:paraId="7A08138A" w14:textId="77777777" w:rsidR="00261B88" w:rsidRDefault="00797126">
      <w:pPr>
        <w:spacing w:after="120" w:line="240" w:lineRule="exact"/>
        <w:jc w:val="both"/>
      </w:pPr>
      <w:r>
        <w:rPr>
          <w:rFonts w:ascii="Times New Roman" w:hAnsi="Times New Roman"/>
          <w:sz w:val="20"/>
        </w:rPr>
        <w:t>This paper presents Triple-E, which is a framework that finds fair sub-networks within a pre-trained biased model. The method includes the formulation of an emergent fairness objective during pruning and checking for fairness through feature analysis.</w:t>
      </w:r>
    </w:p>
    <w:p w14:paraId="22E28C59" w14:textId="77777777" w:rsidR="00261B88" w:rsidRDefault="00797126" w:rsidP="00956203">
      <w:pPr>
        <w:spacing w:before="240" w:after="120" w:line="240" w:lineRule="exact"/>
        <w:jc w:val="center"/>
      </w:pPr>
      <w:r>
        <w:rPr>
          <w:rFonts w:ascii="Times New Roman" w:hAnsi="Times New Roman"/>
          <w:b/>
          <w:sz w:val="20"/>
        </w:rPr>
        <w:t>2 Method Overview</w:t>
      </w:r>
    </w:p>
    <w:p w14:paraId="682EE582" w14:textId="77777777" w:rsidR="00261B88" w:rsidRDefault="00797126">
      <w:pPr>
        <w:spacing w:after="120" w:line="240" w:lineRule="exact"/>
        <w:jc w:val="both"/>
      </w:pPr>
      <w:r>
        <w:rPr>
          <w:rFonts w:ascii="Times New Roman" w:hAnsi="Times New Roman"/>
          <w:sz w:val="20"/>
        </w:rPr>
        <w:t>The Triple-E framework has two phases:</w:t>
      </w:r>
    </w:p>
    <w:p w14:paraId="6A278863" w14:textId="77777777" w:rsidR="00261B88" w:rsidRDefault="00797126">
      <w:pPr>
        <w:spacing w:after="120" w:line="240" w:lineRule="exact"/>
        <w:jc w:val="both"/>
      </w:pPr>
      <w:r>
        <w:rPr>
          <w:rFonts w:ascii="Times New Roman" w:hAnsi="Times New Roman"/>
          <w:sz w:val="20"/>
        </w:rPr>
        <w:t>(1) Emergent Subnetwork Search, which finds sparse subnetworks with minimum performance disparity across the samples;</w:t>
      </w:r>
    </w:p>
    <w:p w14:paraId="09A827D8" w14:textId="77777777" w:rsidR="00261B88" w:rsidRDefault="00797126">
      <w:pPr>
        <w:spacing w:after="120" w:line="240" w:lineRule="exact"/>
        <w:jc w:val="both"/>
      </w:pPr>
      <w:r>
        <w:rPr>
          <w:rFonts w:ascii="Times New Roman" w:hAnsi="Times New Roman"/>
          <w:sz w:val="20"/>
        </w:rPr>
        <w:t>(2) Explainable Audit, which checks if sensitive attributes influence the model prediction using Sparse Autoencoders.</w:t>
      </w:r>
    </w:p>
    <w:p w14:paraId="130D2FD6" w14:textId="77777777" w:rsidR="00261B88" w:rsidRDefault="00797126">
      <w:pPr>
        <w:spacing w:before="120" w:after="40"/>
        <w:jc w:val="center"/>
      </w:pPr>
      <w:r>
        <w:rPr>
          <w:noProof/>
        </w:rPr>
        <w:drawing>
          <wp:inline distT="0" distB="0" distL="0" distR="0" wp14:anchorId="084D7D7F" wp14:editId="1FD4333A">
            <wp:extent cx="4114800" cy="339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114800" cy="3390034"/>
                    </a:xfrm>
                    <a:prstGeom prst="rect">
                      <a:avLst/>
                    </a:prstGeom>
                  </pic:spPr>
                </pic:pic>
              </a:graphicData>
            </a:graphic>
          </wp:inline>
        </w:drawing>
      </w:r>
    </w:p>
    <w:p w14:paraId="7BF0D837" w14:textId="77777777" w:rsidR="00261B88" w:rsidRDefault="00797126">
      <w:pPr>
        <w:spacing w:before="40" w:after="160"/>
        <w:jc w:val="center"/>
      </w:pPr>
      <w:r>
        <w:rPr>
          <w:rFonts w:ascii="Times New Roman" w:hAnsi="Times New Roman"/>
          <w:sz w:val="18"/>
        </w:rPr>
        <w:t>Fig. 1. Triple-E Framework Pipeline.</w:t>
      </w:r>
    </w:p>
    <w:p w14:paraId="61A3AE04" w14:textId="77777777" w:rsidR="00261B88" w:rsidRDefault="00797126">
      <w:pPr>
        <w:spacing w:before="120" w:after="40"/>
        <w:jc w:val="center"/>
      </w:pPr>
      <w:r>
        <w:rPr>
          <w:noProof/>
        </w:rPr>
        <w:lastRenderedPageBreak/>
        <w:drawing>
          <wp:inline distT="0" distB="0" distL="0" distR="0" wp14:anchorId="2ABDF37D" wp14:editId="5432DDD2">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114800" cy="3086100"/>
                    </a:xfrm>
                    <a:prstGeom prst="rect">
                      <a:avLst/>
                    </a:prstGeom>
                  </pic:spPr>
                </pic:pic>
              </a:graphicData>
            </a:graphic>
          </wp:inline>
        </w:drawing>
      </w:r>
    </w:p>
    <w:p w14:paraId="5F57A8FE" w14:textId="77777777" w:rsidR="00261B88" w:rsidRDefault="00797126">
      <w:pPr>
        <w:spacing w:before="40" w:after="160"/>
        <w:jc w:val="center"/>
      </w:pPr>
      <w:r>
        <w:rPr>
          <w:rFonts w:ascii="Times New Roman" w:hAnsi="Times New Roman"/>
          <w:sz w:val="18"/>
        </w:rPr>
        <w:t>Fig. 2. Fairness-Accuracy Trade-off Comparison.</w:t>
      </w:r>
    </w:p>
    <w:p w14:paraId="40FAF46F" w14:textId="77777777" w:rsidR="00261B88" w:rsidRDefault="00797126">
      <w:pPr>
        <w:spacing w:before="120" w:after="40"/>
        <w:jc w:val="center"/>
      </w:pPr>
      <w:r>
        <w:rPr>
          <w:noProof/>
        </w:rPr>
        <w:drawing>
          <wp:inline distT="0" distB="0" distL="0" distR="0" wp14:anchorId="3E74B235" wp14:editId="1DE56AD5">
            <wp:extent cx="4114800" cy="1645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114800" cy="1645920"/>
                    </a:xfrm>
                    <a:prstGeom prst="rect">
                      <a:avLst/>
                    </a:prstGeom>
                  </pic:spPr>
                </pic:pic>
              </a:graphicData>
            </a:graphic>
          </wp:inline>
        </w:drawing>
      </w:r>
    </w:p>
    <w:p w14:paraId="76803032" w14:textId="77777777" w:rsidR="00261B88" w:rsidRDefault="00797126">
      <w:pPr>
        <w:spacing w:before="40" w:after="160"/>
        <w:jc w:val="center"/>
      </w:pPr>
      <w:r>
        <w:rPr>
          <w:rFonts w:ascii="Times New Roman" w:hAnsi="Times New Roman"/>
          <w:sz w:val="18"/>
        </w:rPr>
        <w:t>Fig. 3. SAE Feature Visualization.</w:t>
      </w:r>
    </w:p>
    <w:p w14:paraId="2EC5E141" w14:textId="77777777" w:rsidR="00261B88" w:rsidRDefault="00797126" w:rsidP="00956203">
      <w:pPr>
        <w:spacing w:before="240" w:after="120" w:line="240" w:lineRule="exact"/>
        <w:jc w:val="center"/>
      </w:pPr>
      <w:r>
        <w:rPr>
          <w:rFonts w:ascii="Times New Roman" w:hAnsi="Times New Roman"/>
          <w:b/>
          <w:sz w:val="20"/>
        </w:rPr>
        <w:t>3 Experimental Setup</w:t>
      </w:r>
    </w:p>
    <w:p w14:paraId="785F5473" w14:textId="77777777" w:rsidR="00261B88" w:rsidRDefault="00797126">
      <w:pPr>
        <w:spacing w:after="120" w:line="240" w:lineRule="exact"/>
        <w:jc w:val="both"/>
      </w:pPr>
      <w:r>
        <w:rPr>
          <w:rFonts w:ascii="Times New Roman" w:hAnsi="Times New Roman"/>
          <w:sz w:val="20"/>
        </w:rPr>
        <w:t>Experiments were conducted on the CelebA and UTKFace datasets. Sensitive attributes such as gender and race were removed from training and used only for evaluation of fairness metrics.</w:t>
      </w:r>
    </w:p>
    <w:p w14:paraId="7C37B7CF" w14:textId="77777777" w:rsidR="00261B88" w:rsidRDefault="00797126" w:rsidP="00956203">
      <w:pPr>
        <w:spacing w:before="240" w:after="120" w:line="240" w:lineRule="exact"/>
        <w:jc w:val="center"/>
      </w:pPr>
      <w:r>
        <w:rPr>
          <w:rFonts w:ascii="Times New Roman" w:hAnsi="Times New Roman"/>
          <w:b/>
          <w:sz w:val="20"/>
        </w:rPr>
        <w:t>4 Results</w:t>
      </w:r>
    </w:p>
    <w:p w14:paraId="0093801B" w14:textId="59349596" w:rsidR="00261B88" w:rsidRDefault="00797126">
      <w:pPr>
        <w:spacing w:after="120" w:line="240" w:lineRule="exact"/>
        <w:jc w:val="both"/>
      </w:pPr>
      <w:r>
        <w:rPr>
          <w:rFonts w:ascii="Times New Roman" w:hAnsi="Times New Roman"/>
          <w:sz w:val="20"/>
        </w:rPr>
        <w:t xml:space="preserve">Triple-E obtained lower Equalized Odds and Demographic Parity differences than those of the baseline models, along with competitive classification accuracy. Moreover, a lower computational cost was achieved by using the </w:t>
      </w:r>
      <w:r w:rsidR="004E7A10">
        <w:rPr>
          <w:rFonts w:ascii="Times New Roman" w:hAnsi="Times New Roman"/>
          <w:sz w:val="20"/>
        </w:rPr>
        <w:t>trimming-based</w:t>
      </w:r>
      <w:r>
        <w:rPr>
          <w:rFonts w:ascii="Times New Roman" w:hAnsi="Times New Roman"/>
          <w:sz w:val="20"/>
        </w:rPr>
        <w:t xml:space="preserve"> approach in comparison to retraining.</w:t>
      </w:r>
    </w:p>
    <w:p w14:paraId="35A641AF" w14:textId="77777777" w:rsidR="00261B88" w:rsidRDefault="00797126" w:rsidP="00956203">
      <w:pPr>
        <w:spacing w:before="240" w:after="120" w:line="240" w:lineRule="exact"/>
        <w:jc w:val="center"/>
      </w:pPr>
      <w:r>
        <w:rPr>
          <w:rFonts w:ascii="Times New Roman" w:hAnsi="Times New Roman"/>
          <w:b/>
          <w:sz w:val="20"/>
        </w:rPr>
        <w:t>5 Conclusion</w:t>
      </w:r>
    </w:p>
    <w:p w14:paraId="4632A10E" w14:textId="632C6934" w:rsidR="00261B88" w:rsidRDefault="00797126">
      <w:pPr>
        <w:spacing w:after="120" w:line="240" w:lineRule="exact"/>
        <w:jc w:val="both"/>
      </w:pPr>
      <w:r>
        <w:rPr>
          <w:rFonts w:ascii="Times New Roman" w:hAnsi="Times New Roman"/>
          <w:sz w:val="20"/>
        </w:rPr>
        <w:t xml:space="preserve">This paper presented a framework called Triple-E for the efficient and interpretable debiasing of visual classifiers without access to sensitive labels. The framework achieves this through the efficiency of subnetwork search via </w:t>
      </w:r>
      <w:r w:rsidR="004E7A10">
        <w:rPr>
          <w:rFonts w:ascii="Times New Roman" w:hAnsi="Times New Roman"/>
          <w:sz w:val="20"/>
        </w:rPr>
        <w:t>trimming</w:t>
      </w:r>
      <w:r>
        <w:rPr>
          <w:rFonts w:ascii="Times New Roman" w:hAnsi="Times New Roman"/>
          <w:sz w:val="20"/>
        </w:rPr>
        <w:t xml:space="preserve"> and the effectiveness of interpretability analysis. Experiments show that the proposed framework performs competitively at considerably lower computational cost. Future work will apply the framework to other modalities such as text models and tabular decision systems.</w:t>
      </w:r>
    </w:p>
    <w:p w14:paraId="1F596A28" w14:textId="32C8184E" w:rsidR="00261B88" w:rsidRDefault="00322B40" w:rsidP="00322B40">
      <w:pPr>
        <w:spacing w:before="240" w:after="120" w:line="240" w:lineRule="exact"/>
        <w:jc w:val="center"/>
      </w:pPr>
      <w:r>
        <w:rPr>
          <w:rFonts w:ascii="Times New Roman" w:hAnsi="Times New Roman"/>
          <w:b/>
          <w:sz w:val="20"/>
        </w:rPr>
        <w:t xml:space="preserve">6 </w:t>
      </w:r>
      <w:r w:rsidR="00797126" w:rsidRPr="00322B40">
        <w:rPr>
          <w:rFonts w:ascii="Times New Roman" w:hAnsi="Times New Roman"/>
          <w:b/>
          <w:sz w:val="20"/>
        </w:rPr>
        <w:t>References</w:t>
      </w:r>
    </w:p>
    <w:p w14:paraId="444A52BA" w14:textId="77777777" w:rsidR="00261B88" w:rsidRDefault="00797126">
      <w:pPr>
        <w:spacing w:after="60" w:line="240" w:lineRule="exact"/>
        <w:ind w:left="283" w:hanging="283"/>
        <w:jc w:val="both"/>
      </w:pPr>
      <w:r>
        <w:rPr>
          <w:rFonts w:ascii="Times New Roman" w:hAnsi="Times New Roman"/>
          <w:sz w:val="20"/>
        </w:rPr>
        <w:t>1</w:t>
      </w:r>
      <w:r>
        <w:rPr>
          <w:rFonts w:ascii="Times New Roman" w:hAnsi="Times New Roman"/>
          <w:sz w:val="20"/>
        </w:rPr>
        <w:t xml:space="preserve">. </w:t>
      </w:r>
      <w:r>
        <w:rPr>
          <w:rFonts w:ascii="Times New Roman" w:hAnsi="Times New Roman"/>
          <w:sz w:val="20"/>
        </w:rPr>
        <w:t>Agarwal, R. et al.: Neural Additive Models: Interpretable Machine Learning with Neural Nets. NeurIPS (2021).</w:t>
      </w:r>
    </w:p>
    <w:p w14:paraId="72548D5F" w14:textId="77777777" w:rsidR="00261B88" w:rsidRDefault="00797126">
      <w:pPr>
        <w:spacing w:after="60" w:line="240" w:lineRule="exact"/>
        <w:ind w:left="283" w:hanging="283"/>
        <w:jc w:val="both"/>
      </w:pPr>
      <w:r>
        <w:rPr>
          <w:rFonts w:ascii="Times New Roman" w:hAnsi="Times New Roman"/>
          <w:sz w:val="20"/>
        </w:rPr>
        <w:t xml:space="preserve">2. </w:t>
      </w:r>
      <w:r>
        <w:rPr>
          <w:rFonts w:ascii="Times New Roman" w:hAnsi="Times New Roman"/>
          <w:sz w:val="20"/>
        </w:rPr>
        <w:t>Bricken, T. et al.: Towards Monosemanticity: Decomposing Language Models With Dictionary Learning (2023).</w:t>
      </w:r>
    </w:p>
    <w:p w14:paraId="30C0739E" w14:textId="77777777" w:rsidR="00261B88" w:rsidRDefault="00797126">
      <w:pPr>
        <w:spacing w:after="60" w:line="240" w:lineRule="exact"/>
        <w:ind w:left="283" w:hanging="283"/>
        <w:jc w:val="both"/>
      </w:pPr>
      <w:r>
        <w:rPr>
          <w:rFonts w:ascii="Times New Roman" w:hAnsi="Times New Roman"/>
          <w:sz w:val="20"/>
        </w:rPr>
        <w:t xml:space="preserve">3. </w:t>
      </w:r>
      <w:r>
        <w:rPr>
          <w:rFonts w:ascii="Times New Roman" w:hAnsi="Times New Roman"/>
          <w:sz w:val="20"/>
        </w:rPr>
        <w:t>Frankle, J., Carbin, M.: The Lottery Ticket Hypothesis: Finding Sparse, Trainable Neural Networks. ICLR (2019).</w:t>
      </w:r>
    </w:p>
    <w:p w14:paraId="622042D9" w14:textId="77777777" w:rsidR="00261B88" w:rsidRDefault="00797126">
      <w:pPr>
        <w:spacing w:after="60" w:line="240" w:lineRule="exact"/>
        <w:ind w:left="283" w:hanging="283"/>
        <w:jc w:val="both"/>
      </w:pPr>
      <w:r>
        <w:rPr>
          <w:rFonts w:ascii="Times New Roman" w:hAnsi="Times New Roman"/>
          <w:sz w:val="20"/>
        </w:rPr>
        <w:t xml:space="preserve">4. </w:t>
      </w:r>
      <w:r>
        <w:rPr>
          <w:rFonts w:ascii="Times New Roman" w:hAnsi="Times New Roman"/>
          <w:sz w:val="20"/>
        </w:rPr>
        <w:t>Geirhos, R. et al.: ImageNet-trained CNNs are biased towards texture. ICLR (2019).</w:t>
      </w:r>
    </w:p>
    <w:p w14:paraId="0AB15F7E" w14:textId="77777777" w:rsidR="00261B88" w:rsidRDefault="00797126">
      <w:pPr>
        <w:spacing w:after="60" w:line="240" w:lineRule="exact"/>
        <w:ind w:left="283" w:hanging="283"/>
        <w:jc w:val="both"/>
      </w:pPr>
      <w:r>
        <w:rPr>
          <w:rFonts w:ascii="Times New Roman" w:hAnsi="Times New Roman"/>
          <w:sz w:val="20"/>
        </w:rPr>
        <w:t xml:space="preserve">5. </w:t>
      </w:r>
      <w:r>
        <w:rPr>
          <w:rFonts w:ascii="Times New Roman" w:hAnsi="Times New Roman"/>
          <w:sz w:val="20"/>
        </w:rPr>
        <w:t>Hooker, S. et al.: Bias In, Bias Out? Evaluating the Disparate Impact of Fair Neural Network Architectures. FAccT (2020).</w:t>
      </w:r>
    </w:p>
    <w:p w14:paraId="51A92463" w14:textId="77777777" w:rsidR="00261B88" w:rsidRDefault="00797126">
      <w:pPr>
        <w:spacing w:after="60" w:line="240" w:lineRule="exact"/>
        <w:ind w:left="283" w:hanging="283"/>
        <w:jc w:val="both"/>
      </w:pPr>
      <w:r>
        <w:rPr>
          <w:rFonts w:ascii="Times New Roman" w:hAnsi="Times New Roman"/>
          <w:sz w:val="20"/>
        </w:rPr>
        <w:t xml:space="preserve">6. </w:t>
      </w:r>
      <w:r>
        <w:rPr>
          <w:rFonts w:ascii="Times New Roman" w:hAnsi="Times New Roman"/>
          <w:sz w:val="20"/>
        </w:rPr>
        <w:t>Liu, E.Z. et al.: Just Train Twice: Improving Group Robustness without Training Group Information. ICML (2021).</w:t>
      </w:r>
    </w:p>
    <w:sectPr w:rsidR="00261B88"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FC307E"/>
    <w:multiLevelType w:val="hybridMultilevel"/>
    <w:tmpl w:val="2FC63F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0931996">
    <w:abstractNumId w:val="8"/>
  </w:num>
  <w:num w:numId="2" w16cid:durableId="1312365812">
    <w:abstractNumId w:val="6"/>
  </w:num>
  <w:num w:numId="3" w16cid:durableId="1017734813">
    <w:abstractNumId w:val="5"/>
  </w:num>
  <w:num w:numId="4" w16cid:durableId="1289360898">
    <w:abstractNumId w:val="4"/>
  </w:num>
  <w:num w:numId="5" w16cid:durableId="1361320324">
    <w:abstractNumId w:val="7"/>
  </w:num>
  <w:num w:numId="6" w16cid:durableId="2051957486">
    <w:abstractNumId w:val="3"/>
  </w:num>
  <w:num w:numId="7" w16cid:durableId="186843138">
    <w:abstractNumId w:val="2"/>
  </w:num>
  <w:num w:numId="8" w16cid:durableId="147985061">
    <w:abstractNumId w:val="1"/>
  </w:num>
  <w:num w:numId="9" w16cid:durableId="328221212">
    <w:abstractNumId w:val="0"/>
  </w:num>
  <w:num w:numId="10" w16cid:durableId="214662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B88"/>
    <w:rsid w:val="0028255D"/>
    <w:rsid w:val="0029639D"/>
    <w:rsid w:val="00322B40"/>
    <w:rsid w:val="00326F90"/>
    <w:rsid w:val="004B5845"/>
    <w:rsid w:val="004E7A10"/>
    <w:rsid w:val="00632600"/>
    <w:rsid w:val="00797126"/>
    <w:rsid w:val="00956203"/>
    <w:rsid w:val="00AA1D8D"/>
    <w:rsid w:val="00B47730"/>
    <w:rsid w:val="00B71B91"/>
    <w:rsid w:val="00CB0664"/>
    <w:rsid w:val="00E56A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B34F99-1566-4E70-BEFF-19BDDBDA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Aahan Arora</cp:lastModifiedBy>
  <cp:revision>8</cp:revision>
  <dcterms:created xsi:type="dcterms:W3CDTF">2013-12-23T23:15:00Z</dcterms:created>
  <dcterms:modified xsi:type="dcterms:W3CDTF">2026-03-20T06:35:00Z</dcterms:modified>
  <cp:category/>
</cp:coreProperties>
</file>