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9wkeyfqo4psz" w:id="0"/>
      <w:bookmarkEnd w:id="0"/>
      <w:r w:rsidDel="00000000" w:rsidR="00000000" w:rsidRPr="00000000">
        <w:rPr>
          <w:rFonts w:ascii="Times New Roman" w:cs="Times New Roman" w:eastAsia="Times New Roman" w:hAnsi="Times New Roman"/>
          <w:b w:val="1"/>
          <w:bCs w:val="1"/>
          <w:sz w:val="36"/>
          <w:szCs w:val="36"/>
          <w:rtl w:val="0"/>
        </w:rPr>
        <w:t xml:space="preserve">PlantDx Results Report</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mzc7bc9x3nlp" w:id="1"/>
      <w:bookmarkEnd w:id="1"/>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the experimental evaluation of </w:t>
      </w:r>
      <w:r w:rsidDel="00000000" w:rsidR="00000000" w:rsidRPr="00000000">
        <w:rPr>
          <w:rFonts w:ascii="Times New Roman" w:cs="Times New Roman" w:eastAsia="Times New Roman" w:hAnsi="Times New Roman"/>
          <w:b w:val="1"/>
          <w:bCs w:val="1"/>
          <w:sz w:val="24"/>
          <w:szCs w:val="24"/>
          <w:rtl w:val="0"/>
        </w:rPr>
        <w:t xml:space="preserve">PlantDx</w:t>
      </w:r>
      <w:r w:rsidDel="00000000" w:rsidR="00000000" w:rsidRPr="00000000">
        <w:rPr>
          <w:rFonts w:ascii="Times New Roman" w:cs="Times New Roman" w:eastAsia="Times New Roman" w:hAnsi="Times New Roman"/>
          <w:sz w:val="24"/>
          <w:szCs w:val="24"/>
          <w:rtl w:val="0"/>
        </w:rPr>
        <w:t xml:space="preserve">, a knowledge-grounded framework designed for fine-tuning Vision-Language Models (VLMs) for plant disease diagnosis. Many existing instruction-tuning methods rely on captions generated by large Vision-Language Models to create training datasets. While convenient, these automatically generated captions can contain factual inaccuracies, missing information, or hallucinated content, which may reduce the quality of the training data and ultimately affect model performance.</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limitation, PlantDx adopts a knowledge-driven approach. Instead of using AI-generated captions, the instruction-tuning dataset is created directly from a carefully curated Disease Knowledge Base. The pipeline combines ontology construction, controlled vocabulary generation, concept modeling, and template-based caption generation to produce training samples that are consistent, reproducible, and fully traceable to verified agricultural knowledge. Since the dataset is generated without relying on external language or vision models, it avoids propagating hallucinated information into the fine-tuning process.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presented in this report evaluate the effectiveness of this approach across multiple crop disease datasets. The evaluation focuses on disease classification accuracy, caption generation quality, and deployment performance, providing a comprehensive assessment of the proposed framework in real-world plant disease diagnosis tasks.</w: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tpvksyq3f4x1" w:id="2"/>
      <w:bookmarkEnd w:id="2"/>
      <w:r w:rsidDel="00000000" w:rsidR="00000000" w:rsidRPr="00000000">
        <w:rPr>
          <w:rFonts w:ascii="Times New Roman" w:cs="Times New Roman" w:eastAsia="Times New Roman" w:hAnsi="Times New Roman"/>
          <w:b w:val="1"/>
          <w:bCs w:val="1"/>
          <w:sz w:val="28"/>
          <w:szCs w:val="28"/>
          <w:rtl w:val="0"/>
        </w:rPr>
        <w:t xml:space="preserve">2. Experimental Configuration</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experiments were carried out using </w:t>
      </w:r>
      <w:r w:rsidDel="00000000" w:rsidR="00000000" w:rsidRPr="00000000">
        <w:rPr>
          <w:rFonts w:ascii="Times New Roman" w:cs="Times New Roman" w:eastAsia="Times New Roman" w:hAnsi="Times New Roman"/>
          <w:b w:val="1"/>
          <w:bCs w:val="1"/>
          <w:sz w:val="24"/>
          <w:szCs w:val="24"/>
          <w:rtl w:val="0"/>
        </w:rPr>
        <w:t xml:space="preserve">Qwen2.5-VL-7B</w:t>
      </w:r>
      <w:r w:rsidDel="00000000" w:rsidR="00000000" w:rsidRPr="00000000">
        <w:rPr>
          <w:rFonts w:ascii="Times New Roman" w:cs="Times New Roman" w:eastAsia="Times New Roman" w:hAnsi="Times New Roman"/>
          <w:sz w:val="24"/>
          <w:szCs w:val="24"/>
          <w:rtl w:val="0"/>
        </w:rPr>
        <w:t xml:space="preserve"> as the backbone Vision-Language Model. Fine-tuning was performed using </w:t>
      </w:r>
      <w:r w:rsidDel="00000000" w:rsidR="00000000" w:rsidRPr="00000000">
        <w:rPr>
          <w:rFonts w:ascii="Times New Roman" w:cs="Times New Roman" w:eastAsia="Times New Roman" w:hAnsi="Times New Roman"/>
          <w:b w:val="1"/>
          <w:bCs w:val="1"/>
          <w:sz w:val="24"/>
          <w:szCs w:val="24"/>
          <w:rtl w:val="0"/>
        </w:rPr>
        <w:t xml:space="preserve">QLoRA</w:t>
      </w:r>
      <w:r w:rsidDel="00000000" w:rsidR="00000000" w:rsidRPr="00000000">
        <w:rPr>
          <w:rFonts w:ascii="Times New Roman" w:cs="Times New Roman" w:eastAsia="Times New Roman" w:hAnsi="Times New Roman"/>
          <w:sz w:val="24"/>
          <w:szCs w:val="24"/>
          <w:rtl w:val="0"/>
        </w:rPr>
        <w:t xml:space="preserve"> with the MLX framework on Apple Silicon hardware. Separate LoRA adapters were trained for tomato and mango while keeping the training pipeline and hyperparameters consistent across both crops.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 fair evaluation, fixed image-grouped test splits were used so that no leaf image appeared in both the training and testing sets.</w:t>
      </w:r>
    </w:p>
    <w:tbl>
      <w:tblPr>
        <w:tblStyle w:val="Table1"/>
        <w:tblW w:w="6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0"/>
        <w:gridCol w:w="4130"/>
        <w:tblGridChange w:id="0">
          <w:tblGrid>
            <w:gridCol w:w="2150"/>
            <w:gridCol w:w="41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Qwen2.5-VL-7B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QLoRA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 Silicon (24 GB Unified Memory)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LoRA Rank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Protocol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image-grouped held-out test split</w:t>
            </w:r>
          </w:p>
        </w:tc>
      </w:tr>
    </w:tbl>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xuubi10n5xx" w:id="3"/>
      <w:bookmarkEnd w:id="3"/>
      <w:r w:rsidDel="00000000" w:rsidR="00000000" w:rsidRPr="00000000">
        <w:rPr>
          <w:rFonts w:ascii="Times New Roman" w:cs="Times New Roman" w:eastAsia="Times New Roman" w:hAnsi="Times New Roman"/>
          <w:b w:val="1"/>
          <w:bCs w:val="1"/>
          <w:sz w:val="28"/>
          <w:szCs w:val="28"/>
          <w:rtl w:val="0"/>
        </w:rPr>
        <w:t xml:space="preserve">3. Datasets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was evaluated on two publicly available crop disease datasets covering tomato and mango leaves.</w:t>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35"/>
        <w:gridCol w:w="960"/>
        <w:gridCol w:w="960"/>
        <w:gridCol w:w="870"/>
        <w:gridCol w:w="2100"/>
        <w:gridCol w:w="3795"/>
        <w:tblGridChange w:id="0">
          <w:tblGrid>
            <w:gridCol w:w="1035"/>
            <w:gridCol w:w="960"/>
            <w:gridCol w:w="960"/>
            <w:gridCol w:w="870"/>
            <w:gridCol w:w="2100"/>
            <w:gridCol w:w="379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Split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Raw 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Adapter</w:t>
            </w:r>
            <w:r w:rsidDel="00000000" w:rsidR="00000000" w:rsidRPr="00000000">
              <w:rPr>
                <w:rtl w:val="0"/>
              </w:rPr>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Tomato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PlantVillage (tomato subset)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checkpoints/qwen25vl_tomato_qlora</w:t>
            </w:r>
            <w:r w:rsidDel="00000000" w:rsidR="00000000" w:rsidRPr="00000000">
              <w:rPr>
                <w:rtl w:val="0"/>
              </w:rPr>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MangoLeafBD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checkpoints/qwen25vl_mango_qlora</w:t>
            </w:r>
            <w:r w:rsidDel="00000000" w:rsidR="00000000" w:rsidRPr="00000000">
              <w:rPr>
                <w:rtl w:val="0"/>
              </w:rPr>
            </w:r>
          </w:p>
        </w:tc>
      </w:tr>
    </w:tbl>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tomato dataset contains more than 18,000 images covering ten disease categories, while the mango dataset includes approximately 4,000 images distributed across eight classes. Separate LoRA adapters were trained for each crop using the same fine-tuning strategy. This consistent training setup enables a fair evaluation of the proposed PlantDx pipeline across different crop datasets while keeping the overall methodology unchanged.</w:t>
      </w:r>
    </w:p>
    <w:p w:rsidR="00000000" w:rsidDel="00000000" w:rsidP="00000000" w:rsidRDefault="00000000" w:rsidRPr="00000000" w14:paraId="0000002D">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wf9s6kmuvcih" w:id="4"/>
      <w:bookmarkEnd w:id="4"/>
      <w:r w:rsidDel="00000000" w:rsidR="00000000" w:rsidRPr="00000000">
        <w:rPr>
          <w:rFonts w:ascii="Times New Roman" w:cs="Times New Roman" w:eastAsia="Times New Roman" w:hAnsi="Times New Roman"/>
          <w:b w:val="1"/>
          <w:bCs w:val="1"/>
          <w:sz w:val="28"/>
          <w:szCs w:val="28"/>
          <w:rtl w:val="0"/>
        </w:rPr>
        <w:t xml:space="preserve">4. Classification Performance</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classification is the primary task of PlantDx. Table 1 compares the performance of the original Qwen2.5-VL-7B model with the fine-tuned PlantDx adapters.</w:t>
      </w:r>
    </w:p>
    <w:p w:rsidR="00000000" w:rsidDel="00000000" w:rsidP="00000000" w:rsidRDefault="00000000" w:rsidRPr="00000000" w14:paraId="0000002F">
      <w:pPr>
        <w:pStyle w:val="Heading3"/>
        <w:keepNext w:val="0"/>
        <w:keepLines w:val="0"/>
        <w:spacing w:before="280" w:lineRule="auto"/>
        <w:jc w:val="center"/>
        <w:rPr>
          <w:rFonts w:ascii="Times New Roman" w:cs="Times New Roman" w:eastAsia="Times New Roman" w:hAnsi="Times New Roman"/>
          <w:i w:val="1"/>
          <w:iCs w:val="1"/>
          <w:color w:val="000000"/>
          <w:sz w:val="24"/>
          <w:szCs w:val="24"/>
        </w:rPr>
      </w:pPr>
      <w:bookmarkStart w:colFirst="0" w:colLast="0" w:name="_dw83cr765jqq" w:id="5"/>
      <w:bookmarkEnd w:id="5"/>
      <w:r w:rsidDel="00000000" w:rsidR="00000000" w:rsidRPr="00000000">
        <w:rPr>
          <w:rFonts w:ascii="Times New Roman" w:cs="Times New Roman" w:eastAsia="Times New Roman" w:hAnsi="Times New Roman"/>
          <w:i w:val="1"/>
          <w:iCs w:val="1"/>
          <w:color w:val="000000"/>
          <w:sz w:val="24"/>
          <w:szCs w:val="24"/>
          <w:rtl w:val="0"/>
        </w:rPr>
        <w:t xml:space="preserve">Table 1: Classification Performance</w:t>
      </w:r>
    </w:p>
    <w:tbl>
      <w:tblPr>
        <w:tblStyle w:val="Table3"/>
        <w:tblW w:w="8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0"/>
        <w:gridCol w:w="1730"/>
        <w:gridCol w:w="2375"/>
        <w:gridCol w:w="1250"/>
        <w:gridCol w:w="1550"/>
        <w:tblGridChange w:id="0">
          <w:tblGrid>
            <w:gridCol w:w="2090"/>
            <w:gridCol w:w="1730"/>
            <w:gridCol w:w="2375"/>
            <w:gridCol w:w="1250"/>
            <w:gridCol w:w="15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Fine-tuned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Macro-F1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Weighted-F1</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Tomato (n=910)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0.937</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Mango (n=200)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0.811</w:t>
            </w:r>
          </w:p>
        </w:tc>
      </w:tr>
    </w:tbl>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a substantial improvement across both datasets after fine-tuning. On the tomato benchmark, the model's accuracy increased from </w:t>
      </w:r>
      <w:r w:rsidDel="00000000" w:rsidR="00000000" w:rsidRPr="00000000">
        <w:rPr>
          <w:rFonts w:ascii="Times New Roman" w:cs="Times New Roman" w:eastAsia="Times New Roman" w:hAnsi="Times New Roman"/>
          <w:b w:val="1"/>
          <w:bCs w:val="1"/>
          <w:sz w:val="24"/>
          <w:szCs w:val="24"/>
          <w:rtl w:val="0"/>
        </w:rPr>
        <w:t xml:space="preserve">7.3%</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93.7%</w:t>
      </w:r>
      <w:r w:rsidDel="00000000" w:rsidR="00000000" w:rsidRPr="00000000">
        <w:rPr>
          <w:rFonts w:ascii="Times New Roman" w:cs="Times New Roman" w:eastAsia="Times New Roman" w:hAnsi="Times New Roman"/>
          <w:sz w:val="24"/>
          <w:szCs w:val="24"/>
          <w:rtl w:val="0"/>
        </w:rPr>
        <w:t xml:space="preserve">, representing an improvement of </w:t>
      </w:r>
      <w:r w:rsidDel="00000000" w:rsidR="00000000" w:rsidRPr="00000000">
        <w:rPr>
          <w:rFonts w:ascii="Times New Roman" w:cs="Times New Roman" w:eastAsia="Times New Roman" w:hAnsi="Times New Roman"/>
          <w:b w:val="1"/>
          <w:bCs w:val="1"/>
          <w:sz w:val="24"/>
          <w:szCs w:val="24"/>
          <w:rtl w:val="0"/>
        </w:rPr>
        <w:t xml:space="preserve">86.4 percentage points</w:t>
      </w:r>
      <w:r w:rsidDel="00000000" w:rsidR="00000000" w:rsidRPr="00000000">
        <w:rPr>
          <w:rFonts w:ascii="Times New Roman" w:cs="Times New Roman" w:eastAsia="Times New Roman" w:hAnsi="Times New Roman"/>
          <w:sz w:val="24"/>
          <w:szCs w:val="24"/>
          <w:rtl w:val="0"/>
        </w:rPr>
        <w:t xml:space="preserve">. The corresponding Macro-F1 and Weighted-F1 scores are also high, indicating that the model performs consistently across all disease categories rather than being biased toward classes with more training samples.</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improvements were observed on the mango dataset. The fine-tuned model achieved an accuracy of </w:t>
      </w:r>
      <w:r w:rsidDel="00000000" w:rsidR="00000000" w:rsidRPr="00000000">
        <w:rPr>
          <w:rFonts w:ascii="Times New Roman" w:cs="Times New Roman" w:eastAsia="Times New Roman" w:hAnsi="Times New Roman"/>
          <w:b w:val="1"/>
          <w:bCs w:val="1"/>
          <w:sz w:val="24"/>
          <w:szCs w:val="24"/>
          <w:rtl w:val="0"/>
        </w:rPr>
        <w:t xml:space="preserve">82.0%</w:t>
      </w:r>
      <w:r w:rsidDel="00000000" w:rsidR="00000000" w:rsidRPr="00000000">
        <w:rPr>
          <w:rFonts w:ascii="Times New Roman" w:cs="Times New Roman" w:eastAsia="Times New Roman" w:hAnsi="Times New Roman"/>
          <w:sz w:val="24"/>
          <w:szCs w:val="24"/>
          <w:rtl w:val="0"/>
        </w:rPr>
        <w:t xml:space="preserve">, compared to </w:t>
      </w:r>
      <w:r w:rsidDel="00000000" w:rsidR="00000000" w:rsidRPr="00000000">
        <w:rPr>
          <w:rFonts w:ascii="Times New Roman" w:cs="Times New Roman" w:eastAsia="Times New Roman" w:hAnsi="Times New Roman"/>
          <w:b w:val="1"/>
          <w:bCs w:val="1"/>
          <w:sz w:val="24"/>
          <w:szCs w:val="24"/>
          <w:rtl w:val="0"/>
        </w:rPr>
        <w:t xml:space="preserve">17.5%</w:t>
      </w:r>
      <w:r w:rsidDel="00000000" w:rsidR="00000000" w:rsidRPr="00000000">
        <w:rPr>
          <w:rFonts w:ascii="Times New Roman" w:cs="Times New Roman" w:eastAsia="Times New Roman" w:hAnsi="Times New Roman"/>
          <w:sz w:val="24"/>
          <w:szCs w:val="24"/>
          <w:rtl w:val="0"/>
        </w:rPr>
        <w:t xml:space="preserve"> for the base model. Although the mango dataset is smaller and contains diseases with more similar visual characteristics, the model was still able to learn meaningful disease-specific representations through fine-tuning, resulting in a significant gain in classification performance.</w:t>
      </w:r>
    </w:p>
    <w:p w:rsidR="00000000" w:rsidDel="00000000" w:rsidP="00000000" w:rsidRDefault="00000000" w:rsidRPr="00000000" w14:paraId="00000041">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f7wnizkhmps5" w:id="6"/>
      <w:bookmarkEnd w:id="6"/>
      <w:r w:rsidDel="00000000" w:rsidR="00000000" w:rsidRPr="00000000">
        <w:rPr>
          <w:rFonts w:ascii="Times New Roman" w:cs="Times New Roman" w:eastAsia="Times New Roman" w:hAnsi="Times New Roman"/>
          <w:b w:val="1"/>
          <w:bCs w:val="1"/>
          <w:sz w:val="28"/>
          <w:szCs w:val="28"/>
          <w:rtl w:val="0"/>
        </w:rPr>
        <w:t xml:space="preserve">5. Accuracy Improvement</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improvement achieved by the proposed framework is summarized below.</w:t>
      </w:r>
    </w:p>
    <w:p w:rsidR="00000000" w:rsidDel="00000000" w:rsidP="00000000" w:rsidRDefault="00000000" w:rsidRPr="00000000" w14:paraId="00000043">
      <w:pPr>
        <w:pStyle w:val="Heading3"/>
        <w:keepNext w:val="0"/>
        <w:keepLines w:val="0"/>
        <w:spacing w:before="280" w:lineRule="auto"/>
        <w:jc w:val="center"/>
        <w:rPr>
          <w:rFonts w:ascii="Times New Roman" w:cs="Times New Roman" w:eastAsia="Times New Roman" w:hAnsi="Times New Roman"/>
          <w:i w:val="1"/>
          <w:iCs w:val="1"/>
          <w:color w:val="000000"/>
          <w:sz w:val="24"/>
          <w:szCs w:val="24"/>
        </w:rPr>
      </w:pPr>
      <w:bookmarkStart w:colFirst="0" w:colLast="0" w:name="_4jenonisruv1" w:id="7"/>
      <w:bookmarkEnd w:id="7"/>
      <w:r w:rsidDel="00000000" w:rsidR="00000000" w:rsidRPr="00000000">
        <w:rPr>
          <w:rFonts w:ascii="Times New Roman" w:cs="Times New Roman" w:eastAsia="Times New Roman" w:hAnsi="Times New Roman"/>
          <w:i w:val="1"/>
          <w:iCs w:val="1"/>
          <w:color w:val="000000"/>
          <w:sz w:val="24"/>
          <w:szCs w:val="24"/>
          <w:rtl w:val="0"/>
        </w:rPr>
        <w:t xml:space="preserve">Table 2: Accuracy Improvement</w:t>
      </w:r>
    </w:p>
    <w:tbl>
      <w:tblPr>
        <w:tblStyle w:val="Table4"/>
        <w:tblW w:w="7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0"/>
        <w:gridCol w:w="845"/>
        <w:gridCol w:w="1355"/>
        <w:gridCol w:w="1700"/>
        <w:gridCol w:w="2525"/>
        <w:tblGridChange w:id="0">
          <w:tblGrid>
            <w:gridCol w:w="1250"/>
            <w:gridCol w:w="845"/>
            <w:gridCol w:w="1355"/>
            <w:gridCol w:w="1700"/>
            <w:gridCol w:w="25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Fine-tuned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Absolute Gain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Relative Improvement</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 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+64.5 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bl>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show that knowledge-grounded instruction tuning consistently outperforms the zero-shot capabilities of the base Vision-Language Model across both crops.</w:t>
      </w:r>
    </w:p>
    <w:p w:rsidR="00000000" w:rsidDel="00000000" w:rsidP="00000000" w:rsidRDefault="00000000" w:rsidRPr="00000000" w14:paraId="00000054">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rpb2bc5dem0h" w:id="8"/>
      <w:bookmarkEnd w:id="8"/>
      <w:r w:rsidDel="00000000" w:rsidR="00000000" w:rsidRPr="00000000">
        <w:rPr>
          <w:rFonts w:ascii="Times New Roman" w:cs="Times New Roman" w:eastAsia="Times New Roman" w:hAnsi="Times New Roman"/>
          <w:b w:val="1"/>
          <w:bCs w:val="1"/>
          <w:sz w:val="28"/>
          <w:szCs w:val="28"/>
          <w:rtl w:val="0"/>
        </w:rPr>
        <w:t xml:space="preserve">6. Caption Generation Evaluation</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predicting the correct disease, PlantDx is designed to generate meaningful diagnostic explanations. To evaluate this capability, the generated captions were compared with reference captions using five standard language generation metrics.</w:t>
      </w:r>
    </w:p>
    <w:p w:rsidR="00000000" w:rsidDel="00000000" w:rsidP="00000000" w:rsidRDefault="00000000" w:rsidRPr="00000000" w14:paraId="00000056">
      <w:pPr>
        <w:pStyle w:val="Heading3"/>
        <w:keepNext w:val="0"/>
        <w:keepLines w:val="0"/>
        <w:spacing w:before="280" w:lineRule="auto"/>
        <w:jc w:val="center"/>
        <w:rPr>
          <w:rFonts w:ascii="Times New Roman" w:cs="Times New Roman" w:eastAsia="Times New Roman" w:hAnsi="Times New Roman"/>
          <w:i w:val="1"/>
          <w:iCs w:val="1"/>
          <w:color w:val="000000"/>
          <w:sz w:val="24"/>
          <w:szCs w:val="24"/>
        </w:rPr>
      </w:pPr>
      <w:bookmarkStart w:colFirst="0" w:colLast="0" w:name="_jzhcijoizqbz" w:id="9"/>
      <w:bookmarkEnd w:id="9"/>
      <w:r w:rsidDel="00000000" w:rsidR="00000000" w:rsidRPr="00000000">
        <w:rPr>
          <w:rFonts w:ascii="Times New Roman" w:cs="Times New Roman" w:eastAsia="Times New Roman" w:hAnsi="Times New Roman"/>
          <w:i w:val="1"/>
          <w:iCs w:val="1"/>
          <w:color w:val="000000"/>
          <w:sz w:val="24"/>
          <w:szCs w:val="24"/>
          <w:rtl w:val="0"/>
        </w:rPr>
        <w:t xml:space="preserve">Table 3: Caption Generation Performance</w:t>
      </w:r>
    </w:p>
    <w:tbl>
      <w:tblPr>
        <w:tblStyle w:val="Table5"/>
        <w:tblW w:w="9840.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35"/>
        <w:gridCol w:w="1725"/>
        <w:gridCol w:w="1860"/>
        <w:gridCol w:w="1740"/>
        <w:gridCol w:w="1665"/>
        <w:gridCol w:w="1815"/>
        <w:tblGridChange w:id="0">
          <w:tblGrid>
            <w:gridCol w:w="1035"/>
            <w:gridCol w:w="1725"/>
            <w:gridCol w:w="1860"/>
            <w:gridCol w:w="1740"/>
            <w:gridCol w:w="1665"/>
            <w:gridCol w:w="18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BLEU-4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ROUGE-L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METEOR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BERTScore-F1</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0.003 → </w:t>
            </w:r>
            <w:r w:rsidDel="00000000" w:rsidR="00000000" w:rsidRPr="00000000">
              <w:rPr>
                <w:rFonts w:ascii="Times New Roman" w:cs="Times New Roman" w:eastAsia="Times New Roman" w:hAnsi="Times New Roman"/>
                <w:b w:val="1"/>
                <w:bCs w:val="1"/>
                <w:sz w:val="24"/>
                <w:szCs w:val="24"/>
                <w:rtl w:val="0"/>
              </w:rPr>
              <w:t xml:space="preserve">0.192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0.093 → </w:t>
            </w:r>
            <w:r w:rsidDel="00000000" w:rsidR="00000000" w:rsidRPr="00000000">
              <w:rPr>
                <w:rFonts w:ascii="Times New Roman" w:cs="Times New Roman" w:eastAsia="Times New Roman" w:hAnsi="Times New Roman"/>
                <w:b w:val="1"/>
                <w:bCs w:val="1"/>
                <w:sz w:val="24"/>
                <w:szCs w:val="24"/>
                <w:rtl w:val="0"/>
              </w:rPr>
              <w:t xml:space="preserve">0.428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0.149 → </w:t>
            </w:r>
            <w:r w:rsidDel="00000000" w:rsidR="00000000" w:rsidRPr="00000000">
              <w:rPr>
                <w:rFonts w:ascii="Times New Roman" w:cs="Times New Roman" w:eastAsia="Times New Roman" w:hAnsi="Times New Roman"/>
                <w:b w:val="1"/>
                <w:bCs w:val="1"/>
                <w:sz w:val="24"/>
                <w:szCs w:val="24"/>
                <w:rtl w:val="0"/>
              </w:rPr>
              <w:t xml:space="preserve">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0.000 → </w:t>
            </w:r>
            <w:r w:rsidDel="00000000" w:rsidR="00000000" w:rsidRPr="00000000">
              <w:rPr>
                <w:rFonts w:ascii="Times New Roman" w:cs="Times New Roman" w:eastAsia="Times New Roman" w:hAnsi="Times New Roman"/>
                <w:b w:val="1"/>
                <w:bCs w:val="1"/>
                <w:sz w:val="24"/>
                <w:szCs w:val="24"/>
                <w:rtl w:val="0"/>
              </w:rPr>
              <w:t xml:space="preserve">0.956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0.843 → </w:t>
            </w:r>
            <w:r w:rsidDel="00000000" w:rsidR="00000000" w:rsidRPr="00000000">
              <w:rPr>
                <w:rFonts w:ascii="Times New Roman" w:cs="Times New Roman" w:eastAsia="Times New Roman" w:hAnsi="Times New Roman"/>
                <w:b w:val="1"/>
                <w:bCs w:val="1"/>
                <w:sz w:val="24"/>
                <w:szCs w:val="24"/>
                <w:rtl w:val="0"/>
              </w:rPr>
              <w:t xml:space="preserve">0.907</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0.004 → </w:t>
            </w:r>
            <w:r w:rsidDel="00000000" w:rsidR="00000000" w:rsidRPr="00000000">
              <w:rPr>
                <w:rFonts w:ascii="Times New Roman" w:cs="Times New Roman" w:eastAsia="Times New Roman" w:hAnsi="Times New Roman"/>
                <w:b w:val="1"/>
                <w:bCs w:val="1"/>
                <w:sz w:val="24"/>
                <w:szCs w:val="24"/>
                <w:rtl w:val="0"/>
              </w:rPr>
              <w:t xml:space="preserve">0.190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0.098 → </w:t>
            </w:r>
            <w:r w:rsidDel="00000000" w:rsidR="00000000" w:rsidRPr="00000000">
              <w:rPr>
                <w:rFonts w:ascii="Times New Roman" w:cs="Times New Roman" w:eastAsia="Times New Roman" w:hAnsi="Times New Roman"/>
                <w:b w:val="1"/>
                <w:bCs w:val="1"/>
                <w:sz w:val="24"/>
                <w:szCs w:val="24"/>
                <w:rtl w:val="0"/>
              </w:rPr>
              <w:t xml:space="preserve">0.423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0.160 → </w:t>
            </w:r>
            <w:r w:rsidDel="00000000" w:rsidR="00000000" w:rsidRPr="00000000">
              <w:rPr>
                <w:rFonts w:ascii="Times New Roman" w:cs="Times New Roman" w:eastAsia="Times New Roman" w:hAnsi="Times New Roman"/>
                <w:b w:val="1"/>
                <w:bCs w:val="1"/>
                <w:sz w:val="24"/>
                <w:szCs w:val="24"/>
                <w:rtl w:val="0"/>
              </w:rPr>
              <w:t xml:space="preserve">0.454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0.000 → </w:t>
            </w:r>
            <w:r w:rsidDel="00000000" w:rsidR="00000000" w:rsidRPr="00000000">
              <w:rPr>
                <w:rFonts w:ascii="Times New Roman" w:cs="Times New Roman" w:eastAsia="Times New Roman" w:hAnsi="Times New Roman"/>
                <w:b w:val="1"/>
                <w:bCs w:val="1"/>
                <w:sz w:val="24"/>
                <w:szCs w:val="24"/>
                <w:rtl w:val="0"/>
              </w:rPr>
              <w:t xml:space="preserve">0.946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0.843 → </w:t>
            </w:r>
            <w:r w:rsidDel="00000000" w:rsidR="00000000" w:rsidRPr="00000000">
              <w:rPr>
                <w:rFonts w:ascii="Times New Roman" w:cs="Times New Roman" w:eastAsia="Times New Roman" w:hAnsi="Times New Roman"/>
                <w:b w:val="1"/>
                <w:bCs w:val="1"/>
                <w:sz w:val="24"/>
                <w:szCs w:val="24"/>
                <w:rtl w:val="0"/>
              </w:rPr>
              <w:t xml:space="preserve">0.907</w:t>
            </w:r>
            <w:r w:rsidDel="00000000" w:rsidR="00000000" w:rsidRPr="00000000">
              <w:rPr>
                <w:rtl w:val="0"/>
              </w:rPr>
            </w:r>
          </w:p>
        </w:tc>
      </w:tr>
    </w:tbl>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evaluation metric improved after fine-tuning. BLEU-4 and ROUGE-L indicate better agreement with the reference captions, while METEOR and BERTScore show stronger semantic similarity. The large increase in CIDEr further suggests that the generated explanations are much closer to the expected diagnostic descriptions.</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results demonstrate that the proposed instruction dataset improves not only classification accuracy but also the quality and reliability of the generated explanations.</w:t>
      </w:r>
    </w:p>
    <w:p w:rsidR="00000000" w:rsidDel="00000000" w:rsidP="00000000" w:rsidRDefault="00000000" w:rsidRPr="00000000" w14:paraId="0000006B">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3mewxlnowyq4" w:id="10"/>
      <w:bookmarkEnd w:id="10"/>
      <w:r w:rsidDel="00000000" w:rsidR="00000000" w:rsidRPr="00000000">
        <w:rPr>
          <w:rFonts w:ascii="Times New Roman" w:cs="Times New Roman" w:eastAsia="Times New Roman" w:hAnsi="Times New Roman"/>
          <w:b w:val="1"/>
          <w:bCs w:val="1"/>
          <w:sz w:val="28"/>
          <w:szCs w:val="28"/>
          <w:rtl w:val="0"/>
        </w:rPr>
        <w:t xml:space="preserve">7. Deployment Performance</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practical usability, the deployment performance of PlantDx was measured on the reference Apple Silicon platform.</w:t>
      </w:r>
    </w:p>
    <w:p w:rsidR="00000000" w:rsidDel="00000000" w:rsidP="00000000" w:rsidRDefault="00000000" w:rsidRPr="00000000" w14:paraId="0000006D">
      <w:pPr>
        <w:pStyle w:val="Heading3"/>
        <w:keepNext w:val="0"/>
        <w:keepLines w:val="0"/>
        <w:spacing w:before="280" w:lineRule="auto"/>
        <w:jc w:val="both"/>
        <w:rPr>
          <w:rFonts w:ascii="Times New Roman" w:cs="Times New Roman" w:eastAsia="Times New Roman" w:hAnsi="Times New Roman"/>
          <w:i w:val="1"/>
          <w:iCs w:val="1"/>
          <w:color w:val="000000"/>
          <w:sz w:val="24"/>
          <w:szCs w:val="24"/>
        </w:rPr>
      </w:pPr>
      <w:bookmarkStart w:colFirst="0" w:colLast="0" w:name="_pjd8jyrl4k2t" w:id="11"/>
      <w:bookmarkEnd w:id="11"/>
      <w:r w:rsidDel="00000000" w:rsidR="00000000" w:rsidRPr="00000000">
        <w:rPr>
          <w:rFonts w:ascii="Times New Roman" w:cs="Times New Roman" w:eastAsia="Times New Roman" w:hAnsi="Times New Roman"/>
          <w:i w:val="1"/>
          <w:iCs w:val="1"/>
          <w:color w:val="000000"/>
          <w:sz w:val="24"/>
          <w:szCs w:val="24"/>
          <w:rtl w:val="0"/>
        </w:rPr>
        <w:t xml:space="preserve">Table 4: Runtime Performance</w:t>
      </w:r>
    </w:p>
    <w:tbl>
      <w:tblPr>
        <w:tblStyle w:val="Table6"/>
        <w:tblW w:w="5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15"/>
        <w:gridCol w:w="2885"/>
        <w:tblGridChange w:id="0">
          <w:tblGrid>
            <w:gridCol w:w="2915"/>
            <w:gridCol w:w="28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Adapter 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 (cached once per crop)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Latency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~0.8–1.7 s / image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GB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Trainable LoRA Parameters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40,370,176 (Rank 16)</w:t>
            </w:r>
          </w:p>
        </w:tc>
      </w:tr>
    </w:tbl>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Streamlit application caches both the base model and the selected adapter, allowing subsequent predictions to reuse the loaded model. This keeps inference times low while maintaining stable memory usage throughout the session.</w:t>
      </w:r>
    </w:p>
    <w:p w:rsidR="00000000" w:rsidDel="00000000" w:rsidP="00000000" w:rsidRDefault="00000000" w:rsidRPr="00000000" w14:paraId="00000079">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1be6ze9ccih8" w:id="12"/>
      <w:bookmarkEnd w:id="12"/>
      <w:r w:rsidDel="00000000" w:rsidR="00000000" w:rsidRPr="00000000">
        <w:rPr>
          <w:rFonts w:ascii="Times New Roman" w:cs="Times New Roman" w:eastAsia="Times New Roman" w:hAnsi="Times New Roman"/>
          <w:b w:val="1"/>
          <w:bCs w:val="1"/>
          <w:sz w:val="28"/>
          <w:szCs w:val="28"/>
          <w:rtl w:val="0"/>
        </w:rPr>
        <w:t xml:space="preserve">8. Qualitative Analysis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quantitative results demonstrate a clear improvement in performance, the qualitative evaluation provides additional insight into how the model's behavior changes after fine-tuning.</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 Qwen2.5-VL model often generated generic responses or incorrectly identified diseases when presented with crop images. In several cases, its explanations included symptoms that were either not visible in the image or were inconsistent with established agricultural knowledge, reducing the reliability of its predictions.</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fine-tuning with the PlantDx instruction dataset, the model produced more accurate and disease-specific diagnoses. It consistently used terminology and descriptions derived from the curated Disease Knowledge Base, resulting in explanations that were clearer, more informative, and better aligned with accepted agricultural knowledge. These improvements suggest that the knowledge-grounded training pipeline enhances not only classification accuracy but also the quality and trustworthiness of the generated diagnostic responses.</w: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rtvoyct8l2bt" w:id="13"/>
      <w:bookmarkEnd w:id="13"/>
      <w:r w:rsidDel="00000000" w:rsidR="00000000" w:rsidRPr="00000000">
        <w:rPr>
          <w:rFonts w:ascii="Times New Roman" w:cs="Times New Roman" w:eastAsia="Times New Roman" w:hAnsi="Times New Roman"/>
          <w:b w:val="1"/>
          <w:bCs w:val="1"/>
          <w:sz w:val="28"/>
          <w:szCs w:val="28"/>
          <w:rtl w:val="0"/>
        </w:rPr>
        <w:t xml:space="preserve">9. Discussion</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results indicate that the quality of the training data has a greater impact on model performance than simply modifying the underlying model architecture. Rather than relying on AI-generated captions, PlantDx builds its instruction dataset directly from verified agricultural knowledge. This knowledge-grounded approach minimizes the introduction of inaccuracies during dataset creation and provides the model with consistent, reliable training examples.</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additional advantage of the proposed pipeline is its deterministic nature. Since every instruction and caption is generated from a curated Disease Knowledge Base, the entire dataset is reproducible, transparent, and fully traceable to its original knowledge source. This improves both the reliability of the training process and the interpretability of the resulting model.</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also demonstrate the generality of the proposed approach. The same pipeline was successfully applied to both the tomato and mango datasets without requiring any changes to the methodology. This suggests that PlantDx can be readily extended to other crops by incorporating their corresponding disease knowledge, making it a scalable framework for future plant disease diagnosis applications.</w: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9tvl0ze4wnb9" w:id="14"/>
      <w:bookmarkEnd w:id="14"/>
      <w:r w:rsidDel="00000000" w:rsidR="00000000" w:rsidRPr="00000000">
        <w:rPr>
          <w:rFonts w:ascii="Times New Roman" w:cs="Times New Roman" w:eastAsia="Times New Roman" w:hAnsi="Times New Roman"/>
          <w:b w:val="1"/>
          <w:bCs w:val="1"/>
          <w:sz w:val="28"/>
          <w:szCs w:val="28"/>
          <w:rtl w:val="0"/>
        </w:rPr>
        <w:t xml:space="preserve">10. Limitations</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results are promising, the current study has several limitations. The experiments were conducted using laboratory-style datasets with relatively controlled backgrounds, lighting conditions, and image quality. In practical agricultural environments, factors such as varying illumination, complex backgrounds, occlusions, and differences in camera quality can make disease diagnosis considerably more challenging, and the model's performance may be lower under these conditions.</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current implementation is limited to tomato and mango diseases. It does not explicitly handle more complex scenarios such as mixed infections, multiple diseased leaves within the same image, or leaves with severe damage where disease symptoms are partially obscured.</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will focus on extending the framework to support a wider range of crops and diseases while improving its robustness to real-world field conditions. This includes evaluating the model on in-field datasets, incorporating more diverse agricultural knowledge, and enhancing its ability to handle complex disease patterns commonly encountered in practical farming environments.</w: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l8qq92dqt51q" w:id="15"/>
      <w:bookmarkEnd w:id="15"/>
      <w:r w:rsidDel="00000000" w:rsidR="00000000" w:rsidRPr="00000000">
        <w:rPr>
          <w:rFonts w:ascii="Times New Roman" w:cs="Times New Roman" w:eastAsia="Times New Roman" w:hAnsi="Times New Roman"/>
          <w:b w:val="1"/>
          <w:bCs w:val="1"/>
          <w:sz w:val="28"/>
          <w:szCs w:val="28"/>
          <w:rtl w:val="0"/>
        </w:rPr>
        <w:t xml:space="preserve">11. Conclusion</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evaluation demonstrates that PlantDx significantly enhances the performance of a general-purpose Vision-Language Model for plant disease diagnosis. By replacing AI-generated captions with a deterministic, knowledge-grounded data generation pipeline, the framework provides more reliable supervision during fine-tuning, leading to notable improvements in both disease classification accuracy and the quality of the generated diagnostic explanations.</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both the tomato and mango datasets, the fine-tuned adapters consistently outperformed the base model while maintaining efficient inference and deployment performance. These findings highlight the value of integrating curated domain knowledge into the training process, showing that high-quality, reproducible supervision can be more effective than relying on synthetic data alone. Overall, PlantDx provides a practical and scalable approach for developing trustworthy Vision-Language Models that can support AI-assisted plant disease diagnosis in agricultural applications.</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