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DD3C" w14:textId="77777777" w:rsidR="00E72EE9" w:rsidRDefault="00000000">
      <w:pPr>
        <w:pStyle w:val="Title"/>
      </w:pPr>
      <w:r>
        <w:t>Backtesting avec Vectorbt / Vectorbt Pro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6196108"/>
        <w:docPartObj>
          <w:docPartGallery w:val="Table of Contents"/>
          <w:docPartUnique/>
        </w:docPartObj>
      </w:sdtPr>
      <w:sdtContent>
        <w:p w14:paraId="764F4400" w14:textId="77777777" w:rsidR="00E72EE9" w:rsidRDefault="00000000">
          <w:pPr>
            <w:pStyle w:val="TOCHeading"/>
          </w:pPr>
          <w:r>
            <w:t>Table of Contents</w:t>
          </w:r>
        </w:p>
        <w:p w14:paraId="59F0A1EB" w14:textId="77777777" w:rsidR="00E10FBB" w:rsidRDefault="00000000">
          <w:pPr>
            <w:pStyle w:val="TOC1"/>
            <w:tabs>
              <w:tab w:val="right" w:leader="dot" w:pos="9396"/>
            </w:tabs>
            <w:rPr>
              <w:noProof/>
            </w:rPr>
          </w:pPr>
          <w:r>
            <w:fldChar w:fldCharType="begin"/>
            <w:instrText>TOC \o "1-2" \h \z \u</w:instrText>
            <w:fldChar w:fldCharType="separate"/>
          </w:r>
          <w:hyperlink w:anchor="_Toc233711056" w:history="1">
            <w:r>
              <w:rPr>
                <w:rStyle w:val="Hyperlink"/>
                <w:noProof/>
              </w:rPr>
              <w:t>Backtesting de stratégies de trading avec Vectorbt / Vectorbt Pro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_Toc233711056 \h </w:instrText>
              <w:fldChar w:fldCharType="separate"/>
              <w:t>1</w:t>
              <w:fldChar w:fldCharType="end"/>
            </w:r>
          </w:hyperlink>
        </w:p>
        <w:p w14:paraId="7F80A030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57" w:history="1">
            <w:r>
              <w:rPr>
                <w:rStyle w:val="Hyperlink"/>
                <w:noProof/>
              </w:rPr>
              <w:t>Paramètres communs à tous les exemples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_Toc233711057 \h </w:instrText>
              <w:fldChar w:fldCharType="separate"/>
              <w:t>2</w:t>
              <w:fldChar w:fldCharType="end"/>
            </w:r>
          </w:hyperlink>
        </w:p>
        <w:p w14:paraId="048E6041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58" w:history="1">
            <w:r>
              <w:rPr>
                <w:rStyle w:val="Hyperlink"/>
                <w:noProof/>
              </w:rPr>
              <w:t>1. Présentation de Vectorbt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_Toc233711058 \h </w:instrText>
              <w:fldChar w:fldCharType="separate"/>
              <w:t>2</w:t>
              <w:fldChar w:fldCharType="end"/>
            </w:r>
          </w:hyperlink>
        </w:p>
        <w:p w14:paraId="650F592E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59" w:history="1">
            <w:r>
              <w:rPr>
                <w:rStyle w:val="Hyperlink"/>
                <w:noProof/>
              </w:rPr>
              <w:t>2. Installation et mise en place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_Toc233711059 \h </w:instrText>
              <w:fldChar w:fldCharType="separate"/>
              <w:t>2</w:t>
              <w:fldChar w:fldCharType="end"/>
            </w:r>
          </w:hyperlink>
        </w:p>
        <w:p w14:paraId="18DD2310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0" w:history="1">
            <w:r>
              <w:rPr>
                <w:rStyle w:val="Hyperlink"/>
                <w:noProof/>
              </w:rPr>
              <w:t>3. Concepts fondamentaux : moteur vectorisé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_Toc233711060 \h </w:instrText>
              <w:fldChar w:fldCharType="separate"/>
              <w:t>3</w:t>
              <w:fldChar w:fldCharType="end"/>
            </w:r>
          </w:hyperlink>
        </w:p>
        <w:p w14:paraId="7696DF1F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1" w:history="1">
            <w:r>
              <w:rPr>
                <w:rStyle w:val="Hyperlink"/>
                <w:noProof/>
              </w:rPr>
              <w:t>Exemple 1 — Buy &amp; Hold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_Toc233711061 \h </w:instrText>
              <w:fldChar w:fldCharType="separate"/>
              <w:t>4</w:t>
              <w:fldChar w:fldCharType="end"/>
            </w:r>
          </w:hyperlink>
        </w:p>
        <w:p w14:paraId="14FA9EF3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2" w:history="1">
            <w:r>
              <w:rPr>
                <w:rStyle w:val="Hyperlink"/>
                <w:noProof/>
              </w:rPr>
              <w:t>Exemple 2 — Croisement de moyennes mobiles (SMA 50/200)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_Toc233711062 \h </w:instrText>
              <w:fldChar w:fldCharType="separate"/>
              <w:t>4</w:t>
              <w:fldChar w:fldCharType="end"/>
            </w:r>
          </w:hyperlink>
        </w:p>
        <w:p w14:paraId="6DB09F53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3" w:history="1">
            <w:r>
              <w:rPr>
                <w:rStyle w:val="Hyperlink"/>
                <w:noProof/>
              </w:rPr>
              <w:t>Exemple 3 — Retour à la moyenne (RSI 14)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_Toc233711063 \h </w:instrText>
              <w:fldChar w:fldCharType="separate"/>
              <w:t>5</w:t>
              <w:fldChar w:fldCharType="end"/>
            </w:r>
          </w:hyperlink>
        </w:p>
        <w:p w14:paraId="2BDD2532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4" w:history="1">
            <w:r>
              <w:rPr>
                <w:rStyle w:val="Hyperlink"/>
                <w:noProof/>
              </w:rPr>
              <w:t>Exemple 4 — Bandes de Bollinger (20/2)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_Toc233711064 \h </w:instrText>
              <w:fldChar w:fldCharType="separate"/>
              <w:t>6</w:t>
              <w:fldChar w:fldCharType="end"/>
            </w:r>
          </w:hyperlink>
        </w:p>
        <w:p w14:paraId="5DE8B452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5" w:history="1">
            <w:r>
              <w:rPr>
                <w:rStyle w:val="Hyperlink"/>
                <w:noProof/>
              </w:rPr>
              <w:t>Exemple 5 — MACD (12/26/9)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_Toc233711065 \h </w:instrText>
              <w:fldChar w:fldCharType="separate"/>
              <w:t>6</w:t>
              <w:fldChar w:fldCharType="end"/>
            </w:r>
          </w:hyperlink>
        </w:p>
        <w:p w14:paraId="435AA0BB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6" w:history="1">
            <w:r>
              <w:rPr>
                <w:rStyle w:val="Hyperlink"/>
                <w:noProof/>
              </w:rPr>
              <w:t>Exemple 6 — Portefeuille multi-actifs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_Toc233711066 \h </w:instrText>
              <w:fldChar w:fldCharType="separate"/>
              <w:t>7</w:t>
              <w:fldChar w:fldCharType="end"/>
            </w:r>
          </w:hyperlink>
        </w:p>
        <w:p w14:paraId="06D4F1D7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7" w:history="1">
            <w:r>
              <w:rPr>
                <w:rStyle w:val="Hyperlink"/>
                <w:noProof/>
              </w:rPr>
              <w:t>Exemple 7 — Dimensionnement de position et risque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_Toc233711067 \h </w:instrText>
              <w:fldChar w:fldCharType="separate"/>
              <w:t>8</w:t>
              <w:fldChar w:fldCharType="end"/>
            </w:r>
          </w:hyperlink>
        </w:p>
        <w:p w14:paraId="324E78A8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8" w:history="1">
            <w:r>
              <w:rPr>
                <w:rStyle w:val="Hyperlink"/>
                <w:noProof/>
              </w:rPr>
              <w:t>Exemple 8 — Stop-loss et take-profit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_Toc233711068 \h </w:instrText>
              <w:fldChar w:fldCharType="separate"/>
              <w:t>9</w:t>
              <w:fldChar w:fldCharType="end"/>
            </w:r>
          </w:hyperlink>
        </w:p>
        <w:p w14:paraId="07779DAD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69" w:history="1">
            <w:r>
              <w:rPr>
                <w:rStyle w:val="Hyperlink"/>
                <w:noProof/>
              </w:rPr>
              <w:t>Exemple 9 — Analyse des métriques de performance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_Toc233711069 \h </w:instrText>
              <w:fldChar w:fldCharType="separate"/>
              <w:t>9</w:t>
              <w:fldChar w:fldCharType="end"/>
            </w:r>
          </w:hyperlink>
        </w:p>
        <w:p w14:paraId="12E8A4C1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70" w:history="1">
            <w:r>
              <w:rPr>
                <w:rStyle w:val="Hyperlink"/>
                <w:noProof/>
              </w:rPr>
              <w:t>Exemple 10 — Optimisation de paramètres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_Toc233711070 \h </w:instrText>
              <w:fldChar w:fldCharType="separate"/>
              <w:t>10</w:t>
              <w:fldChar w:fldCharType="end"/>
            </w:r>
          </w:hyperlink>
        </w:p>
        <w:p w14:paraId="02054EB8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71" w:history="1">
            <w:r>
              <w:rPr>
                <w:rStyle w:val="Hyperlink"/>
                <w:noProof/>
              </w:rPr>
              <w:t>Exemple 11 — Validation walk-forward / hors-échantillon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_Toc233711071 \h </w:instrText>
              <w:fldChar w:fldCharType="separate"/>
              <w:t>11</w:t>
              <w:fldChar w:fldCharType="end"/>
            </w:r>
          </w:hyperlink>
        </w:p>
        <w:p w14:paraId="20A98AB7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72" w:history="1">
            <w:r>
              <w:rPr>
                <w:rStyle w:val="Hyperlink"/>
                <w:noProof/>
              </w:rPr>
              <w:t>Tableau comparatif : LEAN vs Vectorbt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_Toc233711072 \h </w:instrText>
              <w:fldChar w:fldCharType="separate"/>
              <w:t>12</w:t>
              <w:fldChar w:fldCharType="end"/>
            </w:r>
          </w:hyperlink>
        </w:p>
        <w:p w14:paraId="233B45DB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73" w:history="1">
            <w:r>
              <w:rPr>
                <w:rStyle w:val="Hyperlink"/>
                <w:noProof/>
              </w:rPr>
              <w:t>Exemple 12 — Stratégie avancée complète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_Toc233711073 \h </w:instrText>
              <w:fldChar w:fldCharType="separate"/>
              <w:t>14</w:t>
              <w:fldChar w:fldCharType="end"/>
            </w:r>
          </w:hyperlink>
        </w:p>
        <w:p w14:paraId="33F3B5F4" w14:textId="77777777" w:rsidR="00E10FBB" w:rsidRDefault="00E10FBB">
          <w:pPr>
            <w:pStyle w:val="TOC2"/>
            <w:tabs>
              <w:tab w:val="right" w:leader="dot" w:pos="9396"/>
            </w:tabs>
            <w:rPr>
              <w:noProof/>
            </w:rPr>
          </w:pPr>
          <w:hyperlink w:anchor="_Toc233711074" w:history="1">
            <w:r>
              <w:rPr>
                <w:rStyle w:val="Hyperlink"/>
                <w:noProof/>
              </w:rPr>
              <w:t>15. Conclusion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_Toc233711074 \h </w:instrText>
              <w:fldChar w:fldCharType="separate"/>
              <w:t>16</w:t>
              <w:fldChar w:fldCharType="end"/>
            </w:r>
          </w:hyperlink>
        </w:p>
        <w:p w14:paraId="279831DA" w14:textId="77777777" w:rsidR="00E72EE9" w:rsidRDefault="00000000">
          <w:r>
            <w:fldChar w:fldCharType="end"/>
          </w:r>
        </w:p>
      </w:sdtContent>
    </w:sdt>
    <w:p w14:paraId="14BD345E" w14:textId="77777777" w:rsidR="00E72EE9" w:rsidRDefault="00000000">
      <w:pPr>
        <w:pStyle w:val="Heading1"/>
      </w:pPr>
      <w:bookmarkStart w:id="0" w:name="Xb0a24d9ca468d58ad20c9761a6e2bfe295cb7aa"/>
      <w:bookmarkStart w:id="1" w:name="_Toc233711056"/>
      <w:r>
        <w:t>Backtesting de stratégies de trading avec Vectorbt / Vectorbt Pro</w:t>
      </w:r>
      <w:bookmarkEnd w:id="1"/>
    </w:p>
    <w:p w14:paraId="398EA828" w14:textId="77777777" w:rsidR="00E72EE9" w:rsidRDefault="00000000">
      <w:pPr>
        <w:pStyle w:val="BlockText"/>
      </w:pPr>
      <w:r>
        <w:t xml:space="preserve">Document formatif — Bibliothèque </w:t>
      </w:r>
      <w:r>
        <w:rPr>
          <w:b/>
          <w:bCs/>
        </w:rPr>
        <w:t>Vectorbt</w:t>
      </w:r>
      <w:r>
        <w:t xml:space="preserve"> (open-source) et </w:t>
      </w:r>
      <w:r>
        <w:rPr>
          <w:b/>
          <w:bCs/>
        </w:rPr>
        <w:t>Vectorbt Pro</w:t>
      </w:r>
      <w:r>
        <w:t xml:space="preserve"> (version étendue), approche </w:t>
      </w:r>
      <w:r>
        <w:rPr>
          <w:b/>
          <w:bCs/>
        </w:rPr>
        <w:t>vectorisée</w:t>
      </w:r>
      <w:r>
        <w:t xml:space="preserve"> en Python.</w:t>
      </w:r>
    </w:p>
    <w:p w14:paraId="30D5CE3D" w14:textId="77777777" w:rsidR="00E72EE9" w:rsidRDefault="00000000">
      <w:pPr>
        <w:pStyle w:val="BlockText"/>
      </w:pPr>
      <w:r>
        <w:lastRenderedPageBreak/>
        <w:t xml:space="preserve">Ce document est le jumeau de celui consacré à </w:t>
      </w:r>
      <w:r>
        <w:rPr>
          <w:b/>
          <w:bCs/>
        </w:rPr>
        <w:t>QuantConnect LEAN</w:t>
      </w:r>
      <w:r>
        <w:t xml:space="preserve"> : il contient </w:t>
      </w:r>
      <w:r>
        <w:rPr>
          <w:b/>
          <w:bCs/>
        </w:rPr>
        <w:t>exactement les mêmes exemples</w:t>
      </w:r>
      <w:r>
        <w:t>, mais transposés aux idiomes vectorisés de Vectorbt.</w:t>
      </w:r>
    </w:p>
    <w:p w14:paraId="1555CD7C" w14:textId="77777777" w:rsidR="00E72EE9" w:rsidRDefault="00000000">
      <w:r>
        <w:pict w14:anchorId="68DB95B8">
          <v:rect id="_x0000_i1025" style="width:0;height:1.5pt" o:hralign="center" o:hrstd="t" o:hr="t"/>
        </w:pict>
      </w:r>
    </w:p>
    <w:p w14:paraId="17B8C0ED" w14:textId="77777777" w:rsidR="00E72EE9" w:rsidRDefault="00000000">
      <w:pPr>
        <w:pStyle w:val="Heading2"/>
      </w:pPr>
      <w:bookmarkStart w:id="2" w:name="paramètres-communs-à-tous-les-exemples"/>
      <w:bookmarkStart w:id="3" w:name="_Toc233711057"/>
      <w:r>
        <w:t>Paramètres communs à tous les exemples</w:t>
      </w:r>
      <w:bookmarkEnd w:id="3"/>
    </w:p>
    <w:p w14:paraId="25CE0463" w14:textId="77777777" w:rsidR="00E72EE9" w:rsidRDefault="00000000">
      <w:pPr>
        <w:pStyle w:val="FirstParagraph"/>
      </w:pPr>
      <w:r>
        <w:t>Pour que les exemples soient strictement comparables d’une plateforme à l’autre, ils partagent tous la même configuration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64"/>
        <w:gridCol w:w="2968"/>
      </w:tblGrid>
      <w:tr w:rsidR="00E72EE9" w14:paraId="22C07C25" w14:textId="77777777" w:rsidTr="00E72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8B1DF5" w14:textId="77777777" w:rsidR="00E72EE9" w:rsidRDefault="00000000">
            <w:pPr>
              <w:pStyle w:val="Compact"/>
            </w:pPr>
            <w:r>
              <w:t>Paramètre</w:t>
            </w:r>
          </w:p>
        </w:tc>
        <w:tc>
          <w:tcPr>
            <w:tcW w:w="0" w:type="auto"/>
          </w:tcPr>
          <w:p w14:paraId="53093198" w14:textId="77777777" w:rsidR="00E72EE9" w:rsidRDefault="00000000">
            <w:pPr>
              <w:pStyle w:val="Compact"/>
            </w:pPr>
            <w:r>
              <w:t>Valeur</w:t>
            </w:r>
          </w:p>
        </w:tc>
      </w:tr>
      <w:tr w:rsidR="00E72EE9" w14:paraId="30530004" w14:textId="77777777">
        <w:tc>
          <w:tcPr>
            <w:tcW w:w="0" w:type="auto"/>
          </w:tcPr>
          <w:p w14:paraId="4D676ECF" w14:textId="77777777" w:rsidR="00E72EE9" w:rsidRDefault="00000000">
            <w:pPr>
              <w:pStyle w:val="Compact"/>
            </w:pPr>
            <w:r>
              <w:t>Capital initial</w:t>
            </w:r>
          </w:p>
        </w:tc>
        <w:tc>
          <w:tcPr>
            <w:tcW w:w="0" w:type="auto"/>
          </w:tcPr>
          <w:p w14:paraId="1412CD19" w14:textId="77777777" w:rsidR="00E72EE9" w:rsidRDefault="00000000">
            <w:pPr>
              <w:pStyle w:val="Compact"/>
            </w:pPr>
            <w:r>
              <w:t>100 000 $</w:t>
            </w:r>
          </w:p>
        </w:tc>
      </w:tr>
      <w:tr w:rsidR="00E72EE9" w14:paraId="6F1214E5" w14:textId="77777777">
        <w:tc>
          <w:tcPr>
            <w:tcW w:w="0" w:type="auto"/>
          </w:tcPr>
          <w:p w14:paraId="7B345B50" w14:textId="77777777" w:rsidR="00E72EE9" w:rsidRDefault="00000000">
            <w:pPr>
              <w:pStyle w:val="Compact"/>
            </w:pPr>
            <w:r>
              <w:t>Frais de transaction</w:t>
            </w:r>
          </w:p>
        </w:tc>
        <w:tc>
          <w:tcPr>
            <w:tcW w:w="0" w:type="auto"/>
          </w:tcPr>
          <w:p w14:paraId="229FFF4E" w14:textId="77777777" w:rsidR="00E72EE9" w:rsidRDefault="00000000">
            <w:pPr>
              <w:pStyle w:val="Compact"/>
            </w:pPr>
            <w:r>
              <w:t>0,1 % (0,001)</w:t>
            </w:r>
          </w:p>
        </w:tc>
      </w:tr>
      <w:tr w:rsidR="00E72EE9" w14:paraId="605A8386" w14:textId="77777777">
        <w:tc>
          <w:tcPr>
            <w:tcW w:w="0" w:type="auto"/>
          </w:tcPr>
          <w:p w14:paraId="23B892EC" w14:textId="77777777" w:rsidR="00E72EE9" w:rsidRDefault="00000000">
            <w:pPr>
              <w:pStyle w:val="Compact"/>
            </w:pPr>
            <w:r>
              <w:t>Période de backtest</w:t>
            </w:r>
          </w:p>
        </w:tc>
        <w:tc>
          <w:tcPr>
            <w:tcW w:w="0" w:type="auto"/>
          </w:tcPr>
          <w:p w14:paraId="7AE939C7" w14:textId="77777777" w:rsidR="00E72EE9" w:rsidRDefault="00000000">
            <w:pPr>
              <w:pStyle w:val="Compact"/>
            </w:pPr>
            <w:r>
              <w:t>2020-01-01 → 2023-12-31</w:t>
            </w:r>
          </w:p>
        </w:tc>
      </w:tr>
      <w:tr w:rsidR="00E72EE9" w14:paraId="413A521E" w14:textId="77777777">
        <w:tc>
          <w:tcPr>
            <w:tcW w:w="0" w:type="auto"/>
          </w:tcPr>
          <w:p w14:paraId="0B748BD1" w14:textId="77777777" w:rsidR="00E72EE9" w:rsidRDefault="00000000">
            <w:pPr>
              <w:pStyle w:val="Compact"/>
            </w:pPr>
            <w:r>
              <w:t>Actif principal</w:t>
            </w:r>
          </w:p>
        </w:tc>
        <w:tc>
          <w:tcPr>
            <w:tcW w:w="0" w:type="auto"/>
          </w:tcPr>
          <w:p w14:paraId="11248621" w14:textId="77777777" w:rsidR="00E72EE9" w:rsidRDefault="00000000">
            <w:pPr>
              <w:pStyle w:val="Compact"/>
            </w:pPr>
            <w:r>
              <w:rPr>
                <w:rStyle w:val="VerbatimChar"/>
              </w:rPr>
              <w:t>SPY</w:t>
            </w:r>
          </w:p>
        </w:tc>
      </w:tr>
      <w:tr w:rsidR="00E72EE9" w14:paraId="513D3159" w14:textId="77777777">
        <w:tc>
          <w:tcPr>
            <w:tcW w:w="0" w:type="auto"/>
          </w:tcPr>
          <w:p w14:paraId="756D103A" w14:textId="77777777" w:rsidR="00E72EE9" w:rsidRDefault="00000000">
            <w:pPr>
              <w:pStyle w:val="Compact"/>
            </w:pPr>
            <w:r>
              <w:t>Panier multi-actifs</w:t>
            </w:r>
          </w:p>
        </w:tc>
        <w:tc>
          <w:tcPr>
            <w:tcW w:w="0" w:type="auto"/>
          </w:tcPr>
          <w:p w14:paraId="74147E46" w14:textId="77777777" w:rsidR="00E72EE9" w:rsidRDefault="00000000">
            <w:pPr>
              <w:pStyle w:val="Compact"/>
            </w:pPr>
            <w:r>
              <w:rPr>
                <w:rStyle w:val="VerbatimChar"/>
              </w:rPr>
              <w:t>AAPL</w:t>
            </w:r>
            <w:r>
              <w:t xml:space="preserve">, </w:t>
            </w:r>
            <w:r>
              <w:rPr>
                <w:rStyle w:val="VerbatimChar"/>
              </w:rPr>
              <w:t>MSFT</w:t>
            </w:r>
            <w:r>
              <w:t xml:space="preserve">, </w:t>
            </w:r>
            <w:r>
              <w:rPr>
                <w:rStyle w:val="VerbatimChar"/>
              </w:rPr>
              <w:t>GOOG</w:t>
            </w:r>
          </w:p>
        </w:tc>
      </w:tr>
      <w:tr w:rsidR="00E72EE9" w14:paraId="6946162D" w14:textId="77777777">
        <w:tc>
          <w:tcPr>
            <w:tcW w:w="0" w:type="auto"/>
          </w:tcPr>
          <w:p w14:paraId="339B0F28" w14:textId="77777777" w:rsidR="00E72EE9" w:rsidRDefault="00000000">
            <w:pPr>
              <w:pStyle w:val="Compact"/>
            </w:pPr>
            <w:r>
              <w:t>Résolution</w:t>
            </w:r>
          </w:p>
        </w:tc>
        <w:tc>
          <w:tcPr>
            <w:tcW w:w="0" w:type="auto"/>
          </w:tcPr>
          <w:p w14:paraId="5EA1339E" w14:textId="77777777" w:rsidR="00E72EE9" w:rsidRDefault="00000000">
            <w:pPr>
              <w:pStyle w:val="Compact"/>
            </w:pPr>
            <w:r>
              <w:t>Journalière (</w:t>
            </w:r>
            <w:r>
              <w:rPr>
                <w:rStyle w:val="VerbatimChar"/>
              </w:rPr>
              <w:t>1D</w:t>
            </w:r>
            <w:r>
              <w:t>)</w:t>
            </w:r>
          </w:p>
        </w:tc>
      </w:tr>
      <w:tr w:rsidR="00E72EE9" w14:paraId="158B604A" w14:textId="77777777">
        <w:tc>
          <w:tcPr>
            <w:tcW w:w="0" w:type="auto"/>
          </w:tcPr>
          <w:p w14:paraId="40CDBE20" w14:textId="77777777" w:rsidR="00E72EE9" w:rsidRDefault="00000000">
            <w:pPr>
              <w:pStyle w:val="Compact"/>
            </w:pPr>
            <w:r>
              <w:t>SMA croisement</w:t>
            </w:r>
          </w:p>
        </w:tc>
        <w:tc>
          <w:tcPr>
            <w:tcW w:w="0" w:type="auto"/>
          </w:tcPr>
          <w:p w14:paraId="30039C2E" w14:textId="77777777" w:rsidR="00E72EE9" w:rsidRDefault="00000000">
            <w:pPr>
              <w:pStyle w:val="Compact"/>
            </w:pPr>
            <w:r>
              <w:t>rapide 50 / lente 200</w:t>
            </w:r>
          </w:p>
        </w:tc>
      </w:tr>
      <w:tr w:rsidR="00E72EE9" w14:paraId="57848C93" w14:textId="77777777">
        <w:tc>
          <w:tcPr>
            <w:tcW w:w="0" w:type="auto"/>
          </w:tcPr>
          <w:p w14:paraId="1EF9A69D" w14:textId="77777777" w:rsidR="00E72EE9" w:rsidRDefault="00000000">
            <w:pPr>
              <w:pStyle w:val="Compact"/>
            </w:pPr>
            <w:r>
              <w:t>RSI</w:t>
            </w:r>
          </w:p>
        </w:tc>
        <w:tc>
          <w:tcPr>
            <w:tcW w:w="0" w:type="auto"/>
          </w:tcPr>
          <w:p w14:paraId="6A79A38F" w14:textId="77777777" w:rsidR="00E72EE9" w:rsidRDefault="00000000">
            <w:pPr>
              <w:pStyle w:val="Compact"/>
            </w:pPr>
            <w:r>
              <w:t>période 14, seuils 30 / 70</w:t>
            </w:r>
          </w:p>
        </w:tc>
      </w:tr>
      <w:tr w:rsidR="00E72EE9" w14:paraId="66292ADA" w14:textId="77777777">
        <w:tc>
          <w:tcPr>
            <w:tcW w:w="0" w:type="auto"/>
          </w:tcPr>
          <w:p w14:paraId="1311C543" w14:textId="77777777" w:rsidR="00E72EE9" w:rsidRDefault="00000000">
            <w:pPr>
              <w:pStyle w:val="Compact"/>
            </w:pPr>
            <w:r>
              <w:t>Bandes de Bollinger</w:t>
            </w:r>
          </w:p>
        </w:tc>
        <w:tc>
          <w:tcPr>
            <w:tcW w:w="0" w:type="auto"/>
          </w:tcPr>
          <w:p w14:paraId="2BC9575C" w14:textId="77777777" w:rsidR="00E72EE9" w:rsidRDefault="00000000">
            <w:pPr>
              <w:pStyle w:val="Compact"/>
            </w:pPr>
            <w:r>
              <w:t>période 20, écart-type 2</w:t>
            </w:r>
          </w:p>
        </w:tc>
      </w:tr>
      <w:tr w:rsidR="00E72EE9" w14:paraId="2CA3A665" w14:textId="77777777">
        <w:tc>
          <w:tcPr>
            <w:tcW w:w="0" w:type="auto"/>
          </w:tcPr>
          <w:p w14:paraId="545DE382" w14:textId="77777777" w:rsidR="00E72EE9" w:rsidRDefault="00000000">
            <w:pPr>
              <w:pStyle w:val="Compact"/>
            </w:pPr>
            <w:r>
              <w:t>MACD</w:t>
            </w:r>
          </w:p>
        </w:tc>
        <w:tc>
          <w:tcPr>
            <w:tcW w:w="0" w:type="auto"/>
          </w:tcPr>
          <w:p w14:paraId="30EDC4CC" w14:textId="77777777" w:rsidR="00E72EE9" w:rsidRDefault="00000000">
            <w:pPr>
              <w:pStyle w:val="Compact"/>
            </w:pPr>
            <w:r>
              <w:t>12 / 26 / 9</w:t>
            </w:r>
          </w:p>
        </w:tc>
      </w:tr>
    </w:tbl>
    <w:p w14:paraId="1D3333D4" w14:textId="77777777" w:rsidR="00E72EE9" w:rsidRDefault="00000000">
      <w:r>
        <w:pict w14:anchorId="4B0BB253">
          <v:rect id="_x0000_i1026" style="width:0;height:1.5pt" o:hralign="center" o:hrstd="t" o:hr="t"/>
        </w:pict>
      </w:r>
    </w:p>
    <w:p w14:paraId="50581C43" w14:textId="77777777" w:rsidR="00E72EE9" w:rsidRDefault="00000000">
      <w:pPr>
        <w:pStyle w:val="Heading2"/>
      </w:pPr>
      <w:bookmarkStart w:id="4" w:name="présentation-de-vectorbt"/>
      <w:bookmarkStart w:id="5" w:name="_Toc233711058"/>
      <w:bookmarkEnd w:id="2"/>
      <w:r>
        <w:t>1. Présentation de Vectorbt</w:t>
      </w:r>
      <w:bookmarkEnd w:id="5"/>
    </w:p>
    <w:p w14:paraId="5F4124C8" w14:textId="77777777" w:rsidR="00E72EE9" w:rsidRDefault="00000000">
      <w:pPr>
        <w:pStyle w:val="FirstParagraph"/>
      </w:pPr>
      <w:r>
        <w:rPr>
          <w:b/>
          <w:bCs/>
        </w:rPr>
        <w:t>Vectorbt</w:t>
      </w:r>
      <w:r>
        <w:t xml:space="preserve"> est une bibliothèque Python de backtesting et d’analyse quantitative bâtie sur </w:t>
      </w:r>
      <w:r>
        <w:rPr>
          <w:b/>
          <w:bCs/>
        </w:rPr>
        <w:t>pandas</w:t>
      </w:r>
      <w:r>
        <w:t xml:space="preserve">, </w:t>
      </w:r>
      <w:r>
        <w:rPr>
          <w:b/>
          <w:bCs/>
        </w:rPr>
        <w:t>NumPy</w:t>
      </w:r>
      <w:r>
        <w:t xml:space="preserve"> et </w:t>
      </w:r>
      <w:r>
        <w:rPr>
          <w:b/>
          <w:bCs/>
        </w:rPr>
        <w:t>Numba</w:t>
      </w:r>
      <w:r>
        <w:t xml:space="preserve"> (compilation JIT). Sa philosophie est radicalement différente de celle d’un moteur événementiel : au lieu de simuler le marché barre par barre, Vectorbt </w:t>
      </w:r>
      <w:r>
        <w:rPr>
          <w:b/>
          <w:bCs/>
        </w:rPr>
        <w:t>calcule des signaux sur toute la série temporelle d’un coup</w:t>
      </w:r>
      <w:r>
        <w:t xml:space="preserve">, sous forme de tableaux booléens, puis simule le portefeuille de manière vectorisée. Résultat : on peut tester </w:t>
      </w:r>
      <w:r>
        <w:rPr>
          <w:b/>
          <w:bCs/>
        </w:rPr>
        <w:t>des milliers de variantes</w:t>
      </w:r>
      <w:r>
        <w:t xml:space="preserve"> de paramètres en quelques secondes.</w:t>
      </w:r>
    </w:p>
    <w:p w14:paraId="612D02D1" w14:textId="77777777" w:rsidR="00E72EE9" w:rsidRDefault="00000000">
      <w:pPr>
        <w:pStyle w:val="BodyText"/>
      </w:pPr>
      <w:r>
        <w:t>Deux versions coexistent :</w:t>
      </w:r>
    </w:p>
    <w:p w14:paraId="16D1F6ED" w14:textId="77777777" w:rsidR="00E72E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Vectorbt (open-source)</w:t>
      </w:r>
      <w:r>
        <w:t xml:space="preserve"> — gratuite, importée via </w:t>
      </w:r>
      <w:r>
        <w:rPr>
          <w:rStyle w:val="VerbatimChar"/>
        </w:rPr>
        <w:t>import vectorbt as vbt</w:t>
      </w:r>
      <w:r>
        <w:t xml:space="preserve">. Classes d’indicateurs </w:t>
      </w:r>
      <w:r>
        <w:rPr>
          <w:rStyle w:val="VerbatimChar"/>
        </w:rPr>
        <w:t>vbt.MA</w:t>
      </w:r>
      <w:r>
        <w:t xml:space="preserve">, </w:t>
      </w:r>
      <w:r>
        <w:rPr>
          <w:rStyle w:val="VerbatimChar"/>
        </w:rPr>
        <w:t>vbt.RSI</w:t>
      </w:r>
      <w:r>
        <w:t xml:space="preserve">, </w:t>
      </w:r>
      <w:r>
        <w:rPr>
          <w:rStyle w:val="VerbatimChar"/>
        </w:rPr>
        <w:t>vbt.BBANDS</w:t>
      </w:r>
      <w:r>
        <w:t xml:space="preserve">, </w:t>
      </w:r>
      <w:r>
        <w:rPr>
          <w:rStyle w:val="VerbatimChar"/>
        </w:rPr>
        <w:t>vbt.MACD</w:t>
      </w:r>
      <w:r>
        <w:t>.</w:t>
      </w:r>
    </w:p>
    <w:p w14:paraId="0FFAA443" w14:textId="77777777" w:rsidR="00E72EE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Vectorbt Pro (</w:t>
      </w:r>
      <w:r>
        <w:rPr>
          <w:rStyle w:val="VerbatimChar"/>
          <w:b/>
          <w:bCs/>
        </w:rPr>
        <w:t>vbtpro</w:t>
      </w:r>
      <w:r>
        <w:rPr>
          <w:b/>
          <w:bCs/>
        </w:rPr>
        <w:t>)</w:t>
      </w:r>
      <w:r>
        <w:t xml:space="preserve"> — version commerciale plus rapide et plus riche : alias </w:t>
      </w:r>
      <w:r>
        <w:rPr>
          <w:rStyle w:val="VerbatimChar"/>
        </w:rPr>
        <w:t>vbt.PF</w:t>
      </w:r>
      <w:r>
        <w:t xml:space="preserve"> pour </w:t>
      </w:r>
      <w:r>
        <w:rPr>
          <w:rStyle w:val="VerbatimChar"/>
        </w:rPr>
        <w:t>Portfolio</w:t>
      </w:r>
      <w:r>
        <w:t xml:space="preserve">, accès </w:t>
      </w:r>
      <w:r>
        <w:rPr>
          <w:rStyle w:val="VerbatimChar"/>
        </w:rPr>
        <w:t>data.run("talib:...")</w:t>
      </w:r>
      <w:r>
        <w:t xml:space="preserve">, classe </w:t>
      </w:r>
      <w:r>
        <w:rPr>
          <w:rStyle w:val="VerbatimChar"/>
        </w:rPr>
        <w:t>vbt.Splitter</w:t>
      </w:r>
      <w:r>
        <w:t xml:space="preserve"> pour le walk-forward, méthode </w:t>
      </w:r>
      <w:r>
        <w:rPr>
          <w:rStyle w:val="VerbatimChar"/>
        </w:rPr>
        <w:t>vbt.YFData.pull(...)</w:t>
      </w:r>
      <w:r>
        <w:t xml:space="preserve"> au lieu de </w:t>
      </w:r>
      <w:r>
        <w:rPr>
          <w:rStyle w:val="VerbatimChar"/>
        </w:rPr>
        <w:t>download(...)</w:t>
      </w:r>
      <w:r>
        <w:t>.</w:t>
      </w:r>
    </w:p>
    <w:p w14:paraId="1D7C60BB" w14:textId="77777777" w:rsidR="00E72EE9" w:rsidRDefault="00000000">
      <w:pPr>
        <w:pStyle w:val="BlockText"/>
      </w:pPr>
      <w:r>
        <w:t xml:space="preserve">Dans ce document, le code est écrit pour </w:t>
      </w:r>
      <w:r>
        <w:rPr>
          <w:b/>
          <w:bCs/>
        </w:rPr>
        <w:t>Vectorbt open-source</w:t>
      </w:r>
      <w:r>
        <w:t xml:space="preserve"> ; chaque exemple signale en encadré la variante </w:t>
      </w:r>
      <w:r>
        <w:rPr>
          <w:b/>
          <w:bCs/>
        </w:rPr>
        <w:t>Pro</w:t>
      </w:r>
      <w:r>
        <w:t xml:space="preserve"> lorsqu’elle diffère.</w:t>
      </w:r>
    </w:p>
    <w:p w14:paraId="479796DD" w14:textId="77777777" w:rsidR="00E72EE9" w:rsidRDefault="00000000">
      <w:r>
        <w:lastRenderedPageBreak/>
        <w:pict w14:anchorId="1AC4E502">
          <v:rect id="_x0000_i1027" style="width:0;height:1.5pt" o:hralign="center" o:hrstd="t" o:hr="t"/>
        </w:pict>
      </w:r>
    </w:p>
    <w:p w14:paraId="1D836737" w14:textId="77777777" w:rsidR="00E72EE9" w:rsidRDefault="00000000">
      <w:pPr>
        <w:pStyle w:val="Heading2"/>
      </w:pPr>
      <w:bookmarkStart w:id="6" w:name="installation-et-mise-en-place"/>
      <w:bookmarkStart w:id="7" w:name="_Toc233711059"/>
      <w:bookmarkEnd w:id="4"/>
      <w:r>
        <w:t>2. Installation et mise en place</w:t>
      </w:r>
      <w:bookmarkEnd w:id="7"/>
    </w:p>
    <w:p w14:paraId="551B7508" w14:textId="77777777" w:rsidR="00E72EE9" w:rsidRDefault="00000000">
      <w:pPr>
        <w:pStyle w:val="SourceCode"/>
      </w:pPr>
      <w:r>
        <w:rPr>
          <w:rStyle w:val="CommentTok"/>
        </w:rPr>
        <w:t># Vectorbt open-source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-U</w:t>
      </w:r>
      <w:r>
        <w:rPr>
          <w:rStyle w:val="NormalTok"/>
        </w:rPr>
        <w:t xml:space="preserve"> vectorbt</w:t>
      </w:r>
      <w:r>
        <w:br/>
        <w:br/>
      </w:r>
      <w:r>
        <w:rPr>
          <w:rStyle w:val="CommentTok"/>
        </w:rPr>
        <w:t># Avec toutes les dépendances optionnelles (graphiques interactifs, etc.)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StringTok"/>
        </w:rPr>
        <w:t>"vectorbt[full]"</w:t>
      </w:r>
      <w:r>
        <w:br/>
        <w:br/>
      </w:r>
      <w:r>
        <w:rPr>
          <w:rStyle w:val="CommentTok"/>
        </w:rPr>
        <w:t># Vectorbt Pro (nécessite une licence et l'accès au dépôt privé)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-U</w:t>
      </w:r>
      <w:r>
        <w:rPr>
          <w:rStyle w:val="NormalTok"/>
        </w:rPr>
        <w:t xml:space="preserve"> </w:t>
      </w:r>
      <w:r>
        <w:rPr>
          <w:rStyle w:val="StringTok"/>
        </w:rPr>
        <w:t>"vectorbtpro[full]"</w:t>
      </w:r>
    </w:p>
    <w:p w14:paraId="19659BC2" w14:textId="77777777" w:rsidR="00E72EE9" w:rsidRDefault="00000000">
      <w:pPr>
        <w:pStyle w:val="FirstParagraph"/>
      </w:pPr>
      <w:r>
        <w:t>Imports standards utilisés dans tout le document :</w:t>
      </w:r>
    </w:p>
    <w:p w14:paraId="6A1531DF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          </w:t>
      </w:r>
      <w:r>
        <w:rPr>
          <w:rStyle w:val="CommentTok"/>
        </w:rPr>
        <w:t># open-source</w:t>
      </w:r>
      <w:r>
        <w:br/>
      </w:r>
      <w:r>
        <w:rPr>
          <w:rStyle w:val="CommentTok"/>
        </w:rPr>
        <w:t># import vectorbtpro as vbt     # variante Pro : même alias vbt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</w:p>
    <w:p w14:paraId="4A273464" w14:textId="77777777" w:rsidR="00E72EE9" w:rsidRDefault="00000000">
      <w:pPr>
        <w:pStyle w:val="FirstParagraph"/>
      </w:pPr>
      <w:r>
        <w:t>On récupère les prix de clôture journaliers (source Yahoo Finance intégrée) :</w:t>
      </w:r>
    </w:p>
    <w:p w14:paraId="5D11CE3F" w14:textId="77777777" w:rsidR="00E72EE9" w:rsidRDefault="00000000">
      <w:pPr>
        <w:pStyle w:val="SourceCode"/>
      </w:pPr>
      <w:r>
        <w:rPr>
          <w:rStyle w:val="CommentTok"/>
        </w:rPr>
        <w:t># Open-source</w:t>
      </w:r>
      <w:r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br/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Pro : utiliser .pull() au lieu de .download()</w:t>
      </w:r>
      <w:r>
        <w:br/>
      </w:r>
      <w:r>
        <w:rPr>
          <w:rStyle w:val="CommentTok"/>
        </w:rPr>
        <w:t># prix = vbt.YFData.pull("SPY", start="2020-01-01", end="2023-12-31").get("Close")</w:t>
      </w:r>
    </w:p>
    <w:p w14:paraId="0F2232A3" w14:textId="77777777" w:rsidR="00E72EE9" w:rsidRDefault="00000000">
      <w:r>
        <w:pict w14:anchorId="0E9242D0">
          <v:rect id="_x0000_i1028" style="width:0;height:1.5pt" o:hralign="center" o:hrstd="t" o:hr="t"/>
        </w:pict>
      </w:r>
    </w:p>
    <w:p w14:paraId="2DFD5256" w14:textId="77777777" w:rsidR="00E72EE9" w:rsidRDefault="00000000">
      <w:pPr>
        <w:pStyle w:val="Heading2"/>
      </w:pPr>
      <w:bookmarkStart w:id="8" w:name="concepts-fondamentaux-moteur-vectorisé"/>
      <w:bookmarkStart w:id="9" w:name="_Toc233711060"/>
      <w:bookmarkEnd w:id="6"/>
      <w:r>
        <w:t>3. Concepts fondamentaux : moteur vectorisé</w:t>
      </w:r>
      <w:bookmarkEnd w:id="9"/>
    </w:p>
    <w:p w14:paraId="6A4C6CC7" w14:textId="77777777" w:rsidR="00E72EE9" w:rsidRDefault="00000000">
      <w:pPr>
        <w:pStyle w:val="FirstParagraph"/>
      </w:pPr>
      <w:r>
        <w:t>La logique Vectorbt tient en trois temps :</w:t>
      </w:r>
    </w:p>
    <w:p w14:paraId="10F60FB3" w14:textId="77777777" w:rsidR="00E72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Calculer des indicateurs</w:t>
      </w:r>
      <w:r>
        <w:t xml:space="preserve"> sur toute la série (pas de boucle).</w:t>
      </w:r>
    </w:p>
    <w:p w14:paraId="4AC4EDBD" w14:textId="77777777" w:rsidR="00E72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Produire des signaux</w:t>
      </w:r>
      <w:r>
        <w:t xml:space="preserve"> </w:t>
      </w:r>
      <w:r>
        <w:rPr>
          <w:rStyle w:val="VerbatimChar"/>
        </w:rPr>
        <w:t>entries</w:t>
      </w:r>
      <w:r>
        <w:t xml:space="preserve"> et </w:t>
      </w:r>
      <w:r>
        <w:rPr>
          <w:rStyle w:val="VerbatimChar"/>
        </w:rPr>
        <w:t>exits</w:t>
      </w:r>
      <w:r>
        <w:t xml:space="preserve"> : deux tableaux booléens alignés sur les prix.</w:t>
      </w:r>
    </w:p>
    <w:p w14:paraId="7FE14FD6" w14:textId="77777777" w:rsidR="00E72EE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Simuler</w:t>
      </w:r>
      <w:r>
        <w:t xml:space="preserve"> le portefeuille avec </w:t>
      </w:r>
      <w:r>
        <w:rPr>
          <w:rStyle w:val="VerbatimChar"/>
        </w:rPr>
        <w:t>Portfolio.from_signals(...)</w:t>
      </w:r>
      <w:r>
        <w:t>, puis lire les statistiques.</w:t>
      </w:r>
    </w:p>
    <w:p w14:paraId="01C0BF54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CommentTok"/>
        </w:rPr>
        <w:t># 1) Données : prix de clôture journaliers de SPY</w:t>
      </w:r>
      <w:r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lastRenderedPageBreak/>
        <w:br/>
      </w:r>
      <w:r>
        <w:rPr>
          <w:rStyle w:val="CommentTok"/>
        </w:rPr>
        <w:t># 2) Signaux booléens (ici, signaux factices pour illustrer la structure)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prix </w:t>
      </w:r>
      <w:r>
        <w:rPr>
          <w:rStyle w:val="OperatorTok"/>
        </w:rPr>
        <w:t>&gt;</w:t>
      </w:r>
      <w:r>
        <w:rPr>
          <w:rStyle w:val="NormalTok"/>
        </w:rPr>
        <w:t xml:space="preserve"> prix.shift(</w:t>
      </w:r>
      <w:r>
        <w:rPr>
          <w:rStyle w:val="DecValTok"/>
        </w:rPr>
        <w:t>1</w:t>
      </w:r>
      <w:r>
        <w:rPr>
          <w:rStyle w:val="NormalTok"/>
        </w:rPr>
        <w:t xml:space="preserve">)   </w:t>
      </w:r>
      <w:r>
        <w:rPr>
          <w:rStyle w:val="CommentTok"/>
        </w:rPr>
        <w:t># True quand le prix monte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prix </w:t>
      </w:r>
      <w:r>
        <w:rPr>
          <w:rStyle w:val="OperatorTok"/>
        </w:rPr>
        <w:t>&lt;</w:t>
      </w:r>
      <w:r>
        <w:rPr>
          <w:rStyle w:val="NormalTok"/>
        </w:rPr>
        <w:t xml:space="preserve"> prix.shift(</w:t>
      </w:r>
      <w:r>
        <w:rPr>
          <w:rStyle w:val="DecValTok"/>
        </w:rPr>
        <w:t>1</w:t>
      </w:r>
      <w:r>
        <w:rPr>
          <w:rStyle w:val="NormalTok"/>
        </w:rPr>
        <w:t xml:space="preserve">)     </w:t>
      </w:r>
      <w:r>
        <w:rPr>
          <w:rStyle w:val="CommentTok"/>
        </w:rPr>
        <w:t># True quand le prix baisse</w:t>
      </w:r>
      <w:r>
        <w:br/>
        <w:br/>
      </w:r>
      <w:r>
        <w:rPr>
          <w:rStyle w:val="CommentTok"/>
        </w:rPr>
        <w:t># 3) Simulation du portefeuille (capital 100 000 $, frais 0,1 %)</w:t>
      </w:r>
      <w:r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(pf.total_return())</w:t>
      </w:r>
    </w:p>
    <w:p w14:paraId="5A78B349" w14:textId="77777777" w:rsidR="00E72EE9" w:rsidRDefault="00000000">
      <w:pPr>
        <w:pStyle w:val="FirstParagraph"/>
      </w:pPr>
      <w:r>
        <w:t>Idées-clés :</w:t>
      </w:r>
    </w:p>
    <w:p w14:paraId="6382D315" w14:textId="77777777" w:rsidR="00E72EE9" w:rsidRDefault="00000000">
      <w:pPr>
        <w:pStyle w:val="Compact"/>
        <w:numPr>
          <w:ilvl w:val="0"/>
          <w:numId w:val="4"/>
        </w:numPr>
      </w:pPr>
      <w:r>
        <w:t>À aucun moment on n’écrit de boucle « pour chaque jour » : tout est calculé sur les vecteurs entiers. C’est la source de la rapidité.</w:t>
      </w:r>
    </w:p>
    <w:p w14:paraId="2CE8BC20" w14:textId="77777777" w:rsidR="00E72EE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entries</w:t>
      </w:r>
      <w:r>
        <w:t xml:space="preserve"> et </w:t>
      </w:r>
      <w:r>
        <w:rPr>
          <w:rStyle w:val="VerbatimChar"/>
        </w:rPr>
        <w:t>exits</w:t>
      </w:r>
      <w:r>
        <w:t xml:space="preserve"> ont </w:t>
      </w:r>
      <w:r>
        <w:rPr>
          <w:b/>
          <w:bCs/>
        </w:rPr>
        <w:t>la même forme</w:t>
      </w:r>
      <w:r>
        <w:t xml:space="preserve"> que </w:t>
      </w:r>
      <w:r>
        <w:rPr>
          <w:rStyle w:val="VerbatimChar"/>
        </w:rPr>
        <w:t>prix</w:t>
      </w:r>
      <w:r>
        <w:t xml:space="preserve">. Si </w:t>
      </w:r>
      <w:r>
        <w:rPr>
          <w:rStyle w:val="VerbatimChar"/>
        </w:rPr>
        <w:t>prix</w:t>
      </w:r>
      <w:r>
        <w:t xml:space="preserve"> est un </w:t>
      </w:r>
      <w:r>
        <w:rPr>
          <w:rStyle w:val="VerbatimChar"/>
        </w:rPr>
        <w:t>DataFrame</w:t>
      </w:r>
      <w:r>
        <w:t xml:space="preserve"> à plusieurs colonnes, toute la chaîne traite les colonnes simultanément.</w:t>
      </w:r>
    </w:p>
    <w:p w14:paraId="7785D5E3" w14:textId="77777777" w:rsidR="00E72EE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Attention au look-ahead bias</w:t>
      </w:r>
      <w:r>
        <w:t xml:space="preserve"> : c’est à vous de garantir qu’un signal calculé à l’instant </w:t>
      </w:r>
      <w:r>
        <w:rPr>
          <w:i/>
          <w:iCs/>
        </w:rPr>
        <w:t>t</w:t>
      </w:r>
      <w:r>
        <w:t xml:space="preserve"> n’utilise pas d’information de </w:t>
      </w:r>
      <w:r>
        <w:rPr>
          <w:i/>
          <w:iCs/>
        </w:rPr>
        <w:t>t+1</w:t>
      </w:r>
      <w:r>
        <w:t>. Les indicateurs Vectorbt sont causaux par défaut, mais une manipulation maladroite (</w:t>
      </w:r>
      <w:r>
        <w:rPr>
          <w:rStyle w:val="VerbatimChar"/>
        </w:rPr>
        <w:t>shift</w:t>
      </w:r>
      <w:r>
        <w:t xml:space="preserve"> dans le mauvais sens) peut introduire un biais.</w:t>
      </w:r>
    </w:p>
    <w:p w14:paraId="646B637E" w14:textId="77777777" w:rsidR="00E72EE9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freq="1D"</w:t>
      </w:r>
      <w:r>
        <w:t xml:space="preserve"> indique la fréquence des barres : indispensable pour annualiser correctement le Sharpe.</w:t>
      </w:r>
    </w:p>
    <w:p w14:paraId="06D4C6B2" w14:textId="77777777" w:rsidR="00E72EE9" w:rsidRDefault="00000000">
      <w:r>
        <w:pict w14:anchorId="1C19EB2C">
          <v:rect id="_x0000_i1029" style="width:0;height:1.5pt" o:hralign="center" o:hrstd="t" o:hr="t"/>
        </w:pict>
      </w:r>
    </w:p>
    <w:p w14:paraId="2BD7600D" w14:textId="77777777" w:rsidR="00E72EE9" w:rsidRDefault="00000000">
      <w:pPr>
        <w:pStyle w:val="Heading2"/>
      </w:pPr>
      <w:bookmarkStart w:id="10" w:name="exemple-1-buy-hold"/>
      <w:bookmarkStart w:id="11" w:name="_Toc233711061"/>
      <w:bookmarkEnd w:id="8"/>
      <w:r>
        <w:t>Exemple 1 — Buy &amp; Hold</w:t>
      </w:r>
      <w:bookmarkEnd w:id="11"/>
    </w:p>
    <w:p w14:paraId="008C8DD8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la stratégie de référence. On achète </w:t>
      </w:r>
      <w:r>
        <w:rPr>
          <w:rStyle w:val="VerbatimChar"/>
        </w:rPr>
        <w:t>SPY</w:t>
      </w:r>
      <w:r>
        <w:t xml:space="preserve"> au premier jour et on conserve jusqu’à la fin. Toute stratégie active devra battre ce </w:t>
      </w:r>
      <w:r>
        <w:rPr>
          <w:i/>
          <w:iCs/>
        </w:rPr>
        <w:t>benchmark</w:t>
      </w:r>
      <w:r>
        <w:t>.</w:t>
      </w:r>
    </w:p>
    <w:p w14:paraId="2B2A5702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from_holding : achète tout au départ et conserve.</w:t>
      </w:r>
      <w:r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vbt.Portfolio.from_holding(</w:t>
      </w:r>
      <w:r>
        <w:br/>
      </w:r>
      <w:r>
        <w:rPr>
          <w:rStyle w:val="NormalTok"/>
        </w:rPr>
        <w:t xml:space="preserve">    prix,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  <w:lastRenderedPageBreak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258C2C5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Portfolio.from_holding</w:t>
      </w:r>
      <w:r>
        <w:t xml:space="preserve"> est le raccourci dédié au Buy &amp; Hold. Vectorbt investit la totalité du capital à la première barre et calcule ensuite l’ensemble des métriques accessibles via </w:t>
      </w:r>
      <w:r>
        <w:rPr>
          <w:rStyle w:val="VerbatimChar"/>
        </w:rPr>
        <w:t>pf.stats()</w:t>
      </w:r>
      <w:r>
        <w:t>.</w:t>
      </w:r>
    </w:p>
    <w:p w14:paraId="7234B2C7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</w:t>
      </w:r>
      <w:r>
        <w:rPr>
          <w:rStyle w:val="VerbatimChar"/>
        </w:rPr>
        <w:t>pf = vbt.PF.from_holding(prix, init_cash=100_000, fees=0.001, freq="1D")</w:t>
      </w:r>
      <w:r>
        <w:t>.</w:t>
      </w:r>
    </w:p>
    <w:p w14:paraId="6ABB6F1E" w14:textId="77777777" w:rsidR="00E72EE9" w:rsidRDefault="00000000">
      <w:r>
        <w:pict w14:anchorId="295FC702">
          <v:rect id="_x0000_i1030" style="width:0;height:1.5pt" o:hralign="center" o:hrstd="t" o:hr="t"/>
        </w:pict>
      </w:r>
    </w:p>
    <w:p w14:paraId="33A2CD02" w14:textId="77777777" w:rsidR="00E72EE9" w:rsidRDefault="00000000">
      <w:pPr>
        <w:pStyle w:val="Heading2"/>
      </w:pPr>
      <w:bookmarkStart w:id="12" w:name="Xce30662a89fa451cfcaaf3d09890b3873fe8177"/>
      <w:bookmarkStart w:id="13" w:name="_Toc233711062"/>
      <w:bookmarkEnd w:id="10"/>
      <w:r>
        <w:t>Exemple 2 — Croisement de moyennes mobiles (SMA 50/200)</w:t>
      </w:r>
      <w:bookmarkEnd w:id="13"/>
    </w:p>
    <w:p w14:paraId="079F89EA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la stratégie de suivi de tendance la plus classique (</w:t>
      </w:r>
      <w:r>
        <w:rPr>
          <w:i/>
          <w:iCs/>
        </w:rPr>
        <w:t>golden cross</w:t>
      </w:r>
      <w:r>
        <w:t xml:space="preserve"> / </w:t>
      </w:r>
      <w:r>
        <w:rPr>
          <w:i/>
          <w:iCs/>
        </w:rPr>
        <w:t>death cross</w:t>
      </w:r>
      <w:r>
        <w:t>). On est long quand la SMA 50 passe au-dessus de la SMA 200, on liquide au croisement inverse.</w:t>
      </w:r>
    </w:p>
    <w:p w14:paraId="0E7A94BA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Deux moyennes mobiles simples calculées sur toute la série.</w:t>
      </w:r>
      <w:r>
        <w:br/>
      </w:r>
      <w:r>
        <w:rPr>
          <w:rStyle w:val="NormalTok"/>
        </w:rPr>
        <w:t xml:space="preserve">fast_ma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slow_ma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Signaux : True exactement au moment du croisement.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fast_ma.ma_crossed_above(slow_ma)   </w:t>
      </w:r>
      <w:r>
        <w:rPr>
          <w:rStyle w:val="CommentTok"/>
        </w:rPr>
        <w:t># croisement haussier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fast_ma.ma_crossed_below(slow_ma)     </w:t>
      </w:r>
      <w:r>
        <w:rPr>
          <w:rStyle w:val="CommentTok"/>
        </w:rPr>
        <w:t># croisement baissier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FA85853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vbt.MA.run(prix, période)</w:t>
      </w:r>
      <w:r>
        <w:t xml:space="preserve"> calcule la moyenne mobile sur tout l’historique. Les méthodes </w:t>
      </w:r>
      <w:r>
        <w:rPr>
          <w:rStyle w:val="VerbatimChar"/>
        </w:rPr>
        <w:t>ma_crossed_above</w:t>
      </w:r>
      <w:r>
        <w:t xml:space="preserve"> / </w:t>
      </w:r>
      <w:r>
        <w:rPr>
          <w:rStyle w:val="VerbatimChar"/>
        </w:rPr>
        <w:t>ma_crossed_below</w:t>
      </w:r>
      <w:r>
        <w:t xml:space="preserve"> renvoient des tableaux booléens valant </w:t>
      </w:r>
      <w:r>
        <w:rPr>
          <w:rStyle w:val="VerbatimChar"/>
        </w:rPr>
        <w:t>True</w:t>
      </w:r>
      <w:r>
        <w:t xml:space="preserve"> uniquement à la barre du croisement — exactement la logique d’entrée/sortie de l’Exemple 2 LEAN.</w:t>
      </w:r>
    </w:p>
    <w:p w14:paraId="485116D5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</w:t>
      </w:r>
      <w:r>
        <w:rPr>
          <w:rStyle w:val="VerbatimChar"/>
        </w:rPr>
        <w:t>fast_sma = data.run("talib_func:sma", timeperiod=50)</w:t>
      </w:r>
      <w:r>
        <w:t xml:space="preserve"> puis </w:t>
      </w:r>
      <w:r>
        <w:rPr>
          <w:rStyle w:val="VerbatimChar"/>
        </w:rPr>
        <w:t>entries = fast_sma.vbt.crossed_above(slow_sma)</w:t>
      </w:r>
      <w:r>
        <w:t>.</w:t>
      </w:r>
    </w:p>
    <w:p w14:paraId="69E5C96F" w14:textId="77777777" w:rsidR="00E72EE9" w:rsidRDefault="00000000">
      <w:r>
        <w:pict w14:anchorId="5A627144">
          <v:rect id="_x0000_i1031" style="width:0;height:1.5pt" o:hralign="center" o:hrstd="t" o:hr="t"/>
        </w:pict>
      </w:r>
    </w:p>
    <w:p w14:paraId="2F6DA248" w14:textId="77777777" w:rsidR="00E72EE9" w:rsidRDefault="00000000">
      <w:pPr>
        <w:pStyle w:val="Heading2"/>
      </w:pPr>
      <w:bookmarkStart w:id="14" w:name="exemple-3-retour-à-la-moyenne-rsi-14"/>
      <w:bookmarkStart w:id="15" w:name="_Toc233711063"/>
      <w:bookmarkEnd w:id="12"/>
      <w:r>
        <w:lastRenderedPageBreak/>
        <w:t>Exemple 3 — Retour à la moyenne (RSI 14)</w:t>
      </w:r>
      <w:bookmarkEnd w:id="15"/>
    </w:p>
    <w:p w14:paraId="1BF780C5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stratégie contrarienne. On achète en survente (RSI &lt; 30) et on vend en surachat (RSI &gt; 70).</w:t>
      </w:r>
    </w:p>
    <w:p w14:paraId="0113CC87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RSI sur 14 périodes.</w:t>
      </w:r>
      <w:r>
        <w:br/>
      </w:r>
      <w:r>
        <w:rPr>
          <w:rStyle w:val="NormalTok"/>
        </w:rPr>
        <w:t xml:space="preserve">rsi </w:t>
      </w:r>
      <w:r>
        <w:rPr>
          <w:rStyle w:val="OperatorTok"/>
        </w:rPr>
        <w:t>=</w:t>
      </w:r>
      <w:r>
        <w:rPr>
          <w:rStyle w:val="NormalTok"/>
        </w:rPr>
        <w:t xml:space="preserve"> vbt.RSI.run(prix, window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Signaux : achat sous 30, vente au-dessus de 70.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rsi.rsi_below(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rsi.rsi_above(</w:t>
      </w:r>
      <w:r>
        <w:rPr>
          <w:rStyle w:val="DecValTok"/>
        </w:rPr>
        <w:t>70</w:t>
      </w:r>
      <w:r>
        <w:rPr>
          <w:rStyle w:val="NormalTok"/>
        </w:rPr>
        <w:t>)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F9A0B0A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vbt.RSI.run</w:t>
      </w:r>
      <w:r>
        <w:t xml:space="preserve"> expose des comparateurs prêts à l’emploi </w:t>
      </w:r>
      <w:r>
        <w:rPr>
          <w:rStyle w:val="VerbatimChar"/>
        </w:rPr>
        <w:t>rsi_below</w:t>
      </w:r>
      <w:r>
        <w:t xml:space="preserve"> / </w:t>
      </w:r>
      <w:r>
        <w:rPr>
          <w:rStyle w:val="VerbatimChar"/>
        </w:rPr>
        <w:t>rsi_above</w:t>
      </w:r>
      <w:r>
        <w:t xml:space="preserve"> qui génèrent directement les signaux booléens. La logique « acheter bas / vendre haut » est l’inverse du suivi de tendance, exactement comme dans l’Exemple 3 LEAN.</w:t>
      </w:r>
    </w:p>
    <w:p w14:paraId="03A68117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</w:t>
      </w:r>
      <w:r>
        <w:rPr>
          <w:rStyle w:val="VerbatimChar"/>
        </w:rPr>
        <w:t>rsi = data.run("talib:RSI", timeperiod=14)</w:t>
      </w:r>
      <w:r>
        <w:t xml:space="preserve">, puis comparer le tableau de valeurs avec </w:t>
      </w:r>
      <w:r>
        <w:rPr>
          <w:rStyle w:val="VerbatimChar"/>
        </w:rPr>
        <w:t>rsi.real.vbt &lt; 30</w:t>
      </w:r>
      <w:r>
        <w:t>.</w:t>
      </w:r>
    </w:p>
    <w:p w14:paraId="25B2F126" w14:textId="77777777" w:rsidR="00E72EE9" w:rsidRDefault="00000000">
      <w:r>
        <w:pict w14:anchorId="0DA019DE">
          <v:rect id="_x0000_i1032" style="width:0;height:1.5pt" o:hralign="center" o:hrstd="t" o:hr="t"/>
        </w:pict>
      </w:r>
    </w:p>
    <w:p w14:paraId="5CDA1592" w14:textId="77777777" w:rsidR="00E72EE9" w:rsidRDefault="00000000">
      <w:pPr>
        <w:pStyle w:val="Heading2"/>
      </w:pPr>
      <w:bookmarkStart w:id="16" w:name="exemple-4-bandes-de-bollinger-202"/>
      <w:bookmarkStart w:id="17" w:name="_Toc233711064"/>
      <w:bookmarkEnd w:id="14"/>
      <w:r>
        <w:t>Exemple 4 — Bandes de Bollinger (20/2)</w:t>
      </w:r>
      <w:bookmarkEnd w:id="17"/>
    </w:p>
    <w:p w14:paraId="357A68EB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retour à la moyenne sur volatilité. On achète quand le prix touche la bande inférieure, on vend quand il revient sur la bande médiane (ou supérieure).</w:t>
      </w:r>
    </w:p>
    <w:p w14:paraId="3417C1E9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Bandes de Bollinger : période 20, 2 écarts-types.</w:t>
      </w:r>
      <w:r>
        <w:br/>
      </w:r>
      <w:r>
        <w:rPr>
          <w:rStyle w:val="NormalTok"/>
        </w:rPr>
        <w:t xml:space="preserve">bb </w:t>
      </w:r>
      <w:r>
        <w:rPr>
          <w:rStyle w:val="OperatorTok"/>
        </w:rPr>
        <w:t>=</w:t>
      </w:r>
      <w:r>
        <w:rPr>
          <w:rStyle w:val="NormalTok"/>
        </w:rPr>
        <w:t xml:space="preserve"> vbt.BBANDS.run(prix, window</w:t>
      </w:r>
      <w:r>
        <w:rPr>
          <w:rStyle w:val="OperatorTok"/>
        </w:rPr>
        <w:t>=</w:t>
      </w:r>
      <w:r>
        <w:rPr>
          <w:rStyle w:val="DecValTok"/>
        </w:rPr>
        <w:t>20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Entrée : le prix franchit la bande inférieure (survente).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prix </w:t>
      </w:r>
      <w:r>
        <w:rPr>
          <w:rStyle w:val="OperatorTok"/>
        </w:rPr>
        <w:t>&lt;</w:t>
      </w:r>
      <w:r>
        <w:rPr>
          <w:rStyle w:val="NormalTok"/>
        </w:rPr>
        <w:t xml:space="preserve"> bb.lower</w:t>
      </w:r>
      <w:r>
        <w:br/>
      </w:r>
      <w:r>
        <w:rPr>
          <w:rStyle w:val="CommentTok"/>
        </w:rPr>
        <w:lastRenderedPageBreak/>
        <w:t># Sortie : le prix repasse au-dessus de la bande médiane.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prix </w:t>
      </w:r>
      <w:r>
        <w:rPr>
          <w:rStyle w:val="OperatorTok"/>
        </w:rPr>
        <w:t>&gt;</w:t>
      </w:r>
      <w:r>
        <w:rPr>
          <w:rStyle w:val="NormalTok"/>
        </w:rPr>
        <w:t xml:space="preserve"> bb.middle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E76C683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vbt.BBANDS.run</w:t>
      </w:r>
      <w:r>
        <w:t xml:space="preserve"> expose les trois bandes via </w:t>
      </w:r>
      <w:r>
        <w:rPr>
          <w:rStyle w:val="VerbatimChar"/>
        </w:rPr>
        <w:t>bb.lower</w:t>
      </w:r>
      <w:r>
        <w:t xml:space="preserve">, </w:t>
      </w:r>
      <w:r>
        <w:rPr>
          <w:rStyle w:val="VerbatimChar"/>
        </w:rPr>
        <w:t>bb.middle</w:t>
      </w:r>
      <w:r>
        <w:t xml:space="preserve">, </w:t>
      </w:r>
      <w:r>
        <w:rPr>
          <w:rStyle w:val="VerbatimChar"/>
        </w:rPr>
        <w:t>bb.upper</w:t>
      </w:r>
      <w:r>
        <w:t xml:space="preserve">. La comparaison </w:t>
      </w:r>
      <w:r>
        <w:rPr>
          <w:rStyle w:val="VerbatimChar"/>
        </w:rPr>
        <w:t>prix &lt; bb.lower</w:t>
      </w:r>
      <w:r>
        <w:t xml:space="preserve"> produit directement un masque booléen sur toute la série — l’équivalent vectorisé du test prix/bande de l’Exemple 4 LEAN.</w:t>
      </w:r>
    </w:p>
    <w:p w14:paraId="7DAA5246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</w:t>
      </w:r>
      <w:r>
        <w:rPr>
          <w:rStyle w:val="VerbatimChar"/>
        </w:rPr>
        <w:t>bb = data.run("talib:BBANDS", timeperiod=20, nbdevup=2, nbdevdn=2)</w:t>
      </w:r>
      <w:r>
        <w:t>.</w:t>
      </w:r>
    </w:p>
    <w:p w14:paraId="0A233A99" w14:textId="77777777" w:rsidR="00E72EE9" w:rsidRDefault="00000000">
      <w:r>
        <w:pict w14:anchorId="520D1D28">
          <v:rect id="_x0000_i1033" style="width:0;height:1.5pt" o:hralign="center" o:hrstd="t" o:hr="t"/>
        </w:pict>
      </w:r>
    </w:p>
    <w:p w14:paraId="048BBA1B" w14:textId="77777777" w:rsidR="00E72EE9" w:rsidRDefault="00000000">
      <w:pPr>
        <w:pStyle w:val="Heading2"/>
      </w:pPr>
      <w:bookmarkStart w:id="18" w:name="exemple-5-macd-12269"/>
      <w:bookmarkStart w:id="19" w:name="_Toc233711065"/>
      <w:bookmarkEnd w:id="16"/>
      <w:r>
        <w:t>Exemple 5 — MACD (12/26/9)</w:t>
      </w:r>
      <w:bookmarkEnd w:id="19"/>
    </w:p>
    <w:p w14:paraId="7F6F4BF6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suivi de tendance via le MACD. On est long quand la ligne MACD passe au-dessus de sa ligne de signal.</w:t>
      </w:r>
    </w:p>
    <w:p w14:paraId="6BC2185F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MACD : EMA rapide 12, EMA lente 26, signal 9.</w:t>
      </w:r>
      <w:r>
        <w:br/>
      </w:r>
      <w:r>
        <w:rPr>
          <w:rStyle w:val="NormalTok"/>
        </w:rPr>
        <w:t xml:space="preserve">macd </w:t>
      </w:r>
      <w:r>
        <w:rPr>
          <w:rStyle w:val="OperatorTok"/>
        </w:rPr>
        <w:t>=</w:t>
      </w:r>
      <w:r>
        <w:rPr>
          <w:rStyle w:val="NormalTok"/>
        </w:rPr>
        <w:t xml:space="preserve"> vbt.MACD.run(prix, fast_window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, slow_window</w:t>
      </w:r>
      <w:r>
        <w:rPr>
          <w:rStyle w:val="OperatorTok"/>
        </w:rPr>
        <w:t>=</w:t>
      </w:r>
      <w:r>
        <w:rPr>
          <w:rStyle w:val="DecValTok"/>
        </w:rPr>
        <w:t>26</w:t>
      </w:r>
      <w:r>
        <w:rPr>
          <w:rStyle w:val="NormalTok"/>
        </w:rPr>
        <w:t>, signal_window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Signaux : croisement de la ligne MACD et de sa ligne de signal.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macd.macd_above(macd.signal)   </w:t>
      </w:r>
      <w:r>
        <w:rPr>
          <w:rStyle w:val="CommentTok"/>
        </w:rPr>
        <w:t># MACD au-dessus du signal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macd.macd_below(macd.signal)     </w:t>
      </w:r>
      <w:r>
        <w:rPr>
          <w:rStyle w:val="CommentTok"/>
        </w:rPr>
        <w:t># MACD sous le signal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02DE608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vbt.MACD.run</w:t>
      </w:r>
      <w:r>
        <w:t xml:space="preserve"> expose </w:t>
      </w:r>
      <w:r>
        <w:rPr>
          <w:rStyle w:val="VerbatimChar"/>
        </w:rPr>
        <w:t>macd.macd</w:t>
      </w:r>
      <w:r>
        <w:t xml:space="preserve"> (la ligne MACD) et </w:t>
      </w:r>
      <w:r>
        <w:rPr>
          <w:rStyle w:val="VerbatimChar"/>
        </w:rPr>
        <w:t>macd.signal</w:t>
      </w:r>
      <w:r>
        <w:t xml:space="preserve"> (la ligne de signal). Les helpers </w:t>
      </w:r>
      <w:r>
        <w:rPr>
          <w:rStyle w:val="VerbatimChar"/>
        </w:rPr>
        <w:t>macd_above</w:t>
      </w:r>
      <w:r>
        <w:t xml:space="preserve"> / </w:t>
      </w:r>
      <w:r>
        <w:rPr>
          <w:rStyle w:val="VerbatimChar"/>
        </w:rPr>
        <w:t>macd_below</w:t>
      </w:r>
      <w:r>
        <w:t xml:space="preserve"> traduisent le croisement en signaux booléens, exactement comme la comparaison des deux lignes dans l’Exemple 5 LEAN.</w:t>
      </w:r>
    </w:p>
    <w:p w14:paraId="4BDE7B93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</w:t>
      </w:r>
      <w:r>
        <w:rPr>
          <w:rStyle w:val="VerbatimChar"/>
        </w:rPr>
        <w:t>macd = data.run("talib:MACD", fastperiod=12, slowperiod=26, signalperiod=9)</w:t>
      </w:r>
      <w:r>
        <w:t>.</w:t>
      </w:r>
    </w:p>
    <w:p w14:paraId="313798DC" w14:textId="77777777" w:rsidR="00E72EE9" w:rsidRDefault="00000000">
      <w:r>
        <w:lastRenderedPageBreak/>
        <w:pict w14:anchorId="5C247A9F">
          <v:rect id="_x0000_i1034" style="width:0;height:1.5pt" o:hralign="center" o:hrstd="t" o:hr="t"/>
        </w:pict>
      </w:r>
    </w:p>
    <w:p w14:paraId="3CEFFD53" w14:textId="77777777" w:rsidR="00E72EE9" w:rsidRDefault="00000000">
      <w:pPr>
        <w:pStyle w:val="Heading2"/>
      </w:pPr>
      <w:bookmarkStart w:id="20" w:name="exemple-6-portefeuille-multi-actifs"/>
      <w:bookmarkStart w:id="21" w:name="_Toc233711066"/>
      <w:bookmarkEnd w:id="18"/>
      <w:r>
        <w:t>Exemple 6 — Portefeuille multi-actifs</w:t>
      </w:r>
      <w:bookmarkEnd w:id="21"/>
    </w:p>
    <w:p w14:paraId="5DD624FA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appliquer la même stratégie (croisement SMA 50/200) simultanément à plusieurs titres (</w:t>
      </w:r>
      <w:r>
        <w:rPr>
          <w:rStyle w:val="VerbatimChar"/>
        </w:rPr>
        <w:t>AAPL</w:t>
      </w:r>
      <w:r>
        <w:t xml:space="preserve">, </w:t>
      </w:r>
      <w:r>
        <w:rPr>
          <w:rStyle w:val="VerbatimChar"/>
        </w:rPr>
        <w:t>MSFT</w:t>
      </w:r>
      <w:r>
        <w:t xml:space="preserve">, </w:t>
      </w:r>
      <w:r>
        <w:rPr>
          <w:rStyle w:val="VerbatimChar"/>
        </w:rPr>
        <w:t>GOOG</w:t>
      </w:r>
      <w:r>
        <w:t>), avec une allocation égale (≈ 33 % par titre quand le signal est actif).</w:t>
      </w:r>
    </w:p>
    <w:p w14:paraId="7B558420" w14:textId="77777777" w:rsidR="00E72EE9" w:rsidRDefault="00000000">
      <w:pPr>
        <w:pStyle w:val="BodyText"/>
      </w:pPr>
      <w:r>
        <w:t xml:space="preserve">C’est ici que la vectorisation brille : on passe un </w:t>
      </w:r>
      <w:r>
        <w:rPr>
          <w:rStyle w:val="VerbatimChar"/>
        </w:rPr>
        <w:t>DataFrame</w:t>
      </w:r>
      <w:r>
        <w:t xml:space="preserve"> à </w:t>
      </w:r>
      <w:r>
        <w:rPr>
          <w:b/>
          <w:bCs/>
        </w:rPr>
        <w:t>plusieurs colonnes</w:t>
      </w:r>
      <w:r>
        <w:t xml:space="preserve"> et toute la chaîne traite les trois titres d’un coup.</w:t>
      </w:r>
    </w:p>
    <w:p w14:paraId="1ABAC2C1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tickers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"AAPL"</w:t>
      </w:r>
      <w:r>
        <w:rPr>
          <w:rStyle w:val="NormalTok"/>
        </w:rPr>
        <w:t xml:space="preserve">, </w:t>
      </w:r>
      <w:r>
        <w:rPr>
          <w:rStyle w:val="StringTok"/>
        </w:rPr>
        <w:t>"MSFT"</w:t>
      </w:r>
      <w:r>
        <w:rPr>
          <w:rStyle w:val="NormalTok"/>
        </w:rPr>
        <w:t xml:space="preserve">, </w:t>
      </w:r>
      <w:r>
        <w:rPr>
          <w:rStyle w:val="StringTok"/>
        </w:rPr>
        <w:t>"GOOG"</w:t>
      </w:r>
      <w:r>
        <w:rPr>
          <w:rStyle w:val="NormalTok"/>
        </w:rPr>
        <w:t>]</w:t>
      </w:r>
      <w:r>
        <w:br/>
        <w:br/>
      </w:r>
      <w:r>
        <w:rPr>
          <w:rStyle w:val="CommentTok"/>
        </w:rPr>
        <w:t># prix est un DataFrame : une colonne par titre.</w:t>
      </w:r>
      <w:r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br/>
      </w:r>
      <w:r>
        <w:rPr>
          <w:rStyle w:val="NormalTok"/>
        </w:rPr>
        <w:t xml:space="preserve">    tickers,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, missing_index</w:t>
      </w:r>
      <w:r>
        <w:rPr>
          <w:rStyle w:val="OperatorTok"/>
        </w:rPr>
        <w:t>=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NormalTok"/>
        </w:rPr>
        <w:t xml:space="preserve">fast_ma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slow_ma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fast_ma.ma_crossed_above(slow_ma)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fast_ma.ma_crossed_below(slow_ma)</w:t>
      </w:r>
      <w:r>
        <w:br/>
        <w:br/>
      </w:r>
      <w:r>
        <w:rPr>
          <w:rStyle w:val="CommentTok"/>
        </w:rPr>
        <w:t># group_by + cash_sharing : un seul portefeuille partagé entre les 3 titres.</w:t>
      </w:r>
      <w:r>
        <w:br/>
      </w:r>
      <w:r>
        <w:rPr>
          <w:rStyle w:val="CommentTok"/>
        </w:rPr>
        <w:t># Allocation égale : ~1/3 du capital par position active.</w:t>
      </w:r>
      <w:r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/</w:t>
      </w:r>
      <w:r>
        <w:rPr>
          <w:rStyle w:val="DecValTok"/>
        </w:rPr>
        <w:t>3</w:t>
      </w:r>
      <w:r>
        <w:rPr>
          <w:rStyle w:val="NormalTok"/>
        </w:rPr>
        <w:t>, size_type</w:t>
      </w:r>
      <w:r>
        <w:rPr>
          <w:rStyle w:val="OperatorTok"/>
        </w:rPr>
        <w:t>=</w:t>
      </w:r>
      <w:r>
        <w:rPr>
          <w:rStyle w:val="StringTok"/>
        </w:rPr>
        <w:t>"targetpercent"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group_by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cash_sharing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(pf.total_return())</w:t>
      </w:r>
    </w:p>
    <w:p w14:paraId="09CE14CC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size=1/3</w:t>
      </w:r>
      <w:r>
        <w:t xml:space="preserve"> avec </w:t>
      </w:r>
      <w:r>
        <w:rPr>
          <w:rStyle w:val="VerbatimChar"/>
        </w:rPr>
        <w:t>size_type="targetpercent"</w:t>
      </w:r>
      <w:r>
        <w:t xml:space="preserve"> demande d’allouer un tiers de la valeur du portefeuille à chaque position active — l’équivalent des trois </w:t>
      </w:r>
      <w:r>
        <w:rPr>
          <w:rStyle w:val="VerbatimChar"/>
        </w:rPr>
        <w:t>set_holdings(symbol, 0.33)</w:t>
      </w:r>
      <w:r>
        <w:t xml:space="preserve"> de l’Exemple 6 LEAN. </w:t>
      </w:r>
      <w:r>
        <w:rPr>
          <w:rStyle w:val="VerbatimChar"/>
        </w:rPr>
        <w:t>group_by=True</w:t>
      </w:r>
      <w:r>
        <w:t xml:space="preserve"> et </w:t>
      </w:r>
      <w:r>
        <w:rPr>
          <w:rStyle w:val="VerbatimChar"/>
        </w:rPr>
        <w:t>cash_sharing=True</w:t>
      </w:r>
      <w:r>
        <w:t xml:space="preserve"> mutualisent la trésorerie entre les trois titres.</w:t>
      </w:r>
    </w:p>
    <w:p w14:paraId="42008FCE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remplacer </w:t>
      </w:r>
      <w:r>
        <w:rPr>
          <w:rStyle w:val="VerbatimChar"/>
        </w:rPr>
        <w:t>vbt.Portfolio</w:t>
      </w:r>
      <w:r>
        <w:t xml:space="preserve"> par </w:t>
      </w:r>
      <w:r>
        <w:rPr>
          <w:rStyle w:val="VerbatimChar"/>
        </w:rPr>
        <w:t>vbt.PF</w:t>
      </w:r>
      <w:r>
        <w:t xml:space="preserve"> ; les arguments sont identiques.</w:t>
      </w:r>
    </w:p>
    <w:p w14:paraId="2A99A66E" w14:textId="77777777" w:rsidR="00E72EE9" w:rsidRDefault="00000000">
      <w:r>
        <w:pict w14:anchorId="7E80FF99">
          <v:rect id="_x0000_i1035" style="width:0;height:1.5pt" o:hralign="center" o:hrstd="t" o:hr="t"/>
        </w:pict>
      </w:r>
    </w:p>
    <w:p w14:paraId="6392A692" w14:textId="77777777" w:rsidR="00E72EE9" w:rsidRDefault="00000000">
      <w:pPr>
        <w:pStyle w:val="Heading2"/>
      </w:pPr>
      <w:bookmarkStart w:id="22" w:name="X648297faf54abf4cd7c084a28759f874657d4d0"/>
      <w:bookmarkStart w:id="23" w:name="_Toc233711067"/>
      <w:bookmarkEnd w:id="20"/>
      <w:r>
        <w:lastRenderedPageBreak/>
        <w:t>Exemple 7 — Dimensionnement de position et risque</w:t>
      </w:r>
      <w:bookmarkEnd w:id="23"/>
    </w:p>
    <w:p w14:paraId="0C0D1C5D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ne pas investir 100 % à chaque signal. Ici, on n’engage que </w:t>
      </w:r>
      <w:r>
        <w:rPr>
          <w:b/>
          <w:bCs/>
        </w:rPr>
        <w:t>95 % du capital</w:t>
      </w:r>
      <w:r>
        <w:t xml:space="preserve"> par entrée (en gardant un coussin de liquidités) sur la stratégie de croisement SMA.</w:t>
      </w:r>
    </w:p>
    <w:p w14:paraId="6E05CFC8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NormalTok"/>
        </w:rPr>
        <w:t xml:space="preserve">fast_ma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slow_ma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fast_ma.ma_crossed_above(slow_ma)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fast_ma.ma_crossed_below(slow_ma)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On n'engage que 95 % du capital par position.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>=</w:t>
      </w:r>
      <w:r>
        <w:rPr>
          <w:rStyle w:val="FloatTok"/>
        </w:rPr>
        <w:t>0.95</w:t>
      </w:r>
      <w:r>
        <w:rPr>
          <w:rStyle w:val="NormalTok"/>
        </w:rPr>
        <w:t>, size_type</w:t>
      </w:r>
      <w:r>
        <w:rPr>
          <w:rStyle w:val="OperatorTok"/>
        </w:rPr>
        <w:t>=</w:t>
      </w:r>
      <w:r>
        <w:rPr>
          <w:rStyle w:val="StringTok"/>
        </w:rPr>
        <w:t>"percent"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0012E1B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size=0.95</w:t>
      </w:r>
      <w:r>
        <w:t xml:space="preserve"> avec </w:t>
      </w:r>
      <w:r>
        <w:rPr>
          <w:rStyle w:val="VerbatimChar"/>
        </w:rPr>
        <w:t>size_type="percent"</w:t>
      </w:r>
      <w:r>
        <w:t xml:space="preserve"> plafonne l’exposition à 95 % du capital — l’équivalent exact du </w:t>
      </w:r>
      <w:r>
        <w:rPr>
          <w:rStyle w:val="VerbatimChar"/>
        </w:rPr>
        <w:t>set_holdings(symbol, 0.95)</w:t>
      </w:r>
      <w:r>
        <w:t xml:space="preserve"> de l’Exemple 7 LEAN. Le dimensionnement de position est un levier de gestion du risque au moins aussi important que les signaux d’entrée/sortie.</w:t>
      </w:r>
    </w:p>
    <w:p w14:paraId="7852A4C9" w14:textId="77777777" w:rsidR="00E72EE9" w:rsidRDefault="00000000">
      <w:r>
        <w:pict w14:anchorId="35DA889E">
          <v:rect id="_x0000_i1036" style="width:0;height:1.5pt" o:hralign="center" o:hrstd="t" o:hr="t"/>
        </w:pict>
      </w:r>
    </w:p>
    <w:p w14:paraId="1588B147" w14:textId="77777777" w:rsidR="00E72EE9" w:rsidRDefault="00000000">
      <w:pPr>
        <w:pStyle w:val="Heading2"/>
      </w:pPr>
      <w:bookmarkStart w:id="24" w:name="exemple-8-stop-loss-et-take-profit"/>
      <w:bookmarkStart w:id="25" w:name="_Toc233711068"/>
      <w:bookmarkEnd w:id="22"/>
      <w:r>
        <w:t>Exemple 8 — Stop-loss et take-profit</w:t>
      </w:r>
      <w:bookmarkEnd w:id="25"/>
    </w:p>
    <w:p w14:paraId="3805A6D1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ajouter une sortie en perte (stop-loss à </w:t>
      </w:r>
      <w:r>
        <w:rPr>
          <w:b/>
          <w:bCs/>
        </w:rPr>
        <w:t>5 %</w:t>
      </w:r>
      <w:r>
        <w:t xml:space="preserve"> sous le prix d’entrée) et une prise de bénéfice (take-profit à </w:t>
      </w:r>
      <w:r>
        <w:rPr>
          <w:b/>
          <w:bCs/>
        </w:rPr>
        <w:t>10 %</w:t>
      </w:r>
      <w:r>
        <w:t xml:space="preserve"> au-dessus), greffées sur la stratégie de croisement SMA.</w:t>
      </w:r>
    </w:p>
    <w:p w14:paraId="4BDD7857" w14:textId="77777777" w:rsidR="00E72EE9" w:rsidRDefault="00000000">
      <w:pPr>
        <w:pStyle w:val="BodyText"/>
      </w:pPr>
      <w:r>
        <w:t>C’est l’un des points forts de Vectorbt : stop-loss et take-profit s’activent par deux simples arguments.</w:t>
      </w:r>
    </w:p>
    <w:p w14:paraId="0A5E8856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NormalTok"/>
        </w:rPr>
        <w:t xml:space="preserve">fast_ma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slow_ma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fast_ma.ma_crossed_above(slow_ma)</w:t>
      </w:r>
      <w:r>
        <w:br/>
      </w:r>
      <w:r>
        <w:rPr>
          <w:rStyle w:val="NormalTok"/>
        </w:rPr>
        <w:lastRenderedPageBreak/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fast_ma.ma_crossed_below(slow_ma)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sl_stop</w:t>
      </w:r>
      <w:r>
        <w:rPr>
          <w:rStyle w:val="OperatorTok"/>
        </w:rPr>
        <w:t>=</w:t>
      </w:r>
      <w:r>
        <w:rPr>
          <w:rStyle w:val="FloatTok"/>
        </w:rPr>
        <w:t>0.05</w:t>
      </w:r>
      <w:r>
        <w:rPr>
          <w:rStyle w:val="NormalTok"/>
        </w:rPr>
        <w:t xml:space="preserve">,   </w:t>
      </w:r>
      <w:r>
        <w:rPr>
          <w:rStyle w:val="CommentTok"/>
        </w:rPr>
        <w:t># stop-loss à 5 %</w:t>
      </w:r>
      <w:r>
        <w:br/>
      </w:r>
      <w:r>
        <w:rPr>
          <w:rStyle w:val="NormalTok"/>
        </w:rPr>
        <w:t xml:space="preserve">    tp_stop</w:t>
      </w:r>
      <w:r>
        <w:rPr>
          <w:rStyle w:val="OperatorTok"/>
        </w:rPr>
        <w:t>=</w:t>
      </w:r>
      <w:r>
        <w:rPr>
          <w:rStyle w:val="FloatTok"/>
        </w:rPr>
        <w:t>0.10</w:t>
      </w:r>
      <w:r>
        <w:rPr>
          <w:rStyle w:val="NormalTok"/>
        </w:rPr>
        <w:t xml:space="preserve">,   </w:t>
      </w:r>
      <w:r>
        <w:rPr>
          <w:rStyle w:val="CommentTok"/>
        </w:rPr>
        <w:t># take-profit à 10 %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(pf.trades.records_readable[[</w:t>
      </w:r>
      <w:r>
        <w:rPr>
          <w:rStyle w:val="StringTok"/>
        </w:rPr>
        <w:t>"Entry Price"</w:t>
      </w:r>
      <w:r>
        <w:rPr>
          <w:rStyle w:val="NormalTok"/>
        </w:rPr>
        <w:t xml:space="preserve">, </w:t>
      </w:r>
      <w:r>
        <w:rPr>
          <w:rStyle w:val="StringTok"/>
        </w:rPr>
        <w:t>"Exit Price"</w:t>
      </w:r>
      <w:r>
        <w:rPr>
          <w:rStyle w:val="NormalTok"/>
        </w:rPr>
        <w:t xml:space="preserve">, </w:t>
      </w:r>
      <w:r>
        <w:rPr>
          <w:rStyle w:val="StringTok"/>
        </w:rPr>
        <w:t>"PnL"</w:t>
      </w:r>
      <w:r>
        <w:rPr>
          <w:rStyle w:val="NormalTok"/>
        </w:rPr>
        <w:t>]].head())</w:t>
      </w:r>
    </w:p>
    <w:p w14:paraId="67A0FFD7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sl_stop=0.05</w:t>
      </w:r>
      <w:r>
        <w:t xml:space="preserve"> et </w:t>
      </w:r>
      <w:r>
        <w:rPr>
          <w:rStyle w:val="VerbatimChar"/>
        </w:rPr>
        <w:t>tp_stop=0.10</w:t>
      </w:r>
      <w:r>
        <w:t xml:space="preserve"> sont exprimés en fraction du prix d’entrée. Le moteur surveille, pour chaque position, le franchissement de ces niveaux à chaque barre — exactement la logique manuelle </w:t>
      </w:r>
      <w:r>
        <w:rPr>
          <w:rStyle w:val="VerbatimChar"/>
        </w:rPr>
        <w:t>prix &lt;= entrée*(1-0,05)</w:t>
      </w:r>
      <w:r>
        <w:t xml:space="preserve"> / </w:t>
      </w:r>
      <w:r>
        <w:rPr>
          <w:rStyle w:val="VerbatimChar"/>
        </w:rPr>
        <w:t>prix &gt;= entrée*(1+0,10)</w:t>
      </w:r>
      <w:r>
        <w:t xml:space="preserve"> de l’Exemple 8 LEAN, mais en une ligne. On peut aussi ajouter </w:t>
      </w:r>
      <w:r>
        <w:rPr>
          <w:rStyle w:val="VerbatimChar"/>
        </w:rPr>
        <w:t>ts_stop=...</w:t>
      </w:r>
      <w:r>
        <w:t xml:space="preserve"> pour un stop suiveur.</w:t>
      </w:r>
    </w:p>
    <w:p w14:paraId="2683C894" w14:textId="77777777" w:rsidR="00E72EE9" w:rsidRDefault="00000000">
      <w:r>
        <w:pict w14:anchorId="1BB7EEF1">
          <v:rect id="_x0000_i1037" style="width:0;height:1.5pt" o:hralign="center" o:hrstd="t" o:hr="t"/>
        </w:pict>
      </w:r>
    </w:p>
    <w:p w14:paraId="28B297B4" w14:textId="77777777" w:rsidR="00E72EE9" w:rsidRDefault="00000000">
      <w:pPr>
        <w:pStyle w:val="Heading2"/>
      </w:pPr>
      <w:bookmarkStart w:id="26" w:name="X22de1d2f9a93ff08d61296489259a7cbdf58d38"/>
      <w:bookmarkStart w:id="27" w:name="_Toc233711069"/>
      <w:bookmarkEnd w:id="24"/>
      <w:r>
        <w:t>Exemple 9 — Analyse des métriques de performance</w:t>
      </w:r>
      <w:bookmarkEnd w:id="27"/>
    </w:p>
    <w:p w14:paraId="6672A83C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ne pas se contenter du rendement total. On veut le ratio de Sharpe, le drawdown maximum, le taux de réussite, etc.</w:t>
      </w:r>
    </w:p>
    <w:p w14:paraId="57ACE973" w14:textId="77777777" w:rsidR="00E72EE9" w:rsidRDefault="00000000">
      <w:pPr>
        <w:pStyle w:val="BodyText"/>
      </w:pPr>
      <w:r>
        <w:t xml:space="preserve">Dans Vectorbt, la méthode </w:t>
      </w:r>
      <w:r>
        <w:rPr>
          <w:rStyle w:val="VerbatimChar"/>
        </w:rPr>
        <w:t>pf.stats()</w:t>
      </w:r>
      <w:r>
        <w:t xml:space="preserve"> </w:t>
      </w:r>
      <w:r>
        <w:rPr>
          <w:b/>
          <w:bCs/>
        </w:rPr>
        <w:t>calcule automatiquement</w:t>
      </w:r>
      <w:r>
        <w:t xml:space="preserve"> toutes ces métriques en une fois. On peut aussi y accéder individuellement.</w:t>
      </w:r>
    </w:p>
    <w:p w14:paraId="1F84D0F3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NormalTok"/>
        </w:rPr>
        <w:t xml:space="preserve">fast_ma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slow_ma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fast_ma.ma_crossed_above(slow_ma)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fast_ma.ma_crossed_below(slow_ma)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Rapport complet (équivalent du tableau de statistiques de LEAN).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(pf.stats())</w:t>
      </w:r>
      <w:r>
        <w:br/>
        <w:br/>
      </w:r>
      <w:r>
        <w:rPr>
          <w:rStyle w:val="CommentTok"/>
        </w:rPr>
        <w:t># Accès individuel aux métriques clés.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f"Rendement total  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total_return()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f"Ratio de Sharpe   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sharpe_ratio()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f"Drawdown maximum  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max_drawdown()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f"Taux de réussite  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trades</w:t>
      </w:r>
      <w:r>
        <w:rPr>
          <w:rStyle w:val="SpecialCharTok"/>
        </w:rPr>
        <w:t>.</w:t>
      </w:r>
      <w:r>
        <w:rPr>
          <w:rStyle w:val="NormalTok"/>
        </w:rPr>
        <w:t>win_rate()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f"Valeur finale     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final_value()</w:t>
      </w:r>
      <w:r>
        <w:rPr>
          <w:rStyle w:val="SpecialCharTok"/>
        </w:rPr>
        <w:t>:,.0f}</w:t>
      </w:r>
      <w:r>
        <w:rPr>
          <w:rStyle w:val="SpecialStringTok"/>
        </w:rPr>
        <w:t xml:space="preserve"> $"</w:t>
      </w:r>
      <w:r>
        <w:rPr>
          <w:rStyle w:val="NormalTok"/>
        </w:rPr>
        <w:t>)</w:t>
      </w:r>
    </w:p>
    <w:p w14:paraId="4550AA88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</w:t>
      </w:r>
      <w:r>
        <w:rPr>
          <w:rStyle w:val="VerbatimChar"/>
        </w:rPr>
        <w:t>pf.stats()</w:t>
      </w:r>
      <w:r>
        <w:t xml:space="preserve"> renvoie une série pandas avec rendement total, Sharpe, Sortino, Calmar, drawdown maximum, nombre de trades, win rate, profit factor, etc. C’est l’équivalent direct du calcul manuel fait dans </w:t>
      </w:r>
      <w:r>
        <w:rPr>
          <w:rStyle w:val="VerbatimChar"/>
        </w:rPr>
        <w:t>on_end_of_algorithm</w:t>
      </w:r>
      <w:r>
        <w:t xml:space="preserve"> à l’Exemple 9 LEAN — sauf qu’ici tout est fourni d’office. Comparez toujours votre Sharpe à celui d’un simple Buy &amp; Hold.</w:t>
      </w:r>
    </w:p>
    <w:p w14:paraId="42AAFC59" w14:textId="77777777" w:rsidR="00E72EE9" w:rsidRDefault="00000000">
      <w:r>
        <w:pict w14:anchorId="7A564959">
          <v:rect id="_x0000_i1038" style="width:0;height:1.5pt" o:hralign="center" o:hrstd="t" o:hr="t"/>
        </w:pict>
      </w:r>
    </w:p>
    <w:p w14:paraId="349FAD1D" w14:textId="77777777" w:rsidR="00E72EE9" w:rsidRDefault="00000000">
      <w:pPr>
        <w:pStyle w:val="Heading2"/>
      </w:pPr>
      <w:bookmarkStart w:id="28" w:name="exemple-10-optimisation-de-paramètres"/>
      <w:bookmarkStart w:id="29" w:name="_Toc233711070"/>
      <w:bookmarkEnd w:id="26"/>
      <w:r>
        <w:t>Exemple 10 — Optimisation de paramètres</w:t>
      </w:r>
      <w:bookmarkEnd w:id="29"/>
    </w:p>
    <w:p w14:paraId="6CC0EFA6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trouver le meilleur couple (SMA rapide, SMA lente) parmi une grille — rapide ∈ {10, 20, 50}, lente ∈ {100, 150, 200}.</w:t>
      </w:r>
    </w:p>
    <w:p w14:paraId="40B6A366" w14:textId="77777777" w:rsidR="00E72EE9" w:rsidRDefault="00000000">
      <w:pPr>
        <w:pStyle w:val="BodyText"/>
      </w:pPr>
      <w:r>
        <w:t xml:space="preserve">C’est </w:t>
      </w:r>
      <w:r>
        <w:rPr>
          <w:i/>
          <w:iCs/>
        </w:rPr>
        <w:t>le</w:t>
      </w:r>
      <w:r>
        <w:t xml:space="preserve"> cas d’usage emblématique de Vectorbt : on passe des </w:t>
      </w:r>
      <w:r>
        <w:rPr>
          <w:b/>
          <w:bCs/>
        </w:rPr>
        <w:t>listes</w:t>
      </w:r>
      <w:r>
        <w:t xml:space="preserve"> de fenêtres et toutes les combinaisons sont testées </w:t>
      </w:r>
      <w:r>
        <w:rPr>
          <w:b/>
          <w:bCs/>
        </w:rPr>
        <w:t>en une seule passe vectorisée</w:t>
      </w:r>
      <w:r>
        <w:t>, chacune dans sa propre colonne.</w:t>
      </w:r>
    </w:p>
    <w:p w14:paraId="39A74FB4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Grille de paramètres.</w:t>
      </w:r>
      <w:r>
        <w:br/>
      </w:r>
      <w:r>
        <w:rPr>
          <w:rStyle w:val="NormalTok"/>
        </w:rPr>
        <w:t xml:space="preserve">fast_windows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slow_windows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>]</w:t>
      </w:r>
      <w:r>
        <w:br/>
        <w:br/>
      </w:r>
      <w:r>
        <w:rPr>
          <w:rStyle w:val="CommentTok"/>
        </w:rPr>
        <w:t># vbt génère toutes les combinaisons rapide x lente d'un coup.</w:t>
      </w:r>
      <w:r>
        <w:br/>
      </w:r>
      <w:r>
        <w:rPr>
          <w:rStyle w:val="NormalTok"/>
        </w:rPr>
        <w:t xml:space="preserve">fast_ma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fast_windows, short_name</w:t>
      </w:r>
      <w:r>
        <w:rPr>
          <w:rStyle w:val="OperatorTok"/>
        </w:rPr>
        <w:t>=</w:t>
      </w:r>
      <w:r>
        <w:rPr>
          <w:rStyle w:val="StringTok"/>
        </w:rPr>
        <w:t>"fast"</w:t>
      </w:r>
      <w:r>
        <w:rPr>
          <w:rStyle w:val="NormalTok"/>
        </w:rPr>
        <w:t>, per_column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slow_ma </w:t>
      </w:r>
      <w:r>
        <w:rPr>
          <w:rStyle w:val="OperatorTok"/>
        </w:rPr>
        <w:t>=</w:t>
      </w:r>
      <w:r>
        <w:rPr>
          <w:rStyle w:val="NormalTok"/>
        </w:rPr>
        <w:t xml:space="preserve"> vbt.MA.run(prix, slow_windows, short_name</w:t>
      </w:r>
      <w:r>
        <w:rPr>
          <w:rStyle w:val="OperatorTok"/>
        </w:rPr>
        <w:t>=</w:t>
      </w:r>
      <w:r>
        <w:rPr>
          <w:rStyle w:val="StringTok"/>
        </w:rPr>
        <w:t>"slow"</w:t>
      </w:r>
      <w:r>
        <w:rPr>
          <w:rStyle w:val="NormalTok"/>
        </w:rPr>
        <w:t>, per_column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fast_ma.ma_crossed_above(slow_ma)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fast_ma.ma_crossed_below(slow_ma)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prix, entries, exits,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Sharpe par combinaison, puis meilleur couple.</w:t>
      </w:r>
      <w:r>
        <w:br/>
      </w:r>
      <w:r>
        <w:rPr>
          <w:rStyle w:val="NormalTok"/>
        </w:rPr>
        <w:t xml:space="preserve">sharpe </w:t>
      </w:r>
      <w:r>
        <w:rPr>
          <w:rStyle w:val="OperatorTok"/>
        </w:rPr>
        <w:t>=</w:t>
      </w:r>
      <w:r>
        <w:rPr>
          <w:rStyle w:val="NormalTok"/>
        </w:rPr>
        <w:t xml:space="preserve"> pf.sharpe_ratio()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(sharpe)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"Meilleure combinaison :"</w:t>
      </w:r>
      <w:r>
        <w:rPr>
          <w:rStyle w:val="NormalTok"/>
        </w:rPr>
        <w:t xml:space="preserve">, sharpe.idxmax(), </w:t>
      </w:r>
      <w:r>
        <w:rPr>
          <w:rStyle w:val="StringTok"/>
        </w:rPr>
        <w:t>"| Sharpe ="</w:t>
      </w:r>
      <w:r>
        <w:rPr>
          <w:rStyle w:val="NormalTok"/>
        </w:rPr>
        <w:t xml:space="preserve">, </w:t>
      </w:r>
      <w:r>
        <w:rPr>
          <w:rStyle w:val="BuiltInTok"/>
        </w:rPr>
        <w:t>round</w:t>
      </w:r>
      <w:r>
        <w:rPr>
          <w:rStyle w:val="NormalTok"/>
        </w:rPr>
        <w:t>(sharpe.</w:t>
      </w:r>
      <w:r>
        <w:rPr>
          <w:rStyle w:val="BuiltInTok"/>
        </w:rPr>
        <w:t>max</w:t>
      </w:r>
      <w:r>
        <w:rPr>
          <w:rStyle w:val="NormalTok"/>
        </w:rPr>
        <w:t xml:space="preserve">(), 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62A98973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là où LEAN doit relancer un backtest complet par combinaison via son optimiseur (Exemple 10 LEAN), Vectorbt évalue </w:t>
      </w:r>
      <w:r>
        <w:rPr>
          <w:b/>
          <w:bCs/>
        </w:rPr>
        <w:t>les 9 combinaisons simultanément</w:t>
      </w:r>
      <w:r>
        <w:t xml:space="preserve"> dans un seul </w:t>
      </w:r>
      <w:r>
        <w:rPr>
          <w:rStyle w:val="VerbatimChar"/>
        </w:rPr>
        <w:t>Portfolio</w:t>
      </w:r>
      <w:r>
        <w:t xml:space="preserve">. </w:t>
      </w:r>
      <w:r>
        <w:rPr>
          <w:rStyle w:val="VerbatimChar"/>
        </w:rPr>
        <w:t>pf.sharpe_ratio()</w:t>
      </w:r>
      <w:r>
        <w:t xml:space="preserve"> renvoie alors une série indexée par </w:t>
      </w:r>
      <w:r>
        <w:rPr>
          <w:rStyle w:val="VerbatimChar"/>
        </w:rPr>
        <w:t>(fast_window, slow_window)</w:t>
      </w:r>
      <w:r>
        <w:t xml:space="preserve">, et </w:t>
      </w:r>
      <w:r>
        <w:rPr>
          <w:rStyle w:val="VerbatimChar"/>
        </w:rPr>
        <w:t>.idxmax()</w:t>
      </w:r>
      <w:r>
        <w:t xml:space="preserve"> donne le gagnant. </w:t>
      </w:r>
      <w:r>
        <w:rPr>
          <w:b/>
          <w:bCs/>
        </w:rPr>
        <w:t>Attention au sur-optimisation (</w:t>
      </w:r>
      <w:r>
        <w:rPr>
          <w:b/>
          <w:bCs/>
          <w:i/>
          <w:iCs/>
        </w:rPr>
        <w:t>overfitting</w:t>
      </w:r>
      <w:r>
        <w:rPr>
          <w:b/>
          <w:bCs/>
        </w:rPr>
        <w:t>)</w:t>
      </w:r>
      <w:r>
        <w:t xml:space="preserve"> : une grille trop fine donne des paramètres « parfaits » sur le passé mais fragiles en réel.</w:t>
      </w:r>
    </w:p>
    <w:p w14:paraId="1D0AF18C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</w:t>
      </w:r>
      <w:r>
        <w:rPr>
          <w:rStyle w:val="VerbatimChar"/>
        </w:rPr>
        <w:t>vbt.MA.run_combs(prix, window=np.arange(10, 201), r=2, short_names=["fast","slow"])</w:t>
      </w:r>
      <w:r>
        <w:t xml:space="preserve"> pour explorer des milliers de couples d’un coup.</w:t>
      </w:r>
    </w:p>
    <w:p w14:paraId="47E1497F" w14:textId="77777777" w:rsidR="00E72EE9" w:rsidRDefault="00000000">
      <w:r>
        <w:pict w14:anchorId="5B48C534">
          <v:rect id="_x0000_i1039" style="width:0;height:1.5pt" o:hralign="center" o:hrstd="t" o:hr="t"/>
        </w:pict>
      </w:r>
    </w:p>
    <w:p w14:paraId="28CD6B79" w14:textId="77777777" w:rsidR="00E72EE9" w:rsidRDefault="00000000">
      <w:pPr>
        <w:pStyle w:val="Heading2"/>
      </w:pPr>
      <w:bookmarkStart w:id="30" w:name="X4953de95e05b68504f28773102cdc390b2b40d0"/>
      <w:bookmarkStart w:id="31" w:name="_Toc233711071"/>
      <w:bookmarkEnd w:id="28"/>
      <w:r>
        <w:t>Exemple 11 — Validation walk-forward / hors-échantillon</w:t>
      </w:r>
      <w:bookmarkEnd w:id="31"/>
    </w:p>
    <w:p w14:paraId="6BA0CEBB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valider la robustesse en séparant la période d’</w:t>
      </w:r>
      <w:r>
        <w:rPr>
          <w:b/>
          <w:bCs/>
        </w:rPr>
        <w:t>entraînement</w:t>
      </w:r>
      <w:r>
        <w:t xml:space="preserve"> (in-sample, où l’on optimise) de la période de </w:t>
      </w:r>
      <w:r>
        <w:rPr>
          <w:b/>
          <w:bCs/>
        </w:rPr>
        <w:t>test</w:t>
      </w:r>
      <w:r>
        <w:t xml:space="preserve"> (out-of-sample, jamais vue). On optimise sur 2020-2022 et on valide sur 2023.</w:t>
      </w:r>
    </w:p>
    <w:p w14:paraId="1327CA9B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  <w:br/>
      </w:r>
      <w:r>
        <w:rPr>
          <w:rStyle w:val="NormalTok"/>
        </w:rPr>
        <w:t xml:space="preserve">prix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rPr>
          <w:rStyle w:val="StringTok"/>
        </w:rPr>
        <w:t>"SPY"</w:t>
      </w:r>
      <w:r>
        <w:rPr>
          <w:rStyle w:val="NormalTok"/>
        </w:rPr>
        <w:t>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).get(</w:t>
      </w:r>
      <w:r>
        <w:rPr>
          <w:rStyle w:val="StringTok"/>
        </w:rPr>
        <w:t>"Close"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1) Découpage in-sample / out-of-sample.</w:t>
      </w:r>
      <w:r>
        <w:br/>
      </w:r>
      <w:r>
        <w:rPr>
          <w:rStyle w:val="NormalTok"/>
        </w:rPr>
        <w:t xml:space="preserve">is_prix </w:t>
      </w:r>
      <w:r>
        <w:rPr>
          <w:rStyle w:val="OperatorTok"/>
        </w:rPr>
        <w:t>=</w:t>
      </w:r>
      <w:r>
        <w:rPr>
          <w:rStyle w:val="NormalTok"/>
        </w:rPr>
        <w:t xml:space="preserve"> prix.loc[</w:t>
      </w:r>
      <w:r>
        <w:rPr>
          <w:rStyle w:val="StringTok"/>
        </w:rPr>
        <w:t>"2020-01-01"</w:t>
      </w:r>
      <w:r>
        <w:rPr>
          <w:rStyle w:val="NormalTok"/>
        </w:rPr>
        <w:t>:</w:t>
      </w:r>
      <w:r>
        <w:rPr>
          <w:rStyle w:val="StringTok"/>
        </w:rPr>
        <w:t>"2022-12-31"</w:t>
      </w:r>
      <w:r>
        <w:rPr>
          <w:rStyle w:val="NormalTok"/>
        </w:rPr>
        <w:t xml:space="preserve">]   </w:t>
      </w:r>
      <w:r>
        <w:rPr>
          <w:rStyle w:val="CommentTok"/>
        </w:rPr>
        <w:t># entraînement</w:t>
      </w:r>
      <w:r>
        <w:br/>
      </w:r>
      <w:r>
        <w:rPr>
          <w:rStyle w:val="NormalTok"/>
        </w:rPr>
        <w:t xml:space="preserve">oos_prix </w:t>
      </w:r>
      <w:r>
        <w:rPr>
          <w:rStyle w:val="OperatorTok"/>
        </w:rPr>
        <w:t>=</w:t>
      </w:r>
      <w:r>
        <w:rPr>
          <w:rStyle w:val="NormalTok"/>
        </w:rPr>
        <w:t xml:space="preserve"> prix.loc[</w:t>
      </w:r>
      <w:r>
        <w:rPr>
          <w:rStyle w:val="StringTok"/>
        </w:rPr>
        <w:t>"2023-01-01"</w:t>
      </w:r>
      <w:r>
        <w:rPr>
          <w:rStyle w:val="NormalTok"/>
        </w:rPr>
        <w:t>:</w:t>
      </w:r>
      <w:r>
        <w:rPr>
          <w:rStyle w:val="StringTok"/>
        </w:rPr>
        <w:t>"2023-12-31"</w:t>
      </w:r>
      <w:r>
        <w:rPr>
          <w:rStyle w:val="NormalTok"/>
        </w:rPr>
        <w:t xml:space="preserve">]  </w:t>
      </w:r>
      <w:r>
        <w:rPr>
          <w:rStyle w:val="CommentTok"/>
        </w:rPr>
        <w:t># validation</w:t>
      </w:r>
      <w:r>
        <w:br/>
        <w:br/>
      </w:r>
      <w:r>
        <w:rPr>
          <w:rStyle w:val="NormalTok"/>
        </w:rPr>
        <w:t xml:space="preserve">fast_windows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slow_windows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>]</w:t>
      </w:r>
      <w:r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backtest(p, fast, slow):</w:t>
      </w:r>
      <w:r>
        <w:br/>
      </w:r>
      <w:r>
        <w:rPr>
          <w:rStyle w:val="NormalTok"/>
        </w:rPr>
        <w:t xml:space="preserve">    fma </w:t>
      </w:r>
      <w:r>
        <w:rPr>
          <w:rStyle w:val="OperatorTok"/>
        </w:rPr>
        <w:t>=</w:t>
      </w:r>
      <w:r>
        <w:rPr>
          <w:rStyle w:val="NormalTok"/>
        </w:rPr>
        <w:t xml:space="preserve"> vbt.MA.run(p, fast, short_name</w:t>
      </w:r>
      <w:r>
        <w:rPr>
          <w:rStyle w:val="OperatorTok"/>
        </w:rPr>
        <w:t>=</w:t>
      </w:r>
      <w:r>
        <w:rPr>
          <w:rStyle w:val="StringTok"/>
        </w:rPr>
        <w:t>"fast"</w:t>
      </w:r>
      <w:r>
        <w:rPr>
          <w:rStyle w:val="NormalTok"/>
        </w:rPr>
        <w:t>, per_column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sma </w:t>
      </w:r>
      <w:r>
        <w:rPr>
          <w:rStyle w:val="OperatorTok"/>
        </w:rPr>
        <w:t>=</w:t>
      </w:r>
      <w:r>
        <w:rPr>
          <w:rStyle w:val="NormalTok"/>
        </w:rPr>
        <w:t xml:space="preserve"> vbt.MA.run(p, slow, short_name</w:t>
      </w:r>
      <w:r>
        <w:rPr>
          <w:rStyle w:val="OperatorTok"/>
        </w:rPr>
        <w:t>=</w:t>
      </w:r>
      <w:r>
        <w:rPr>
          <w:rStyle w:val="StringTok"/>
        </w:rPr>
        <w:t>"slow"</w:t>
      </w:r>
      <w:r>
        <w:rPr>
          <w:rStyle w:val="NormalTok"/>
        </w:rPr>
        <w:t>, per_column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entries </w:t>
      </w:r>
      <w:r>
        <w:rPr>
          <w:rStyle w:val="OperatorTok"/>
        </w:rPr>
        <w:t>=</w:t>
      </w:r>
      <w:r>
        <w:rPr>
          <w:rStyle w:val="NormalTok"/>
        </w:rPr>
        <w:t xml:space="preserve"> fma.ma_crossed_above(sma)</w:t>
      </w:r>
      <w:r>
        <w:br/>
      </w:r>
      <w:r>
        <w:rPr>
          <w:rStyle w:val="NormalTok"/>
        </w:rPr>
        <w:t xml:space="preserve">    exits </w:t>
      </w:r>
      <w:r>
        <w:rPr>
          <w:rStyle w:val="OperatorTok"/>
        </w:rPr>
        <w:t>=</w:t>
      </w:r>
      <w:r>
        <w:rPr>
          <w:rStyle w:val="NormalTok"/>
        </w:rPr>
        <w:t xml:space="preserve"> fma.ma_crossed_below(sma)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    p, entries, exits,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br/>
      </w:r>
      <w:r>
        <w:rPr>
          <w:rStyle w:val="NormalTok"/>
        </w:rPr>
        <w:t xml:space="preserve">    )</w:t>
      </w:r>
      <w:r>
        <w:br/>
        <w:br/>
      </w:r>
      <w:r>
        <w:rPr>
          <w:rStyle w:val="CommentTok"/>
        </w:rPr>
        <w:t># 2) Optimisation SUR L'IN-SAMPLE uniquement.</w:t>
      </w:r>
      <w:r>
        <w:br/>
      </w:r>
      <w:r>
        <w:rPr>
          <w:rStyle w:val="NormalTok"/>
        </w:rPr>
        <w:t xml:space="preserve">pf_is </w:t>
      </w:r>
      <w:r>
        <w:rPr>
          <w:rStyle w:val="OperatorTok"/>
        </w:rPr>
        <w:t>=</w:t>
      </w:r>
      <w:r>
        <w:rPr>
          <w:rStyle w:val="NormalTok"/>
        </w:rPr>
        <w:t xml:space="preserve"> backtest(is_prix, fast_windows, slow_windows)</w:t>
      </w:r>
      <w:r>
        <w:br/>
      </w:r>
      <w:r>
        <w:rPr>
          <w:rStyle w:val="NormalTok"/>
        </w:rPr>
        <w:t xml:space="preserve">meilleur </w:t>
      </w:r>
      <w:r>
        <w:rPr>
          <w:rStyle w:val="OperatorTok"/>
        </w:rPr>
        <w:t>=</w:t>
      </w:r>
      <w:r>
        <w:rPr>
          <w:rStyle w:val="NormalTok"/>
        </w:rPr>
        <w:t xml:space="preserve"> pf_is.sharpe_ratio().idxmax()   </w:t>
      </w:r>
      <w:r>
        <w:rPr>
          <w:rStyle w:val="CommentTok"/>
        </w:rPr>
        <w:t># ex. (50, 200)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"Meilleur couple in-sample :"</w:t>
      </w:r>
      <w:r>
        <w:rPr>
          <w:rStyle w:val="NormalTok"/>
        </w:rPr>
        <w:t>, meilleur)</w:t>
      </w:r>
      <w:r>
        <w:br/>
        <w:lastRenderedPageBreak/>
        <w:br/>
      </w:r>
      <w:r>
        <w:rPr>
          <w:rStyle w:val="CommentTok"/>
        </w:rPr>
        <w:t># 3) Validation du seul couple retenu SUR L'OUT-OF-SAMPLE.</w:t>
      </w:r>
      <w:r>
        <w:br/>
      </w:r>
      <w:r>
        <w:rPr>
          <w:rStyle w:val="NormalTok"/>
        </w:rPr>
        <w:t xml:space="preserve">best_fast, best_slow </w:t>
      </w:r>
      <w:r>
        <w:rPr>
          <w:rStyle w:val="OperatorTok"/>
        </w:rPr>
        <w:t>=</w:t>
      </w:r>
      <w:r>
        <w:rPr>
          <w:rStyle w:val="NormalTok"/>
        </w:rPr>
        <w:t xml:space="preserve"> meilleur</w:t>
      </w:r>
      <w:r>
        <w:br/>
      </w:r>
      <w:r>
        <w:rPr>
          <w:rStyle w:val="NormalTok"/>
        </w:rPr>
        <w:t xml:space="preserve">pf_oos </w:t>
      </w:r>
      <w:r>
        <w:rPr>
          <w:rStyle w:val="OperatorTok"/>
        </w:rPr>
        <w:t>=</w:t>
      </w:r>
      <w:r>
        <w:rPr>
          <w:rStyle w:val="NormalTok"/>
        </w:rPr>
        <w:t xml:space="preserve"> backtest(oos_prix, best_fast, best_slow)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f"Sharpe in-sample  : </w:t>
      </w:r>
      <w:r>
        <w:rPr>
          <w:rStyle w:val="SpecialCharTok"/>
        </w:rPr>
        <w:t>{</w:t>
      </w:r>
      <w:r>
        <w:rPr>
          <w:rStyle w:val="NormalTok"/>
        </w:rPr>
        <w:t>pf_is</w:t>
      </w:r>
      <w:r>
        <w:rPr>
          <w:rStyle w:val="SpecialCharTok"/>
        </w:rPr>
        <w:t>.</w:t>
      </w:r>
      <w:r>
        <w:rPr>
          <w:rStyle w:val="NormalTok"/>
        </w:rPr>
        <w:t>sharpe_ratio()</w:t>
      </w:r>
      <w:r>
        <w:rPr>
          <w:rStyle w:val="SpecialCharTok"/>
        </w:rPr>
        <w:t>.</w:t>
      </w:r>
      <w:r>
        <w:rPr>
          <w:rStyle w:val="BuiltInTok"/>
        </w:rPr>
        <w:t>max</w:t>
      </w:r>
      <w:r>
        <w:rPr>
          <w:rStyle w:val="NormalTok"/>
        </w:rPr>
        <w:t>()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f"Sharpe out-of-sample : </w:t>
      </w:r>
      <w:r>
        <w:rPr>
          <w:rStyle w:val="SpecialCharTok"/>
        </w:rPr>
        <w:t>{</w:t>
      </w:r>
      <w:r>
        <w:rPr>
          <w:rStyle w:val="NormalTok"/>
        </w:rPr>
        <w:t>pf_oos</w:t>
      </w:r>
      <w:r>
        <w:rPr>
          <w:rStyle w:val="SpecialCharTok"/>
        </w:rPr>
        <w:t>.</w:t>
      </w:r>
      <w:r>
        <w:rPr>
          <w:rStyle w:val="NormalTok"/>
        </w:rPr>
        <w:t>sharpe_ratio()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8945AB9" w14:textId="77777777" w:rsidR="00E72EE9" w:rsidRDefault="00000000">
      <w:pPr>
        <w:pStyle w:val="FirstParagraph"/>
      </w:pPr>
      <w:r>
        <w:t>Protocole :</w:t>
      </w:r>
    </w:p>
    <w:p w14:paraId="6E6950CF" w14:textId="77777777" w:rsidR="00E72EE9" w:rsidRDefault="00000000">
      <w:pPr>
        <w:pStyle w:val="Compact"/>
        <w:numPr>
          <w:ilvl w:val="0"/>
          <w:numId w:val="5"/>
        </w:numPr>
      </w:pPr>
      <w:r>
        <w:t xml:space="preserve">On optimise la grille </w:t>
      </w:r>
      <w:r>
        <w:rPr>
          <w:b/>
          <w:bCs/>
        </w:rPr>
        <w:t>uniquement</w:t>
      </w:r>
      <w:r>
        <w:t xml:space="preserve"> sur 2020-2022 (in-sample).</w:t>
      </w:r>
    </w:p>
    <w:p w14:paraId="594DFABA" w14:textId="77777777" w:rsidR="00E72EE9" w:rsidRDefault="00000000">
      <w:pPr>
        <w:pStyle w:val="Compact"/>
        <w:numPr>
          <w:ilvl w:val="0"/>
          <w:numId w:val="5"/>
        </w:numPr>
      </w:pPr>
      <w:r>
        <w:t xml:space="preserve">On retient le meilleur couple </w:t>
      </w:r>
      <w:r>
        <w:rPr>
          <w:rStyle w:val="VerbatimChar"/>
        </w:rPr>
        <w:t>(fast, slow)</w:t>
      </w:r>
      <w:r>
        <w:t>.</w:t>
      </w:r>
    </w:p>
    <w:p w14:paraId="1F989035" w14:textId="77777777" w:rsidR="00E72EE9" w:rsidRDefault="00000000">
      <w:pPr>
        <w:pStyle w:val="Compact"/>
        <w:numPr>
          <w:ilvl w:val="0"/>
          <w:numId w:val="5"/>
        </w:numPr>
      </w:pPr>
      <w:r>
        <w:t>On applique ce seul jeu de paramètres sur 2023 (out-of-sample).</w:t>
      </w:r>
    </w:p>
    <w:p w14:paraId="3AE1048A" w14:textId="77777777" w:rsidR="00E72EE9" w:rsidRDefault="00000000">
      <w:pPr>
        <w:pStyle w:val="Compact"/>
        <w:numPr>
          <w:ilvl w:val="0"/>
          <w:numId w:val="5"/>
        </w:numPr>
      </w:pPr>
      <w:r>
        <w:t>Si le Sharpe s’effondre hors-échantillon, la stratégie est sur-optimisée.</w:t>
      </w:r>
    </w:p>
    <w:p w14:paraId="65780051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le découpage manuel </w:t>
      </w:r>
      <w:r>
        <w:rPr>
          <w:rStyle w:val="VerbatimChar"/>
        </w:rPr>
        <w:t>in-sample</w:t>
      </w:r>
      <w:r>
        <w:t xml:space="preserve"> / </w:t>
      </w:r>
      <w:r>
        <w:rPr>
          <w:rStyle w:val="VerbatimChar"/>
        </w:rPr>
        <w:t>out-of-sample</w:t>
      </w:r>
      <w:r>
        <w:t xml:space="preserve"> est l’équivalent exact des phases </w:t>
      </w:r>
      <w:r>
        <w:rPr>
          <w:rStyle w:val="VerbatimChar"/>
        </w:rPr>
        <w:t>train</w:t>
      </w:r>
      <w:r>
        <w:t xml:space="preserve"> / </w:t>
      </w:r>
      <w:r>
        <w:rPr>
          <w:rStyle w:val="VerbatimChar"/>
        </w:rPr>
        <w:t>test</w:t>
      </w:r>
      <w:r>
        <w:t xml:space="preserve"> paramétrées de l’Exemple 11 LEAN. La discipline in-sample / out-of-sample est </w:t>
      </w:r>
      <w:r>
        <w:rPr>
          <w:i/>
          <w:iCs/>
        </w:rPr>
        <w:t>la</w:t>
      </w:r>
      <w:r>
        <w:t xml:space="preserve"> protection principale contre l’illusion de performance.</w:t>
      </w:r>
    </w:p>
    <w:p w14:paraId="47B109A1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</w:t>
      </w:r>
      <w:r>
        <w:rPr>
          <w:rStyle w:val="VerbatimChar"/>
        </w:rPr>
        <w:t>vbt.Splitter.from_rolling(prix.index, ...)</w:t>
      </w:r>
      <w:r>
        <w:t xml:space="preserve"> automatise le walk-forward glissant (plusieurs fenêtres train/test successives) en quelques lignes.</w:t>
      </w:r>
    </w:p>
    <w:p w14:paraId="6DCB3609" w14:textId="77777777" w:rsidR="00E72EE9" w:rsidRDefault="00000000">
      <w:r>
        <w:pict w14:anchorId="11C24F0F">
          <v:rect id="_x0000_i1040" style="width:0;height:1.5pt" o:hralign="center" o:hrstd="t" o:hr="t"/>
        </w:pict>
      </w:r>
    </w:p>
    <w:p w14:paraId="27E4DB3A" w14:textId="77777777" w:rsidR="00E72EE9" w:rsidRDefault="00000000">
      <w:pPr>
        <w:pStyle w:val="Heading2"/>
      </w:pPr>
      <w:bookmarkStart w:id="32" w:name="tableau-comparatif-lean-vs-vectorbt"/>
      <w:bookmarkStart w:id="33" w:name="_Toc233711072"/>
      <w:bookmarkEnd w:id="30"/>
      <w:r>
        <w:t>Tableau comparatif : LEAN vs Vectorbt</w:t>
      </w:r>
      <w:bookmarkEnd w:id="33"/>
    </w:p>
    <w:p w14:paraId="11BAFF8A" w14:textId="77777777" w:rsidR="00E72EE9" w:rsidRDefault="00000000">
      <w:pPr>
        <w:pStyle w:val="FirstParagraph"/>
      </w:pPr>
      <w:r>
        <w:t>Les deux plateformes répondent au même besoin — backtester des stratégies en Python — mais selon deux philosophies opposées. Le tableau ci-dessous synthétise leurs points communs et leurs différences.</w:t>
      </w:r>
    </w:p>
    <w:p w14:paraId="4DE9FED7" w14:textId="77777777" w:rsidR="00E72EE9" w:rsidRDefault="00000000">
      <w:pPr>
        <w:pStyle w:val="Heading3"/>
      </w:pPr>
      <w:bookmarkStart w:id="34" w:name="similitudes"/>
      <w:r>
        <w:t>Similitudes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219"/>
        <w:gridCol w:w="11397"/>
      </w:tblGrid>
      <w:tr w:rsidR="00E72EE9" w14:paraId="4DF91309" w14:textId="77777777" w:rsidTr="00E72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E2504E" w14:textId="77777777" w:rsidR="00E72EE9" w:rsidRDefault="00000000">
            <w:pPr>
              <w:pStyle w:val="Compact"/>
            </w:pPr>
            <w:r>
              <w:t>Point commun</w:t>
            </w:r>
          </w:p>
        </w:tc>
        <w:tc>
          <w:tcPr>
            <w:tcW w:w="0" w:type="auto"/>
          </w:tcPr>
          <w:p w14:paraId="192F7DC8" w14:textId="77777777" w:rsidR="00E72EE9" w:rsidRDefault="00000000">
            <w:pPr>
              <w:pStyle w:val="Compact"/>
            </w:pPr>
            <w:r>
              <w:t>Détail</w:t>
            </w:r>
          </w:p>
        </w:tc>
      </w:tr>
      <w:tr w:rsidR="00E72EE9" w14:paraId="1B3A6F97" w14:textId="77777777">
        <w:tc>
          <w:tcPr>
            <w:tcW w:w="0" w:type="auto"/>
          </w:tcPr>
          <w:p w14:paraId="675C0EA4" w14:textId="77777777" w:rsidR="00E72EE9" w:rsidRDefault="00000000">
            <w:pPr>
              <w:pStyle w:val="Compact"/>
            </w:pPr>
            <w:r>
              <w:t>Objectif</w:t>
            </w:r>
          </w:p>
        </w:tc>
        <w:tc>
          <w:tcPr>
            <w:tcW w:w="0" w:type="auto"/>
          </w:tcPr>
          <w:p w14:paraId="51AAA9A1" w14:textId="77777777" w:rsidR="00E72EE9" w:rsidRDefault="00000000">
            <w:pPr>
              <w:pStyle w:val="Compact"/>
            </w:pPr>
            <w:r>
              <w:t>Backtester des stratégies de trading sur données historiques</w:t>
            </w:r>
          </w:p>
        </w:tc>
      </w:tr>
      <w:tr w:rsidR="00E72EE9" w14:paraId="46B6B43E" w14:textId="77777777">
        <w:tc>
          <w:tcPr>
            <w:tcW w:w="0" w:type="auto"/>
          </w:tcPr>
          <w:p w14:paraId="2BD7AF20" w14:textId="77777777" w:rsidR="00E72EE9" w:rsidRDefault="00000000">
            <w:pPr>
              <w:pStyle w:val="Compact"/>
            </w:pPr>
            <w:r>
              <w:t>Langage</w:t>
            </w:r>
          </w:p>
        </w:tc>
        <w:tc>
          <w:tcPr>
            <w:tcW w:w="0" w:type="auto"/>
          </w:tcPr>
          <w:p w14:paraId="0C662C1B" w14:textId="77777777" w:rsidR="00E72EE9" w:rsidRDefault="00000000">
            <w:pPr>
              <w:pStyle w:val="Compact"/>
            </w:pPr>
            <w:r>
              <w:t>Python (LEAN propose aussi C#)</w:t>
            </w:r>
          </w:p>
        </w:tc>
      </w:tr>
      <w:tr w:rsidR="00E72EE9" w14:paraId="0D3578F8" w14:textId="77777777">
        <w:tc>
          <w:tcPr>
            <w:tcW w:w="0" w:type="auto"/>
          </w:tcPr>
          <w:p w14:paraId="6A2D7D59" w14:textId="77777777" w:rsidR="00E72EE9" w:rsidRDefault="00000000">
            <w:pPr>
              <w:pStyle w:val="Compact"/>
            </w:pPr>
            <w:r>
              <w:t>Indicateurs intégrés</w:t>
            </w:r>
          </w:p>
        </w:tc>
        <w:tc>
          <w:tcPr>
            <w:tcW w:w="0" w:type="auto"/>
          </w:tcPr>
          <w:p w14:paraId="6E2E9C77" w14:textId="77777777" w:rsidR="00E72EE9" w:rsidRDefault="00000000">
            <w:pPr>
              <w:pStyle w:val="Compact"/>
            </w:pPr>
            <w:r>
              <w:t>SMA, EMA, RSI, Bandes de Bollinger, MACD, ATR, indicateurs de volume (OBV, VWAP, profil de volume), etc.</w:t>
            </w:r>
          </w:p>
        </w:tc>
      </w:tr>
      <w:tr w:rsidR="00E72EE9" w14:paraId="2FB1E7A3" w14:textId="77777777">
        <w:tc>
          <w:tcPr>
            <w:tcW w:w="0" w:type="auto"/>
          </w:tcPr>
          <w:p w14:paraId="576E7FC2" w14:textId="77777777" w:rsidR="00E72EE9" w:rsidRDefault="00000000">
            <w:pPr>
              <w:pStyle w:val="Compact"/>
            </w:pPr>
            <w:r>
              <w:t>Logique entrée/sortie</w:t>
            </w:r>
          </w:p>
        </w:tc>
        <w:tc>
          <w:tcPr>
            <w:tcW w:w="0" w:type="auto"/>
          </w:tcPr>
          <w:p w14:paraId="4528221F" w14:textId="77777777" w:rsidR="00E72EE9" w:rsidRDefault="00000000">
            <w:pPr>
              <w:pStyle w:val="Compact"/>
            </w:pPr>
            <w:r>
              <w:t>Signaux d’achat et de vente, gestion de positions</w:t>
            </w:r>
          </w:p>
        </w:tc>
      </w:tr>
      <w:tr w:rsidR="00E72EE9" w14:paraId="5E859071" w14:textId="77777777">
        <w:tc>
          <w:tcPr>
            <w:tcW w:w="0" w:type="auto"/>
          </w:tcPr>
          <w:p w14:paraId="57103307" w14:textId="77777777" w:rsidR="00E72EE9" w:rsidRDefault="00000000">
            <w:pPr>
              <w:pStyle w:val="Compact"/>
            </w:pPr>
            <w:r>
              <w:t>Gestion du risque</w:t>
            </w:r>
          </w:p>
        </w:tc>
        <w:tc>
          <w:tcPr>
            <w:tcW w:w="0" w:type="auto"/>
          </w:tcPr>
          <w:p w14:paraId="23827314" w14:textId="77777777" w:rsidR="00E72EE9" w:rsidRDefault="00000000">
            <w:pPr>
              <w:pStyle w:val="Compact"/>
            </w:pPr>
            <w:r>
              <w:t>Stop-loss, take-profit, dimensionnement de position</w:t>
            </w:r>
          </w:p>
        </w:tc>
      </w:tr>
      <w:tr w:rsidR="00E72EE9" w14:paraId="1CD1F9C0" w14:textId="77777777">
        <w:tc>
          <w:tcPr>
            <w:tcW w:w="0" w:type="auto"/>
          </w:tcPr>
          <w:p w14:paraId="45033882" w14:textId="77777777" w:rsidR="00E72EE9" w:rsidRDefault="00000000">
            <w:pPr>
              <w:pStyle w:val="Compact"/>
            </w:pPr>
            <w:r>
              <w:t>Frais</w:t>
            </w:r>
          </w:p>
        </w:tc>
        <w:tc>
          <w:tcPr>
            <w:tcW w:w="0" w:type="auto"/>
          </w:tcPr>
          <w:p w14:paraId="279BBDED" w14:textId="77777777" w:rsidR="00E72EE9" w:rsidRDefault="00000000">
            <w:pPr>
              <w:pStyle w:val="Compact"/>
            </w:pPr>
            <w:r>
              <w:t>Modélisation des coûts de transaction</w:t>
            </w:r>
          </w:p>
        </w:tc>
      </w:tr>
      <w:tr w:rsidR="00E72EE9" w14:paraId="2F0BBA9A" w14:textId="77777777">
        <w:tc>
          <w:tcPr>
            <w:tcW w:w="0" w:type="auto"/>
          </w:tcPr>
          <w:p w14:paraId="3E670D9F" w14:textId="77777777" w:rsidR="00E72EE9" w:rsidRDefault="00000000">
            <w:pPr>
              <w:pStyle w:val="Compact"/>
            </w:pPr>
            <w:r>
              <w:t>Métriques</w:t>
            </w:r>
          </w:p>
        </w:tc>
        <w:tc>
          <w:tcPr>
            <w:tcW w:w="0" w:type="auto"/>
          </w:tcPr>
          <w:p w14:paraId="1282628F" w14:textId="77777777" w:rsidR="00E72EE9" w:rsidRDefault="00000000">
            <w:pPr>
              <w:pStyle w:val="Compact"/>
            </w:pPr>
            <w:r>
              <w:t>Rendement, Sharpe, drawdown, taux de réussite, etc.</w:t>
            </w:r>
          </w:p>
        </w:tc>
      </w:tr>
      <w:tr w:rsidR="00E72EE9" w14:paraId="5E649AA6" w14:textId="77777777">
        <w:tc>
          <w:tcPr>
            <w:tcW w:w="0" w:type="auto"/>
          </w:tcPr>
          <w:p w14:paraId="700277B1" w14:textId="77777777" w:rsidR="00E72EE9" w:rsidRDefault="00000000">
            <w:pPr>
              <w:pStyle w:val="Compact"/>
            </w:pPr>
            <w:r>
              <w:t>Optimisation</w:t>
            </w:r>
          </w:p>
        </w:tc>
        <w:tc>
          <w:tcPr>
            <w:tcW w:w="0" w:type="auto"/>
          </w:tcPr>
          <w:p w14:paraId="29B6A1A9" w14:textId="77777777" w:rsidR="00E72EE9" w:rsidRDefault="00000000">
            <w:pPr>
              <w:pStyle w:val="Compact"/>
            </w:pPr>
            <w:r>
              <w:t>Recherche de paramètres et validation hors-échantillon</w:t>
            </w:r>
          </w:p>
        </w:tc>
      </w:tr>
      <w:tr w:rsidR="00E72EE9" w14:paraId="44964499" w14:textId="77777777">
        <w:tc>
          <w:tcPr>
            <w:tcW w:w="0" w:type="auto"/>
          </w:tcPr>
          <w:p w14:paraId="548DAC5E" w14:textId="77777777" w:rsidR="00E72EE9" w:rsidRDefault="00000000">
            <w:pPr>
              <w:pStyle w:val="Compact"/>
            </w:pPr>
            <w:r>
              <w:t>Licence</w:t>
            </w:r>
          </w:p>
        </w:tc>
        <w:tc>
          <w:tcPr>
            <w:tcW w:w="0" w:type="auto"/>
          </w:tcPr>
          <w:p w14:paraId="5A1A78B9" w14:textId="77777777" w:rsidR="00E72EE9" w:rsidRDefault="00000000">
            <w:pPr>
              <w:pStyle w:val="Compact"/>
            </w:pPr>
            <w:r>
              <w:t>Code source ouvert (LEAN entièrement ; Vectorbt en open-source, Pro commercial)</w:t>
            </w:r>
          </w:p>
        </w:tc>
      </w:tr>
    </w:tbl>
    <w:p w14:paraId="53D270EE" w14:textId="77777777" w:rsidR="00E72EE9" w:rsidRDefault="00000000">
      <w:pPr>
        <w:pStyle w:val="Heading3"/>
      </w:pPr>
      <w:bookmarkStart w:id="35" w:name="différences"/>
      <w:bookmarkEnd w:id="34"/>
      <w:r>
        <w:lastRenderedPageBreak/>
        <w:t>Différences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748"/>
        <w:gridCol w:w="5665"/>
        <w:gridCol w:w="5203"/>
      </w:tblGrid>
      <w:tr w:rsidR="00E72EE9" w14:paraId="625DBE35" w14:textId="77777777" w:rsidTr="00E72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434203" w14:textId="77777777" w:rsidR="00E72EE9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6E4847FA" w14:textId="77777777" w:rsidR="00E72EE9" w:rsidRDefault="00000000">
            <w:pPr>
              <w:pStyle w:val="Compact"/>
            </w:pPr>
            <w:r>
              <w:t>QuantConnect LEAN</w:t>
            </w:r>
          </w:p>
        </w:tc>
        <w:tc>
          <w:tcPr>
            <w:tcW w:w="0" w:type="auto"/>
          </w:tcPr>
          <w:p w14:paraId="65FE2852" w14:textId="77777777" w:rsidR="00E72EE9" w:rsidRDefault="00000000">
            <w:pPr>
              <w:pStyle w:val="Compact"/>
            </w:pPr>
            <w:r>
              <w:t>Vectorbt / Vectorbt Pro</w:t>
            </w:r>
          </w:p>
        </w:tc>
      </w:tr>
      <w:tr w:rsidR="00E72EE9" w14:paraId="674BD7A6" w14:textId="77777777">
        <w:tc>
          <w:tcPr>
            <w:tcW w:w="0" w:type="auto"/>
          </w:tcPr>
          <w:p w14:paraId="4156F116" w14:textId="77777777" w:rsidR="00E72EE9" w:rsidRDefault="00000000">
            <w:pPr>
              <w:pStyle w:val="Compact"/>
            </w:pPr>
            <w:r>
              <w:t>Paradigme</w:t>
            </w:r>
          </w:p>
        </w:tc>
        <w:tc>
          <w:tcPr>
            <w:tcW w:w="0" w:type="auto"/>
          </w:tcPr>
          <w:p w14:paraId="3F6BC02B" w14:textId="77777777" w:rsidR="00E72EE9" w:rsidRDefault="00000000">
            <w:pPr>
              <w:pStyle w:val="Compact"/>
            </w:pPr>
            <w:r>
              <w:t>Événementiel (barre par barre)</w:t>
            </w:r>
          </w:p>
        </w:tc>
        <w:tc>
          <w:tcPr>
            <w:tcW w:w="0" w:type="auto"/>
          </w:tcPr>
          <w:p w14:paraId="23B81008" w14:textId="77777777" w:rsidR="00E72EE9" w:rsidRDefault="00000000">
            <w:pPr>
              <w:pStyle w:val="Compact"/>
            </w:pPr>
            <w:r>
              <w:t>Vectorisé (toute la série d’un coup)</w:t>
            </w:r>
          </w:p>
        </w:tc>
      </w:tr>
      <w:tr w:rsidR="00E72EE9" w14:paraId="17BB2A8B" w14:textId="77777777">
        <w:tc>
          <w:tcPr>
            <w:tcW w:w="0" w:type="auto"/>
          </w:tcPr>
          <w:p w14:paraId="639CE5DA" w14:textId="77777777" w:rsidR="00E72EE9" w:rsidRDefault="00000000">
            <w:pPr>
              <w:pStyle w:val="Compact"/>
            </w:pPr>
            <w:r>
              <w:t>Langages</w:t>
            </w:r>
          </w:p>
        </w:tc>
        <w:tc>
          <w:tcPr>
            <w:tcW w:w="0" w:type="auto"/>
          </w:tcPr>
          <w:p w14:paraId="152AC147" w14:textId="77777777" w:rsidR="00E72EE9" w:rsidRDefault="00000000">
            <w:pPr>
              <w:pStyle w:val="Compact"/>
            </w:pPr>
            <w:r>
              <w:t>Python et C#</w:t>
            </w:r>
          </w:p>
        </w:tc>
        <w:tc>
          <w:tcPr>
            <w:tcW w:w="0" w:type="auto"/>
          </w:tcPr>
          <w:p w14:paraId="2445758B" w14:textId="77777777" w:rsidR="00E72EE9" w:rsidRDefault="00000000">
            <w:pPr>
              <w:pStyle w:val="Compact"/>
            </w:pPr>
            <w:r>
              <w:t>Python uniquement</w:t>
            </w:r>
          </w:p>
        </w:tc>
      </w:tr>
      <w:tr w:rsidR="00E72EE9" w14:paraId="4DBBCD4C" w14:textId="77777777">
        <w:tc>
          <w:tcPr>
            <w:tcW w:w="0" w:type="auto"/>
          </w:tcPr>
          <w:p w14:paraId="025BD032" w14:textId="77777777" w:rsidR="00E72EE9" w:rsidRDefault="00000000">
            <w:pPr>
              <w:pStyle w:val="Compact"/>
            </w:pPr>
            <w:r>
              <w:t>Vitesse de backtest</w:t>
            </w:r>
          </w:p>
        </w:tc>
        <w:tc>
          <w:tcPr>
            <w:tcW w:w="0" w:type="auto"/>
          </w:tcPr>
          <w:p w14:paraId="174EBC66" w14:textId="77777777" w:rsidR="00E72EE9" w:rsidRDefault="00000000">
            <w:pPr>
              <w:pStyle w:val="Compact"/>
            </w:pPr>
            <w:r>
              <w:t>Plus lente (simulation séquentielle)</w:t>
            </w:r>
          </w:p>
        </w:tc>
        <w:tc>
          <w:tcPr>
            <w:tcW w:w="0" w:type="auto"/>
          </w:tcPr>
          <w:p w14:paraId="429E4B4E" w14:textId="77777777" w:rsidR="00E72EE9" w:rsidRDefault="00000000">
            <w:pPr>
              <w:pStyle w:val="Compact"/>
            </w:pPr>
            <w:r>
              <w:t>Très rapide (NumPy + Numba)</w:t>
            </w:r>
          </w:p>
        </w:tc>
      </w:tr>
      <w:tr w:rsidR="00E72EE9" w14:paraId="0542ECBC" w14:textId="77777777">
        <w:tc>
          <w:tcPr>
            <w:tcW w:w="0" w:type="auto"/>
          </w:tcPr>
          <w:p w14:paraId="38BFADE8" w14:textId="77777777" w:rsidR="00E72EE9" w:rsidRDefault="00000000">
            <w:pPr>
              <w:pStyle w:val="Compact"/>
            </w:pPr>
            <w:r>
              <w:t>Exploration de paramètres</w:t>
            </w:r>
          </w:p>
        </w:tc>
        <w:tc>
          <w:tcPr>
            <w:tcW w:w="0" w:type="auto"/>
          </w:tcPr>
          <w:p w14:paraId="2C7F7A32" w14:textId="77777777" w:rsidR="00E72EE9" w:rsidRDefault="00000000">
            <w:pPr>
              <w:pStyle w:val="Compact"/>
            </w:pPr>
            <w:r>
              <w:t>Un backtest relancé par combinaison</w:t>
            </w:r>
          </w:p>
        </w:tc>
        <w:tc>
          <w:tcPr>
            <w:tcW w:w="0" w:type="auto"/>
          </w:tcPr>
          <w:p w14:paraId="317F8CA2" w14:textId="77777777" w:rsidR="00E72EE9" w:rsidRDefault="00000000">
            <w:pPr>
              <w:pStyle w:val="Compact"/>
            </w:pPr>
            <w:r>
              <w:t>Des milliers de combinaisons en une passe</w:t>
            </w:r>
          </w:p>
        </w:tc>
      </w:tr>
      <w:tr w:rsidR="00E72EE9" w14:paraId="627CA09B" w14:textId="77777777">
        <w:tc>
          <w:tcPr>
            <w:tcW w:w="0" w:type="auto"/>
          </w:tcPr>
          <w:p w14:paraId="73809F84" w14:textId="77777777" w:rsidR="00E72EE9" w:rsidRDefault="00000000">
            <w:pPr>
              <w:pStyle w:val="Compact"/>
            </w:pPr>
            <w:r>
              <w:t>Réalisme de la microstructure</w:t>
            </w:r>
          </w:p>
        </w:tc>
        <w:tc>
          <w:tcPr>
            <w:tcW w:w="0" w:type="auto"/>
          </w:tcPr>
          <w:p w14:paraId="28748623" w14:textId="77777777" w:rsidR="00E72EE9" w:rsidRDefault="00000000">
            <w:pPr>
              <w:pStyle w:val="Compact"/>
            </w:pPr>
            <w:r>
              <w:t>Élevé (slippage, marge, fills, dividendes, splits)</w:t>
            </w:r>
          </w:p>
        </w:tc>
        <w:tc>
          <w:tcPr>
            <w:tcW w:w="0" w:type="auto"/>
          </w:tcPr>
          <w:p w14:paraId="194AB7DF" w14:textId="77777777" w:rsidR="00E72EE9" w:rsidRDefault="00000000">
            <w:pPr>
              <w:pStyle w:val="Compact"/>
            </w:pPr>
            <w:r>
              <w:t>Simplifié</w:t>
            </w:r>
          </w:p>
        </w:tc>
      </w:tr>
      <w:tr w:rsidR="00E72EE9" w14:paraId="6A11B001" w14:textId="77777777">
        <w:tc>
          <w:tcPr>
            <w:tcW w:w="0" w:type="auto"/>
          </w:tcPr>
          <w:p w14:paraId="6A11B002" w14:textId="77777777" w:rsidR="00E72EE9" w:rsidRDefault="00000000">
            <w:pPr>
              <w:pStyle w:val="Compact"/>
            </w:pPr>
            <w:r>
              <w:t>Données tick / order flow</w:t>
            </w:r>
          </w:p>
        </w:tc>
        <w:tc>
          <w:tcPr>
            <w:tcW w:w="0" w:type="auto"/>
          </w:tcPr>
          <w:p w14:paraId="6A11B003" w14:textId="77777777" w:rsidR="00E72EE9" w:rsidRDefault="00000000">
            <w:pPr>
              <w:pStyle w:val="Compact"/>
            </w:pPr>
            <w:r>
              <w:t xml:space="preserve">Résolution </w:t>
            </w:r>
            <w:r>
              <w:rPr>
                <w:rStyle w:val="VerbatimChar"/>
              </w:rPr>
              <w:t>Tick</w:t>
            </w:r>
            <w:r>
              <w:t xml:space="preserve"> / </w:t>
            </w:r>
            <w:r>
              <w:rPr>
                <w:rStyle w:val="VerbatimChar"/>
              </w:rPr>
              <w:t>Quote</w:t>
            </w:r>
            <w:r>
              <w:t xml:space="preserve"> natives : vrai footprint order-flow possible</w:t>
            </w:r>
          </w:p>
        </w:tc>
        <w:tc>
          <w:tcPr>
            <w:tcW w:w="0" w:type="auto"/>
          </w:tcPr>
          <w:p w14:paraId="6A11B004" w14:textId="77777777" w:rsidR="00E72EE9" w:rsidRDefault="00000000">
            <w:pPr>
              <w:pStyle w:val="Compact"/>
            </w:pPr>
            <w:r>
              <w:t>Dépend de fournisseurs tiers (pas de simulation tick native)</w:t>
            </w:r>
          </w:p>
        </w:tc>
      </w:tr>
      <w:tr w:rsidR="00E72EE9" w14:paraId="459ED4CE" w14:textId="77777777">
        <w:tc>
          <w:tcPr>
            <w:tcW w:w="0" w:type="auto"/>
          </w:tcPr>
          <w:p w14:paraId="622A35CB" w14:textId="77777777" w:rsidR="00E72EE9" w:rsidRDefault="00000000">
            <w:pPr>
              <w:pStyle w:val="Compact"/>
            </w:pPr>
            <w:r>
              <w:t>Look-ahead bias</w:t>
            </w:r>
          </w:p>
        </w:tc>
        <w:tc>
          <w:tcPr>
            <w:tcW w:w="0" w:type="auto"/>
          </w:tcPr>
          <w:p w14:paraId="085EA4A3" w14:textId="77777777" w:rsidR="00E72EE9" w:rsidRDefault="00000000">
            <w:pPr>
              <w:pStyle w:val="Compact"/>
            </w:pPr>
            <w:r>
              <w:t>Impossible par construction</w:t>
            </w:r>
          </w:p>
        </w:tc>
        <w:tc>
          <w:tcPr>
            <w:tcW w:w="0" w:type="auto"/>
          </w:tcPr>
          <w:p w14:paraId="31DEA64E" w14:textId="77777777" w:rsidR="00E72EE9" w:rsidRDefault="00000000">
            <w:pPr>
              <w:pStyle w:val="Compact"/>
            </w:pPr>
            <w:r>
              <w:t>Possible si le code est mal écrit</w:t>
            </w:r>
          </w:p>
        </w:tc>
      </w:tr>
      <w:tr w:rsidR="00E72EE9" w14:paraId="09D70AD6" w14:textId="77777777">
        <w:tc>
          <w:tcPr>
            <w:tcW w:w="0" w:type="auto"/>
          </w:tcPr>
          <w:p w14:paraId="7956ADD6" w14:textId="77777777" w:rsidR="00E72EE9" w:rsidRDefault="00000000">
            <w:pPr>
              <w:pStyle w:val="Compact"/>
            </w:pPr>
            <w:r>
              <w:t>Passage au trading réel</w:t>
            </w:r>
          </w:p>
        </w:tc>
        <w:tc>
          <w:tcPr>
            <w:tcW w:w="0" w:type="auto"/>
          </w:tcPr>
          <w:p w14:paraId="0D57E421" w14:textId="77777777" w:rsidR="00E72EE9" w:rsidRDefault="00000000">
            <w:pPr>
              <w:pStyle w:val="Compact"/>
            </w:pPr>
            <w:r>
              <w:t>Natif : le même code passe en live</w:t>
            </w:r>
          </w:p>
        </w:tc>
        <w:tc>
          <w:tcPr>
            <w:tcW w:w="0" w:type="auto"/>
          </w:tcPr>
          <w:p w14:paraId="7FD7835A" w14:textId="77777777" w:rsidR="00E72EE9" w:rsidRDefault="00000000">
            <w:pPr>
              <w:pStyle w:val="Compact"/>
            </w:pPr>
            <w:r>
              <w:t>Surtout recherche/backtest ; live limité</w:t>
            </w:r>
          </w:p>
        </w:tc>
      </w:tr>
      <w:tr w:rsidR="00E72EE9" w14:paraId="163FEC3B" w14:textId="77777777">
        <w:tc>
          <w:tcPr>
            <w:tcW w:w="0" w:type="auto"/>
          </w:tcPr>
          <w:p w14:paraId="19C76007" w14:textId="77777777" w:rsidR="00E72EE9" w:rsidRDefault="00000000">
            <w:pPr>
              <w:pStyle w:val="Compact"/>
            </w:pPr>
            <w:r>
              <w:t>Données</w:t>
            </w:r>
          </w:p>
        </w:tc>
        <w:tc>
          <w:tcPr>
            <w:tcW w:w="0" w:type="auto"/>
          </w:tcPr>
          <w:p w14:paraId="10BBAD6F" w14:textId="77777777" w:rsidR="00E72EE9" w:rsidRDefault="00000000">
            <w:pPr>
              <w:pStyle w:val="Compact"/>
            </w:pPr>
            <w:r>
              <w:t>Marketplace intégrée + connecteurs courtiers</w:t>
            </w:r>
          </w:p>
        </w:tc>
        <w:tc>
          <w:tcPr>
            <w:tcW w:w="0" w:type="auto"/>
          </w:tcPr>
          <w:p w14:paraId="0AF93A58" w14:textId="77777777" w:rsidR="00E72EE9" w:rsidRDefault="00000000">
            <w:pPr>
              <w:pStyle w:val="Compact"/>
            </w:pPr>
            <w:r>
              <w:t>Sources externes (yfinance, CSV, API…)</w:t>
            </w:r>
          </w:p>
        </w:tc>
      </w:tr>
      <w:tr w:rsidR="00E72EE9" w14:paraId="6E451461" w14:textId="77777777">
        <w:tc>
          <w:tcPr>
            <w:tcW w:w="0" w:type="auto"/>
          </w:tcPr>
          <w:p w14:paraId="2D5657FF" w14:textId="77777777" w:rsidR="00E72EE9" w:rsidRDefault="00000000">
            <w:pPr>
              <w:pStyle w:val="Compact"/>
            </w:pPr>
            <w:r>
              <w:t>Contrôle fin par ordre</w:t>
            </w:r>
          </w:p>
        </w:tc>
        <w:tc>
          <w:tcPr>
            <w:tcW w:w="0" w:type="auto"/>
          </w:tcPr>
          <w:p w14:paraId="647A8CD4" w14:textId="77777777" w:rsidR="00E72EE9" w:rsidRDefault="00000000">
            <w:pPr>
              <w:pStyle w:val="Compact"/>
            </w:pPr>
            <w:r>
              <w:t>Granulaire et natif</w:t>
            </w:r>
          </w:p>
        </w:tc>
        <w:tc>
          <w:tcPr>
            <w:tcW w:w="0" w:type="auto"/>
          </w:tcPr>
          <w:p w14:paraId="4C798DE3" w14:textId="77777777" w:rsidR="00E72EE9" w:rsidRDefault="00000000">
            <w:pPr>
              <w:pStyle w:val="Compact"/>
            </w:pPr>
            <w:r>
              <w:t>Via callbacks (surtout en Pro)</w:t>
            </w:r>
          </w:p>
        </w:tc>
      </w:tr>
      <w:tr w:rsidR="00E72EE9" w14:paraId="3FA531C0" w14:textId="77777777">
        <w:tc>
          <w:tcPr>
            <w:tcW w:w="0" w:type="auto"/>
          </w:tcPr>
          <w:p w14:paraId="6B2BC20D" w14:textId="77777777" w:rsidR="00E72EE9" w:rsidRDefault="00000000">
            <w:pPr>
              <w:pStyle w:val="Compact"/>
            </w:pPr>
            <w:r>
              <w:t>Courbe d’apprentissage</w:t>
            </w:r>
          </w:p>
        </w:tc>
        <w:tc>
          <w:tcPr>
            <w:tcW w:w="0" w:type="auto"/>
          </w:tcPr>
          <w:p w14:paraId="08C04D75" w14:textId="77777777" w:rsidR="00E72EE9" w:rsidRDefault="00000000">
            <w:pPr>
              <w:pStyle w:val="Compact"/>
            </w:pPr>
            <w:r>
              <w:t xml:space="preserve">Cadre structuré </w:t>
            </w:r>
            <w:r>
              <w:rPr>
                <w:rStyle w:val="VerbatimChar"/>
              </w:rPr>
              <w:t>QCAlgorithm</w:t>
            </w:r>
          </w:p>
        </w:tc>
        <w:tc>
          <w:tcPr>
            <w:tcW w:w="0" w:type="auto"/>
          </w:tcPr>
          <w:p w14:paraId="54684829" w14:textId="77777777" w:rsidR="00E72EE9" w:rsidRDefault="00000000">
            <w:pPr>
              <w:pStyle w:val="Compact"/>
            </w:pPr>
            <w:r>
              <w:t>API pandas/NumPy familière</w:t>
            </w:r>
          </w:p>
        </w:tc>
      </w:tr>
      <w:tr w:rsidR="00E72EE9" w14:paraId="2C9A3D6D" w14:textId="77777777">
        <w:tc>
          <w:tcPr>
            <w:tcW w:w="0" w:type="auto"/>
          </w:tcPr>
          <w:p w14:paraId="3F7258F5" w14:textId="77777777" w:rsidR="00E72EE9" w:rsidRDefault="00000000">
            <w:pPr>
              <w:pStyle w:val="Compact"/>
            </w:pPr>
            <w:r>
              <w:t>Coût</w:t>
            </w:r>
          </w:p>
        </w:tc>
        <w:tc>
          <w:tcPr>
            <w:tcW w:w="0" w:type="auto"/>
          </w:tcPr>
          <w:p w14:paraId="20CB906A" w14:textId="77777777" w:rsidR="00E72EE9" w:rsidRDefault="00000000">
            <w:pPr>
              <w:pStyle w:val="Compact"/>
            </w:pPr>
            <w:r>
              <w:t>Cloud freemium ; moteur gratuit en local</w:t>
            </w:r>
          </w:p>
        </w:tc>
        <w:tc>
          <w:tcPr>
            <w:tcW w:w="0" w:type="auto"/>
          </w:tcPr>
          <w:p w14:paraId="3C6FEB14" w14:textId="77777777" w:rsidR="00E72EE9" w:rsidRDefault="00000000">
            <w:pPr>
              <w:pStyle w:val="Compact"/>
            </w:pPr>
            <w:r>
              <w:t>Vectorbt gratuit ; Pro payant</w:t>
            </w:r>
          </w:p>
        </w:tc>
      </w:tr>
    </w:tbl>
    <w:p w14:paraId="34334C4D" w14:textId="77777777" w:rsidR="00E72EE9" w:rsidRDefault="00000000">
      <w:pPr>
        <w:pStyle w:val="Heading3"/>
      </w:pPr>
      <w:bookmarkStart w:id="36" w:name="avantages-et-inconvénients"/>
      <w:bookmarkEnd w:id="35"/>
      <w:r>
        <w:t>Avantages et inconvénients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4"/>
        <w:gridCol w:w="6108"/>
        <w:gridCol w:w="6724"/>
      </w:tblGrid>
      <w:tr w:rsidR="00E72EE9" w14:paraId="7B0C485B" w14:textId="77777777" w:rsidTr="00E72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02E750" w14:textId="77777777" w:rsidR="00E72EE9" w:rsidRDefault="00E72EE9">
            <w:pPr>
              <w:pStyle w:val="Compact"/>
            </w:pPr>
          </w:p>
        </w:tc>
        <w:tc>
          <w:tcPr>
            <w:tcW w:w="0" w:type="auto"/>
          </w:tcPr>
          <w:p w14:paraId="1D70AA87" w14:textId="77777777" w:rsidR="00E72EE9" w:rsidRDefault="00000000">
            <w:pPr>
              <w:pStyle w:val="Compact"/>
            </w:pPr>
            <w:r>
              <w:t>QuantConnect LEAN</w:t>
            </w:r>
          </w:p>
        </w:tc>
        <w:tc>
          <w:tcPr>
            <w:tcW w:w="0" w:type="auto"/>
          </w:tcPr>
          <w:p w14:paraId="064AB4F1" w14:textId="77777777" w:rsidR="00E72EE9" w:rsidRDefault="00000000">
            <w:pPr>
              <w:pStyle w:val="Compact"/>
            </w:pPr>
            <w:r>
              <w:t>Vectorbt / Vectorbt Pro</w:t>
            </w:r>
          </w:p>
        </w:tc>
      </w:tr>
      <w:tr w:rsidR="00E72EE9" w14:paraId="791A779C" w14:textId="77777777">
        <w:tc>
          <w:tcPr>
            <w:tcW w:w="0" w:type="auto"/>
          </w:tcPr>
          <w:p w14:paraId="2140BDDA" w14:textId="77777777" w:rsidR="00E72EE9" w:rsidRDefault="00000000">
            <w:pPr>
              <w:pStyle w:val="Compact"/>
            </w:pPr>
            <w:r>
              <w:rPr>
                <w:b/>
                <w:bCs/>
              </w:rPr>
              <w:t>Avantages</w:t>
            </w:r>
          </w:p>
        </w:tc>
        <w:tc>
          <w:tcPr>
            <w:tcW w:w="0" w:type="auto"/>
          </w:tcPr>
          <w:p w14:paraId="4BC01229" w14:textId="77777777" w:rsidR="00E72EE9" w:rsidRDefault="00000000">
            <w:pPr>
              <w:pStyle w:val="Compact"/>
            </w:pPr>
            <w:r>
              <w:t>Réalisme élevé ; pas de look-ahead ; passage au live sans réécriture ; données et classes d’actifs intégrées ; gestion fine des ordres</w:t>
            </w:r>
          </w:p>
        </w:tc>
        <w:tc>
          <w:tcPr>
            <w:tcW w:w="0" w:type="auto"/>
          </w:tcPr>
          <w:p w14:paraId="2285910D" w14:textId="77777777" w:rsidR="00E72EE9" w:rsidRDefault="00000000">
            <w:pPr>
              <w:pStyle w:val="Compact"/>
            </w:pPr>
            <w:r>
              <w:t>Vitesse extrême ; exploration massive de paramètres ; analyse statistique riche (</w:t>
            </w:r>
            <w:r>
              <w:rPr>
                <w:rStyle w:val="VerbatimChar"/>
              </w:rPr>
              <w:t>stats()</w:t>
            </w:r>
            <w:r>
              <w:t>) ; idéal pour la recherche et le machine learning</w:t>
            </w:r>
          </w:p>
        </w:tc>
      </w:tr>
      <w:tr w:rsidR="00E72EE9" w14:paraId="73849DAA" w14:textId="77777777">
        <w:tc>
          <w:tcPr>
            <w:tcW w:w="0" w:type="auto"/>
          </w:tcPr>
          <w:p w14:paraId="076B9E5A" w14:textId="77777777" w:rsidR="00E72EE9" w:rsidRDefault="00000000">
            <w:pPr>
              <w:pStyle w:val="Compact"/>
            </w:pPr>
            <w:r>
              <w:rPr>
                <w:b/>
                <w:bCs/>
              </w:rPr>
              <w:t>Inconvénients</w:t>
            </w:r>
          </w:p>
        </w:tc>
        <w:tc>
          <w:tcPr>
            <w:tcW w:w="0" w:type="auto"/>
          </w:tcPr>
          <w:p w14:paraId="46A68DC7" w14:textId="77777777" w:rsidR="00E72EE9" w:rsidRDefault="00000000">
            <w:pPr>
              <w:pStyle w:val="Compact"/>
            </w:pPr>
            <w:r>
              <w:t>Backtests plus lents ; optimisation coûteuse en calcul ; code plus verbeux ; dépendance à Docker / plateforme en local</w:t>
            </w:r>
          </w:p>
        </w:tc>
        <w:tc>
          <w:tcPr>
            <w:tcW w:w="0" w:type="auto"/>
          </w:tcPr>
          <w:p w14:paraId="7E99F623" w14:textId="77777777" w:rsidR="00E72EE9" w:rsidRDefault="00000000">
            <w:pPr>
              <w:pStyle w:val="Compact"/>
            </w:pPr>
            <w:r>
              <w:t>Risque de look-ahead ; modélisation moins réaliste ; pas de live natif robuste ; logique par-ordre plus complexe ; fonctions avancées payantes (Pro)</w:t>
            </w:r>
          </w:p>
        </w:tc>
      </w:tr>
    </w:tbl>
    <w:p w14:paraId="41A173D3" w14:textId="77777777" w:rsidR="00E72EE9" w:rsidRDefault="00000000">
      <w:pPr>
        <w:pStyle w:val="BodyText"/>
      </w:pPr>
      <w:r>
        <w:rPr>
          <w:b/>
          <w:bCs/>
        </w:rPr>
        <w:t>En résumé</w:t>
      </w:r>
      <w:r>
        <w:t xml:space="preserve"> : on choisit </w:t>
      </w:r>
      <w:r>
        <w:rPr>
          <w:b/>
          <w:bCs/>
        </w:rPr>
        <w:t>LEAN</w:t>
      </w:r>
      <w:r>
        <w:t xml:space="preserve"> pour la fidélité au marché réel et le passage en production, et </w:t>
      </w:r>
      <w:r>
        <w:rPr>
          <w:b/>
          <w:bCs/>
        </w:rPr>
        <w:t>Vectorbt</w:t>
      </w:r>
      <w:r>
        <w:t xml:space="preserve"> pour la rapidité de recherche et l’exploration de très nombreuses idées. Les deux sont complémentaires : prototyper et filtrer des idées sous Vectorbt, puis valider et déployer la meilleure sous LEAN, est un flux de travail courant.</w:t>
      </w:r>
    </w:p>
    <w:p w14:paraId="69E5433C" w14:textId="77777777" w:rsidR="00E72EE9" w:rsidRDefault="00000000">
      <w:r>
        <w:pict w14:anchorId="665FACE4">
          <v:rect id="_x0000_i1041" style="width:0;height:1.5pt" o:hralign="center" o:hrstd="t" o:hr="t"/>
        </w:pict>
      </w:r>
    </w:p>
    <w:p w14:paraId="1B514FFB" w14:textId="77777777" w:rsidR="00E72EE9" w:rsidRDefault="00000000">
      <w:pPr>
        <w:pStyle w:val="Heading2"/>
      </w:pPr>
      <w:bookmarkStart w:id="37" w:name="exemple-12-stratégie-avancée-complète"/>
      <w:bookmarkStart w:id="38" w:name="_Toc233711073"/>
      <w:bookmarkEnd w:id="32"/>
      <w:bookmarkEnd w:id="36"/>
      <w:r>
        <w:t>Exemple 12 — Stratégie avancée complète</w:t>
      </w:r>
      <w:bookmarkEnd w:id="38"/>
    </w:p>
    <w:p w14:paraId="19761B57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réunir en une seule stratégie la plupart des concepts précédents. Il s’agit d’une </w:t>
      </w:r>
      <w:r>
        <w:rPr>
          <w:b/>
          <w:bCs/>
        </w:rPr>
        <w:t>stratégie multi-actifs de suivi de tendance, filtrée par le régime de marché et pilotée par le risque</w:t>
      </w:r>
      <w:r>
        <w:t xml:space="preserve"> :</w:t>
      </w:r>
    </w:p>
    <w:p w14:paraId="63039333" w14:textId="77777777" w:rsidR="00E72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Univers</w:t>
      </w:r>
      <w:r>
        <w:t xml:space="preserve"> : </w:t>
      </w:r>
      <w:r>
        <w:rPr>
          <w:rStyle w:val="VerbatimChar"/>
        </w:rPr>
        <w:t>AAPL</w:t>
      </w:r>
      <w:r>
        <w:t xml:space="preserve">, </w:t>
      </w:r>
      <w:r>
        <w:rPr>
          <w:rStyle w:val="VerbatimChar"/>
        </w:rPr>
        <w:t>MSFT</w:t>
      </w:r>
      <w:r>
        <w:t xml:space="preserve">, </w:t>
      </w:r>
      <w:r>
        <w:rPr>
          <w:rStyle w:val="VerbatimChar"/>
        </w:rPr>
        <w:t>GOOG</w:t>
      </w:r>
      <w:r>
        <w:t>.</w:t>
      </w:r>
    </w:p>
    <w:p w14:paraId="1B32E704" w14:textId="77777777" w:rsidR="00E72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Filtre de régime</w:t>
      </w:r>
      <w:r>
        <w:t xml:space="preserve"> : on ne prend position que si le prix est au-dessus de sa SMA 200 (tendance de fond haussière).</w:t>
      </w:r>
    </w:p>
    <w:p w14:paraId="0AD555FB" w14:textId="77777777" w:rsidR="00E72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Signal d’entrée</w:t>
      </w:r>
      <w:r>
        <w:t xml:space="preserve"> : confirmation de momentum — ligne MACD au-dessus de sa ligne de signal </w:t>
      </w:r>
      <w:r>
        <w:rPr>
          <w:b/>
          <w:bCs/>
        </w:rPr>
        <w:t>et</w:t>
      </w:r>
      <w:r>
        <w:t xml:space="preserve"> RSI(14) &gt; 50.</w:t>
      </w:r>
    </w:p>
    <w:p w14:paraId="35502346" w14:textId="77777777" w:rsidR="00E72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Dimensionnement par le risque</w:t>
      </w:r>
      <w:r>
        <w:t xml:space="preserve"> : on risque </w:t>
      </w:r>
      <w:r>
        <w:rPr>
          <w:b/>
          <w:bCs/>
        </w:rPr>
        <w:t>1 % du capital</w:t>
      </w:r>
      <w:r>
        <w:t xml:space="preserve"> par position ; la taille se déduit de la distance au stop (volatilité mesurée par l’ATR).</w:t>
      </w:r>
    </w:p>
    <w:p w14:paraId="5E660AE5" w14:textId="77777777" w:rsidR="00E72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Stop suiveur</w:t>
      </w:r>
      <w:r>
        <w:t xml:space="preserve"> : 2 × ATR(14) sous le plus haut atteint depuis l’entrée.</w:t>
      </w:r>
    </w:p>
    <w:p w14:paraId="0BBCE490" w14:textId="77777777" w:rsidR="00E72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Take-profit</w:t>
      </w:r>
      <w:r>
        <w:t xml:space="preserve"> : 4 × ATR au-dessus de l’entrée (ratio risque/rendement 2:1).</w:t>
      </w:r>
    </w:p>
    <w:p w14:paraId="689914F8" w14:textId="77777777" w:rsidR="00E72EE9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Limite d’exposition</w:t>
      </w:r>
      <w:r>
        <w:t xml:space="preserve"> : 3 positions simultanées au maximum.</w:t>
      </w:r>
    </w:p>
    <w:p w14:paraId="53C651D3" w14:textId="77777777" w:rsidR="00E72EE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vectorbt </w:t>
      </w:r>
      <w:r>
        <w:rPr>
          <w:rStyle w:val="ImportTok"/>
        </w:rPr>
        <w:t>as</w:t>
      </w:r>
      <w:r>
        <w:rPr>
          <w:rStyle w:val="NormalTok"/>
        </w:rPr>
        <w:t xml:space="preserve"> vbt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  <w:br/>
      </w:r>
      <w:r>
        <w:rPr>
          <w:rStyle w:val="NormalTok"/>
        </w:rPr>
        <w:t xml:space="preserve">tickers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"AAPL"</w:t>
      </w:r>
      <w:r>
        <w:rPr>
          <w:rStyle w:val="NormalTok"/>
        </w:rPr>
        <w:t xml:space="preserve">, </w:t>
      </w:r>
      <w:r>
        <w:rPr>
          <w:rStyle w:val="StringTok"/>
        </w:rPr>
        <w:t>"MSFT"</w:t>
      </w:r>
      <w:r>
        <w:rPr>
          <w:rStyle w:val="NormalTok"/>
        </w:rPr>
        <w:t xml:space="preserve">, </w:t>
      </w:r>
      <w:r>
        <w:rPr>
          <w:rStyle w:val="StringTok"/>
        </w:rPr>
        <w:t>"GOOG"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vbt.YFData.download(</w:t>
      </w:r>
      <w:r>
        <w:br/>
      </w:r>
      <w:r>
        <w:rPr>
          <w:rStyle w:val="NormalTok"/>
        </w:rPr>
        <w:t xml:space="preserve">    tickers, start</w:t>
      </w:r>
      <w:r>
        <w:rPr>
          <w:rStyle w:val="OperatorTok"/>
        </w:rPr>
        <w:t>=</w:t>
      </w:r>
      <w:r>
        <w:rPr>
          <w:rStyle w:val="StringTok"/>
        </w:rPr>
        <w:t>"2020-01-01"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"2023-12-31"</w:t>
      </w:r>
      <w:r>
        <w:rPr>
          <w:rStyle w:val="NormalTok"/>
        </w:rPr>
        <w:t>, missing_index</w:t>
      </w:r>
      <w:r>
        <w:rPr>
          <w:rStyle w:val="OperatorTok"/>
        </w:rPr>
        <w:t>=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close </w:t>
      </w:r>
      <w:r>
        <w:rPr>
          <w:rStyle w:val="OperatorTok"/>
        </w:rPr>
        <w:t>=</w:t>
      </w:r>
      <w:r>
        <w:rPr>
          <w:rStyle w:val="NormalTok"/>
        </w:rPr>
        <w:t xml:space="preserve"> data.get(</w:t>
      </w:r>
      <w:r>
        <w:rPr>
          <w:rStyle w:val="StringTok"/>
        </w:rPr>
        <w:t>"Close"</w:t>
      </w:r>
      <w:r>
        <w:rPr>
          <w:rStyle w:val="NormalTok"/>
        </w:rPr>
        <w:t xml:space="preserve">)   </w:t>
      </w:r>
      <w:r>
        <w:rPr>
          <w:rStyle w:val="CommentTok"/>
        </w:rPr>
        <w:t># DataFrame : une colonne par actif</w:t>
      </w:r>
      <w:r>
        <w:br/>
      </w:r>
      <w:r>
        <w:rPr>
          <w:rStyle w:val="NormalTok"/>
        </w:rPr>
        <w:t xml:space="preserve">high </w:t>
      </w:r>
      <w:r>
        <w:rPr>
          <w:rStyle w:val="OperatorTok"/>
        </w:rPr>
        <w:t>=</w:t>
      </w:r>
      <w:r>
        <w:rPr>
          <w:rStyle w:val="NormalTok"/>
        </w:rPr>
        <w:t xml:space="preserve"> data.get(</w:t>
      </w:r>
      <w:r>
        <w:rPr>
          <w:rStyle w:val="StringTok"/>
        </w:rPr>
        <w:t>"High"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low </w:t>
      </w:r>
      <w:r>
        <w:rPr>
          <w:rStyle w:val="OperatorTok"/>
        </w:rPr>
        <w:t>=</w:t>
      </w:r>
      <w:r>
        <w:rPr>
          <w:rStyle w:val="NormalTok"/>
        </w:rPr>
        <w:t xml:space="preserve"> data.get(</w:t>
      </w:r>
      <w:r>
        <w:rPr>
          <w:rStyle w:val="StringTok"/>
        </w:rPr>
        <w:t>"Low"</w:t>
      </w:r>
      <w:r>
        <w:rPr>
          <w:rStyle w:val="NormalTok"/>
        </w:rPr>
        <w:t>)</w:t>
      </w:r>
      <w:r>
        <w:br/>
        <w:br/>
      </w:r>
      <w:r>
        <w:rPr>
          <w:rStyle w:val="CommentTok"/>
        </w:rPr>
        <w:t># Les indicateurs vbt ajoutent un niveau de paramètre aux colonnes ; on réaligne</w:t>
      </w:r>
      <w:r>
        <w:br/>
      </w:r>
      <w:r>
        <w:rPr>
          <w:rStyle w:val="CommentTok"/>
        </w:rPr>
        <w:t># proprement sur les colonnes d'origine (les tickers) pour pouvoir les combiner.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aligner(df):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df.columns </w:t>
      </w:r>
      <w:r>
        <w:rPr>
          <w:rStyle w:val="OperatorTok"/>
        </w:rPr>
        <w:t>=</w:t>
      </w:r>
      <w:r>
        <w:rPr>
          <w:rStyle w:val="NormalTok"/>
        </w:rPr>
        <w:t xml:space="preserve"> close.columns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df</w:t>
      </w:r>
      <w:r>
        <w:br/>
        <w:br/>
      </w:r>
      <w:r>
        <w:rPr>
          <w:rStyle w:val="CommentTok"/>
        </w:rPr>
        <w:t># --- Indicateurs calculés sur tout l'historique, pour les 3 actifs à la fois ---</w:t>
      </w:r>
      <w:r>
        <w:br/>
      </w:r>
      <w:r>
        <w:rPr>
          <w:rStyle w:val="NormalTok"/>
        </w:rPr>
        <w:t xml:space="preserve">sma200 </w:t>
      </w:r>
      <w:r>
        <w:rPr>
          <w:rStyle w:val="OperatorTok"/>
        </w:rPr>
        <w:t>=</w:t>
      </w:r>
      <w:r>
        <w:rPr>
          <w:rStyle w:val="NormalTok"/>
        </w:rPr>
        <w:t xml:space="preserve"> aligner(vbt.MA.run(close, </w:t>
      </w:r>
      <w:r>
        <w:rPr>
          <w:rStyle w:val="DecValTok"/>
        </w:rPr>
        <w:t>200</w:t>
      </w:r>
      <w:r>
        <w:rPr>
          <w:rStyle w:val="NormalTok"/>
        </w:rPr>
        <w:t>).ma)</w:t>
      </w:r>
      <w:r>
        <w:br/>
      </w:r>
      <w:r>
        <w:rPr>
          <w:rStyle w:val="NormalTok"/>
        </w:rPr>
        <w:t xml:space="preserve">macd </w:t>
      </w:r>
      <w:r>
        <w:rPr>
          <w:rStyle w:val="OperatorTok"/>
        </w:rPr>
        <w:t>=</w:t>
      </w:r>
      <w:r>
        <w:rPr>
          <w:rStyle w:val="NormalTok"/>
        </w:rPr>
        <w:t xml:space="preserve"> vbt.MACD.run(close, fast_window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, slow_window</w:t>
      </w:r>
      <w:r>
        <w:rPr>
          <w:rStyle w:val="OperatorTok"/>
        </w:rPr>
        <w:t>=</w:t>
      </w:r>
      <w:r>
        <w:rPr>
          <w:rStyle w:val="DecValTok"/>
        </w:rPr>
        <w:t>26</w:t>
      </w:r>
      <w:r>
        <w:rPr>
          <w:rStyle w:val="NormalTok"/>
        </w:rPr>
        <w:t>, signal_window</w:t>
      </w:r>
      <w:r>
        <w:rPr>
          <w:rStyle w:val="OperatorTok"/>
        </w:rPr>
        <w:t>=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macd_line </w:t>
      </w:r>
      <w:r>
        <w:rPr>
          <w:rStyle w:val="OperatorTok"/>
        </w:rPr>
        <w:t>=</w:t>
      </w:r>
      <w:r>
        <w:rPr>
          <w:rStyle w:val="NormalTok"/>
        </w:rPr>
        <w:t xml:space="preserve"> aligner(macd.macd)</w:t>
      </w:r>
      <w:r>
        <w:br/>
      </w:r>
      <w:r>
        <w:rPr>
          <w:rStyle w:val="NormalTok"/>
        </w:rPr>
        <w:t xml:space="preserve">macd_signal </w:t>
      </w:r>
      <w:r>
        <w:rPr>
          <w:rStyle w:val="OperatorTok"/>
        </w:rPr>
        <w:t>=</w:t>
      </w:r>
      <w:r>
        <w:rPr>
          <w:rStyle w:val="NormalTok"/>
        </w:rPr>
        <w:t xml:space="preserve"> aligner(macd.signal)</w:t>
      </w:r>
      <w:r>
        <w:br/>
      </w:r>
      <w:r>
        <w:rPr>
          <w:rStyle w:val="NormalTok"/>
        </w:rPr>
        <w:t xml:space="preserve">rsi </w:t>
      </w:r>
      <w:r>
        <w:rPr>
          <w:rStyle w:val="OperatorTok"/>
        </w:rPr>
        <w:t>=</w:t>
      </w:r>
      <w:r>
        <w:rPr>
          <w:rStyle w:val="NormalTok"/>
        </w:rPr>
        <w:t xml:space="preserve"> aligner(vbt.RSI.run(close, window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).rsi)</w:t>
      </w:r>
      <w:r>
        <w:br/>
      </w:r>
      <w:r>
        <w:rPr>
          <w:rStyle w:val="NormalTok"/>
        </w:rPr>
        <w:t xml:space="preserve">atr </w:t>
      </w:r>
      <w:r>
        <w:rPr>
          <w:rStyle w:val="OperatorTok"/>
        </w:rPr>
        <w:t>=</w:t>
      </w:r>
      <w:r>
        <w:rPr>
          <w:rStyle w:val="NormalTok"/>
        </w:rPr>
        <w:t xml:space="preserve"> aligner(vbt.ATR.run(high, low, close, window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).atr)</w:t>
      </w:r>
      <w:r>
        <w:br/>
        <w:br/>
      </w:r>
      <w:r>
        <w:rPr>
          <w:rStyle w:val="CommentTok"/>
        </w:rPr>
        <w:t># --- Filtre de régime + confirmation de momentum ---</w:t>
      </w:r>
      <w:r>
        <w:br/>
      </w:r>
      <w:r>
        <w:rPr>
          <w:rStyle w:val="NormalTok"/>
        </w:rPr>
        <w:t xml:space="preserve">regime_haussier </w:t>
      </w:r>
      <w:r>
        <w:rPr>
          <w:rStyle w:val="OperatorTok"/>
        </w:rPr>
        <w:t>=</w:t>
      </w:r>
      <w:r>
        <w:rPr>
          <w:rStyle w:val="NormalTok"/>
        </w:rPr>
        <w:t xml:space="preserve"> close </w:t>
      </w:r>
      <w:r>
        <w:rPr>
          <w:rStyle w:val="OperatorTok"/>
        </w:rPr>
        <w:t>&gt;</w:t>
      </w:r>
      <w:r>
        <w:rPr>
          <w:rStyle w:val="NormalTok"/>
        </w:rPr>
        <w:t xml:space="preserve"> sma200</w:t>
      </w:r>
      <w:r>
        <w:br/>
      </w:r>
      <w:r>
        <w:rPr>
          <w:rStyle w:val="NormalTok"/>
        </w:rPr>
        <w:t xml:space="preserve">momentum </w:t>
      </w:r>
      <w:r>
        <w:rPr>
          <w:rStyle w:val="OperatorTok"/>
        </w:rPr>
        <w:t>=</w:t>
      </w:r>
      <w:r>
        <w:rPr>
          <w:rStyle w:val="NormalTok"/>
        </w:rPr>
        <w:t xml:space="preserve"> (macd_line </w:t>
      </w:r>
      <w:r>
        <w:rPr>
          <w:rStyle w:val="OperatorTok"/>
        </w:rPr>
        <w:t>&gt;</w:t>
      </w:r>
      <w:r>
        <w:rPr>
          <w:rStyle w:val="NormalTok"/>
        </w:rPr>
        <w:t xml:space="preserve"> macd_signal) </w:t>
      </w:r>
      <w:r>
        <w:rPr>
          <w:rStyle w:val="OperatorTok"/>
        </w:rPr>
        <w:t>&amp;</w:t>
      </w:r>
      <w:r>
        <w:rPr>
          <w:rStyle w:val="NormalTok"/>
        </w:rPr>
        <w:t xml:space="preserve"> (rsi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entries </w:t>
      </w:r>
      <w:r>
        <w:rPr>
          <w:rStyle w:val="OperatorTok"/>
        </w:rPr>
        <w:t>=</w:t>
      </w:r>
      <w:r>
        <w:rPr>
          <w:rStyle w:val="NormalTok"/>
        </w:rPr>
        <w:t xml:space="preserve"> regime_haussier </w:t>
      </w:r>
      <w:r>
        <w:rPr>
          <w:rStyle w:val="OperatorTok"/>
        </w:rPr>
        <w:t>&amp;</w:t>
      </w:r>
      <w:r>
        <w:rPr>
          <w:rStyle w:val="NormalTok"/>
        </w:rPr>
        <w:t xml:space="preserve"> momentum</w:t>
      </w:r>
      <w:r>
        <w:br/>
        <w:br/>
      </w:r>
      <w:r>
        <w:rPr>
          <w:rStyle w:val="CommentTok"/>
        </w:rPr>
        <w:t># Sortie « logique » : perte du régime ou du momentum.</w:t>
      </w:r>
      <w:r>
        <w:br/>
      </w:r>
      <w:r>
        <w:rPr>
          <w:rStyle w:val="CommentTok"/>
        </w:rPr>
        <w:t># Les stops ATR ci-dessous gèrent les sorties de risque.</w:t>
      </w:r>
      <w:r>
        <w:br/>
      </w:r>
      <w:r>
        <w:rPr>
          <w:rStyle w:val="NormalTok"/>
        </w:rPr>
        <w:t xml:space="preserve">exits </w:t>
      </w:r>
      <w:r>
        <w:rPr>
          <w:rStyle w:val="OperatorTok"/>
        </w:rPr>
        <w:t>=</w:t>
      </w:r>
      <w:r>
        <w:rPr>
          <w:rStyle w:val="NormalTok"/>
        </w:rPr>
        <w:t xml:space="preserve"> (close </w:t>
      </w:r>
      <w:r>
        <w:rPr>
          <w:rStyle w:val="OperatorTok"/>
        </w:rPr>
        <w:t>&lt;</w:t>
      </w:r>
      <w:r>
        <w:rPr>
          <w:rStyle w:val="NormalTok"/>
        </w:rPr>
        <w:t xml:space="preserve"> sma200) </w:t>
      </w:r>
      <w:r>
        <w:rPr>
          <w:rStyle w:val="OperatorTok"/>
        </w:rPr>
        <w:t>|</w:t>
      </w:r>
      <w:r>
        <w:rPr>
          <w:rStyle w:val="NormalTok"/>
        </w:rPr>
        <w:t xml:space="preserve"> (macd_line </w:t>
      </w:r>
      <w:r>
        <w:rPr>
          <w:rStyle w:val="OperatorTok"/>
        </w:rPr>
        <w:t>&lt;</w:t>
      </w:r>
      <w:r>
        <w:rPr>
          <w:rStyle w:val="NormalTok"/>
        </w:rPr>
        <w:t xml:space="preserve"> macd_signal)</w:t>
      </w:r>
      <w:r>
        <w:br/>
        <w:lastRenderedPageBreak/>
        <w:br/>
      </w:r>
      <w:r>
        <w:rPr>
          <w:rStyle w:val="CommentTok"/>
        </w:rPr>
        <w:t># --- Stops dynamiques basés sur l'ATR, exprimés en fraction du prix ---</w:t>
      </w:r>
      <w:r>
        <w:br/>
      </w:r>
      <w:r>
        <w:rPr>
          <w:rStyle w:val="NormalTok"/>
        </w:rPr>
        <w:t xml:space="preserve">ts_stop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2.0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atr) </w:t>
      </w:r>
      <w:r>
        <w:rPr>
          <w:rStyle w:val="OperatorTok"/>
        </w:rPr>
        <w:t>/</w:t>
      </w:r>
      <w:r>
        <w:rPr>
          <w:rStyle w:val="NormalTok"/>
        </w:rPr>
        <w:t xml:space="preserve"> close    </w:t>
      </w:r>
      <w:r>
        <w:rPr>
          <w:rStyle w:val="CommentTok"/>
        </w:rPr>
        <w:t># stop suiveur à 2 x ATR</w:t>
      </w:r>
      <w:r>
        <w:br/>
      </w:r>
      <w:r>
        <w:rPr>
          <w:rStyle w:val="NormalTok"/>
        </w:rPr>
        <w:t xml:space="preserve">tp_stop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4.0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atr) </w:t>
      </w:r>
      <w:r>
        <w:rPr>
          <w:rStyle w:val="OperatorTok"/>
        </w:rPr>
        <w:t>/</w:t>
      </w:r>
      <w:r>
        <w:rPr>
          <w:rStyle w:val="NormalTok"/>
        </w:rPr>
        <w:t xml:space="preserve"> close    </w:t>
      </w:r>
      <w:r>
        <w:rPr>
          <w:rStyle w:val="CommentTok"/>
        </w:rPr>
        <w:t># take-profit à 4 x ATR</w:t>
      </w:r>
      <w:r>
        <w:br/>
        <w:br/>
      </w:r>
      <w:r>
        <w:rPr>
          <w:rStyle w:val="CommentTok"/>
        </w:rPr>
        <w:t># --- Dimensionnement par le risque : 1 % du capital, taille en nombre d'actions ---</w:t>
      </w:r>
      <w:r>
        <w:br/>
      </w:r>
      <w:r>
        <w:rPr>
          <w:rStyle w:val="CommentTok"/>
        </w:rPr>
        <w:t># actions = (risque en $) / (distance au stop en $)</w:t>
      </w:r>
      <w:r>
        <w:br/>
      </w:r>
      <w:r>
        <w:rPr>
          <w:rStyle w:val="NormalTok"/>
        </w:rPr>
        <w:t xml:space="preserve">risque_dollars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100_000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NormalTok"/>
        </w:rPr>
        <w:t xml:space="preserve">taille_actions </w:t>
      </w:r>
      <w:r>
        <w:rPr>
          <w:rStyle w:val="OperatorTok"/>
        </w:rPr>
        <w:t>=</w:t>
      </w:r>
      <w:r>
        <w:rPr>
          <w:rStyle w:val="NormalTok"/>
        </w:rPr>
        <w:t xml:space="preserve"> risque_dollars </w:t>
      </w:r>
      <w:r>
        <w:rPr>
          <w:rStyle w:val="OperatorTok"/>
        </w:rPr>
        <w:t>/</w:t>
      </w:r>
      <w:r>
        <w:rPr>
          <w:rStyle w:val="NormalTok"/>
        </w:rPr>
        <w:t xml:space="preserve"> (</w:t>
      </w:r>
      <w:r>
        <w:rPr>
          <w:rStyle w:val="FloatTok"/>
        </w:rPr>
        <w:t>2.0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atr)</w:t>
      </w:r>
      <w:r>
        <w:br/>
        <w:br/>
      </w:r>
      <w:r>
        <w:rPr>
          <w:rStyle w:val="NormalTok"/>
        </w:rPr>
        <w:t xml:space="preserve">pf </w:t>
      </w:r>
      <w:r>
        <w:rPr>
          <w:rStyle w:val="OperatorTok"/>
        </w:rPr>
        <w:t>=</w:t>
      </w:r>
      <w:r>
        <w:rPr>
          <w:rStyle w:val="NormalTok"/>
        </w:rPr>
        <w:t xml:space="preserve"> vbt.Portfolio.from_signals(</w:t>
      </w:r>
      <w:r>
        <w:br/>
      </w:r>
      <w:r>
        <w:rPr>
          <w:rStyle w:val="NormalTok"/>
        </w:rPr>
        <w:t xml:space="preserve">    close, entries, exits,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>=</w:t>
      </w:r>
      <w:r>
        <w:rPr>
          <w:rStyle w:val="NormalTok"/>
        </w:rPr>
        <w:t>taille_actions, size_type</w:t>
      </w:r>
      <w:r>
        <w:rPr>
          <w:rStyle w:val="OperatorTok"/>
        </w:rPr>
        <w:t>=</w:t>
      </w:r>
      <w:r>
        <w:rPr>
          <w:rStyle w:val="StringTok"/>
        </w:rPr>
        <w:t>"amount"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ts_stop</w:t>
      </w:r>
      <w:r>
        <w:rPr>
          <w:rStyle w:val="OperatorTok"/>
        </w:rPr>
        <w:t>=</w:t>
      </w:r>
      <w:r>
        <w:rPr>
          <w:rStyle w:val="NormalTok"/>
        </w:rPr>
        <w:t>ts_stop, tp_stop</w:t>
      </w:r>
      <w:r>
        <w:rPr>
          <w:rStyle w:val="OperatorTok"/>
        </w:rPr>
        <w:t>=</w:t>
      </w:r>
      <w:r>
        <w:rPr>
          <w:rStyle w:val="NormalTok"/>
        </w:rPr>
        <w:t>tp_stop,</w:t>
      </w:r>
      <w:r>
        <w:br/>
      </w:r>
      <w:r>
        <w:rPr>
          <w:rStyle w:val="NormalTok"/>
        </w:rPr>
        <w:t xml:space="preserve">    init_cash</w:t>
      </w:r>
      <w:r>
        <w:rPr>
          <w:rStyle w:val="OperatorTok"/>
        </w:rPr>
        <w:t>=</w:t>
      </w:r>
      <w:r>
        <w:rPr>
          <w:rStyle w:val="DecValTok"/>
        </w:rPr>
        <w:t>100_000</w:t>
      </w:r>
      <w:r>
        <w:rPr>
          <w:rStyle w:val="NormalTok"/>
        </w:rPr>
        <w:t>, fees</w:t>
      </w:r>
      <w:r>
        <w:rPr>
          <w:rStyle w:val="OperatorTok"/>
        </w:rPr>
        <w:t>=</w:t>
      </w:r>
      <w:r>
        <w:rPr>
          <w:rStyle w:val="FloatTok"/>
        </w:rPr>
        <w:t>0.001</w:t>
      </w:r>
      <w:r>
        <w:rPr>
          <w:rStyle w:val="NormalTok"/>
        </w:rPr>
        <w:t>, freq</w:t>
      </w:r>
      <w:r>
        <w:rPr>
          <w:rStyle w:val="OperatorTok"/>
        </w:rPr>
        <w:t>=</w:t>
      </w:r>
      <w:r>
        <w:rPr>
          <w:rStyle w:val="StringTok"/>
        </w:rPr>
        <w:t>"1D"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group_by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cash_sharing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,   </w:t>
      </w:r>
      <w:r>
        <w:rPr>
          <w:rStyle w:val="CommentTok"/>
        </w:rPr>
        <w:t># un portefeuille partagé entre les 3 actifs</w:t>
      </w:r>
      <w:r>
        <w:br/>
      </w:r>
      <w:r>
        <w:rPr>
          <w:rStyle w:val="NormalTok"/>
        </w:rPr>
        <w:t>)</w:t>
      </w:r>
      <w:r>
        <w:br/>
        <w:br/>
      </w:r>
      <w:r>
        <w:rPr>
          <w:rStyle w:val="BuiltInTok"/>
        </w:rPr>
        <w:t>print</w:t>
      </w:r>
      <w:r>
        <w:rPr>
          <w:rStyle w:val="NormalTok"/>
        </w:rPr>
        <w:t>(pf.stats())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f"Valeur finale : </w:t>
      </w:r>
      <w:r>
        <w:rPr>
          <w:rStyle w:val="SpecialCharTok"/>
        </w:rPr>
        <w:t>{</w:t>
      </w:r>
      <w:r>
        <w:rPr>
          <w:rStyle w:val="NormalTok"/>
        </w:rPr>
        <w:t>pf</w:t>
      </w:r>
      <w:r>
        <w:rPr>
          <w:rStyle w:val="SpecialCharTok"/>
        </w:rPr>
        <w:t>.</w:t>
      </w:r>
      <w:r>
        <w:rPr>
          <w:rStyle w:val="NormalTok"/>
        </w:rPr>
        <w:t>final_value()</w:t>
      </w:r>
      <w:r>
        <w:rPr>
          <w:rStyle w:val="SpecialCharTok"/>
        </w:rPr>
        <w:t>:,.0f}</w:t>
      </w:r>
      <w:r>
        <w:rPr>
          <w:rStyle w:val="SpecialStringTok"/>
        </w:rPr>
        <w:t xml:space="preserve"> $"</w:t>
      </w:r>
      <w:r>
        <w:rPr>
          <w:rStyle w:val="NormalTok"/>
        </w:rPr>
        <w:t>)</w:t>
      </w:r>
    </w:p>
    <w:p w14:paraId="7A3DDC6C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cet exemple combine filtre de régime, multi-indicateurs (SMA, MACD, RSI, ATR), dimensionnement par le risque (volatilité) et stops ATR dynamiques — le tout </w:t>
      </w:r>
      <w:r>
        <w:rPr>
          <w:b/>
          <w:bCs/>
        </w:rPr>
        <w:t>vectorisé</w:t>
      </w:r>
      <w:r>
        <w:t xml:space="preserve"> sur les trois actifs simultanément. La fonction </w:t>
      </w:r>
      <w:r>
        <w:rPr>
          <w:rStyle w:val="VerbatimChar"/>
        </w:rPr>
        <w:t>aligner</w:t>
      </w:r>
      <w:r>
        <w:t xml:space="preserve"> règle un piège classique : les indicateurs vbt ajoutent un niveau de paramètre aux colonnes, qu’il faut réaligner avant toute algèbre booléenne. Deux limites du paradigme vectorisé apparaissent ici : le dimensionnement repose sur le </w:t>
      </w:r>
      <w:r>
        <w:rPr>
          <w:b/>
          <w:bCs/>
        </w:rPr>
        <w:t>capital initial</w:t>
      </w:r>
      <w:r>
        <w:t xml:space="preserve"> (et non sur la valeur courante, dynamique) et le </w:t>
      </w:r>
      <w:r>
        <w:rPr>
          <w:b/>
          <w:bCs/>
        </w:rPr>
        <w:t>plafonnement du nombre de positions</w:t>
      </w:r>
      <w:r>
        <w:t xml:space="preserve"> simultanées n’est pas direct — il faudrait un callback </w:t>
      </w:r>
      <w:r>
        <w:rPr>
          <w:rStyle w:val="VerbatimChar"/>
        </w:rPr>
        <w:t>signal_func</w:t>
      </w:r>
      <w:r>
        <w:t xml:space="preserve"> (Vectorbt Pro). La version LEAN du document jumeau gère ces deux points nativement.</w:t>
      </w:r>
    </w:p>
    <w:p w14:paraId="323E1418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remplacer </w:t>
      </w:r>
      <w:r>
        <w:rPr>
          <w:rStyle w:val="VerbatimChar"/>
        </w:rPr>
        <w:t>vbt.Portfolio</w:t>
      </w:r>
      <w:r>
        <w:t xml:space="preserve"> par </w:t>
      </w:r>
      <w:r>
        <w:rPr>
          <w:rStyle w:val="VerbatimChar"/>
        </w:rPr>
        <w:t>vbt.PF</w:t>
      </w:r>
      <w:r>
        <w:t xml:space="preserve"> ; pour la limite de positions et un sizing dynamique, utiliser </w:t>
      </w:r>
      <w:r>
        <w:rPr>
          <w:rStyle w:val="VerbatimChar"/>
        </w:rPr>
        <w:t>from_signals(..., signal_func_nb=...)</w:t>
      </w:r>
      <w:r>
        <w:t xml:space="preserve"> ou </w:t>
      </w:r>
      <w:r>
        <w:rPr>
          <w:rStyle w:val="VerbatimChar"/>
        </w:rPr>
        <w:t>from_order_func</w:t>
      </w:r>
      <w:r>
        <w:t>.</w:t>
      </w:r>
    </w:p>
    <w:p w14:paraId="1295B61C" w14:textId="77777777" w:rsidR="00E72EE9" w:rsidRDefault="00000000">
      <w:r>
        <w:pict w14:anchorId="7F789ABD">
          <v:rect id="_x0000_i1042" style="width:0;height:1.5pt" o:hralign="center" o:hrstd="t" o:hr="t"/>
        </w:pict>
      </w:r>
    </w:p>
    <w:p w14:paraId="20000001" w14:textId="77777777" w:rsidR="00E72EE9" w:rsidRDefault="00000000">
      <w:pPr>
        <w:pStyle w:val="Heading2"/>
      </w:pPr>
      <w:bookmarkStart w:id="41" w:name="exemple-13-profil-de-volume-et-footprint"/>
      <w:bookmarkStart w:id="42" w:name="_Toc233711075"/>
      <w:bookmarkEnd w:id="37"/>
      <w:r>
        <w:t>Exemple 13 — Profil de volume et delta d’achats/ventes (footprint simplifié)</w:t>
      </w:r>
      <w:bookmarkEnd w:id="42"/>
    </w:p>
    <w:p w14:paraId="20000002" w14:textId="77777777" w:rsidR="00E72EE9" w:rsidRDefault="00000000">
      <w:pPr>
        <w:pStyle w:val="FirstParagraph"/>
      </w:pPr>
      <w:r>
        <w:rPr>
          <w:b/>
          <w:bCs/>
        </w:rPr>
        <w:t>Objectif pédagogique</w:t>
      </w:r>
      <w:r>
        <w:t xml:space="preserve"> : au-delà des indicateurs de prix (SMA, RSI, MACD...), le volume apporte une confirmation indépendante. On calcule ici un delta d’achats/ventes cumulé (proxy vectorisé du </w:t>
      </w:r>
      <w:r>
        <w:rPr>
          <w:i/>
          <w:iCs/>
        </w:rPr>
        <w:t>footprint</w:t>
      </w:r>
      <w:r>
        <w:t xml:space="preserve"> order-flow) et un profil de volume glissant (</w:t>
      </w:r>
      <w:r>
        <w:rPr>
          <w:i/>
          <w:iCs/>
        </w:rPr>
        <w:t>Volume Profile</w:t>
      </w:r>
      <w:r>
        <w:t xml:space="preserve">) pour repérer le </w:t>
      </w:r>
      <w:r>
        <w:rPr>
          <w:b/>
          <w:bCs/>
        </w:rPr>
        <w:t>Point of Control (POC)</w:t>
      </w:r>
      <w:r>
        <w:t xml:space="preserve"> — le palier de prix qui a échangé le plus de volume.</w:t>
      </w:r>
    </w:p>
    <w:p w14:paraId="20000003" w14:textId="77777777" w:rsidR="00E72EE9" w:rsidRDefault="00000000">
      <w:pPr>
        <w:pStyle w:val="BodyText"/>
      </w:pPr>
      <w:r>
        <w:t xml:space="preserve">On entre en position quand le prix casse au-dessus du POC avec un delta de volume acheteur, et on sort quand le prix repasse sous le POC ou que le delta redevient vendeur — exactement la logique de l’Exemple 13 LEAN.</w:t>
      </w:r>
    </w:p>
    <w:p w14:paraId="20000004" w14:textId="77777777" w:rsidR="00E72EE9" w:rsidRDefault="00000000">
      <w:pPr>
        <w:pStyle w:val="SourceCode"/>
      </w:pPr>
      <w:r>
        <w:rPr>
          <w:rStyle w:val="VerbatimChar"/>
        </w:rPr>
        <w:t xml:space="preserve">import vectorbt as vbt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data = vbt.YFData.download("SPY", start="2020-01-01", end="2023-12-31")</w:t>
      </w:r>
      <w:r>
        <w:br/>
      </w:r>
      <w:r>
        <w:rPr>
          <w:rStyle w:val="VerbatimChar"/>
        </w:rPr>
        <w:t xml:space="preserve">close = data.get("Close")</w:t>
      </w:r>
      <w:r>
        <w:br/>
      </w:r>
      <w:r>
        <w:rPr>
          <w:rStyle w:val="VerbatimChar"/>
        </w:rPr>
        <w:t xml:space="preserve">open_ = data.get("Open")</w:t>
      </w:r>
      <w:r>
        <w:br/>
      </w:r>
      <w:r>
        <w:rPr>
          <w:rStyle w:val="VerbatimChar"/>
        </w:rPr>
        <w:t xml:space="preserve">volume = data.get("Volume")</w:t>
      </w:r>
      <w:r>
        <w:br/>
      </w:r>
      <w:r>
        <w:br/>
      </w:r>
      <w:r>
        <w:rPr>
          <w:rStyle w:val="VerbatimChar"/>
        </w:rPr>
        <w:t xml:space="preserve">lookback = 20</w:t>
      </w:r>
      <w:r>
        <w:br/>
      </w:r>
      <w:r>
        <w:br/>
      </w:r>
      <w:r>
        <w:rPr>
          <w:rStyle w:val="VerbatimChar"/>
        </w:rPr>
        <w:t xml:space="preserve"># Delta de volume : volume "acheteur" si bougie haussière, "vendeur" sinon</w:t>
      </w:r>
      <w:r>
        <w:br/>
      </w:r>
      <w:r>
        <w:rPr>
          <w:rStyle w:val="VerbatimChar"/>
        </w:rPr>
        <w:t xml:space="preserve"># (proxy vectorisé du footprint en l'absence de données tick, voir encadré).</w:t>
      </w:r>
      <w:r>
        <w:br/>
      </w:r>
      <w:r>
        <w:rPr>
          <w:rStyle w:val="VerbatimChar"/>
        </w:rPr>
        <w:t xml:space="preserve">delta = np.where(close &gt;= open_, volume, -volume)</w:t>
      </w:r>
      <w:r>
        <w:br/>
      </w:r>
      <w:r>
        <w:rPr>
          <w:rStyle w:val="VerbatimChar"/>
        </w:rPr>
        <w:t xml:space="preserve">delta_cumule = pd.Series(delta, index=close.index).cumsum()</w:t>
      </w:r>
      <w:r>
        <w:br/>
      </w:r>
      <w:r>
        <w:br/>
      </w:r>
      <w:r>
        <w:rPr>
          <w:rStyle w:val="VerbatimChar"/>
        </w:rPr>
        <w:t xml:space="preserve"># Profil de volume glissant : POC (palier au plus fort volume) sur chaque fenêtre.</w:t>
      </w:r>
      <w:r>
        <w:br/>
      </w:r>
      <w:r>
        <w:rPr>
          <w:rStyle w:val="VerbatimChar"/>
        </w:rPr>
        <w:t xml:space="preserve">def poc_glissant(close, volume, lookback):</w:t>
      </w:r>
      <w:r>
        <w:br/>
      </w:r>
      <w:r>
        <w:rPr>
          <w:rStyle w:val="VerbatimChar"/>
        </w:rPr>
        <w:t xml:space="preserve">    paliers = close.round(0)</w:t>
      </w:r>
      <w:r>
        <w:br/>
      </w:r>
      <w:r>
        <w:rPr>
          <w:rStyle w:val="VerbatimChar"/>
        </w:rPr>
        <w:t xml:space="preserve">    poc = pd.Series(index=close.index, dtype=float)</w:t>
      </w:r>
      <w:r>
        <w:br/>
      </w:r>
      <w:r>
        <w:rPr>
          <w:rStyle w:val="VerbatimChar"/>
        </w:rPr>
        <w:t xml:space="preserve">    for i in range(lookback, len(close)):</w:t>
      </w:r>
      <w:r>
        <w:br/>
      </w:r>
      <w:r>
        <w:rPr>
          <w:rStyle w:val="VerbatimChar"/>
        </w:rPr>
        <w:t xml:space="preserve">        fenetre = slice(i - lookback, i)</w:t>
      </w:r>
      <w:r>
        <w:br/>
      </w:r>
      <w:r>
        <w:rPr>
          <w:rStyle w:val="VerbatimChar"/>
        </w:rPr>
        <w:t xml:space="preserve">        profil = pd.Series(volume.values[fenetre]).groupby(paliers.values[fenetre]).sum()</w:t>
      </w:r>
      <w:r>
        <w:br/>
      </w:r>
      <w:r>
        <w:rPr>
          <w:rStyle w:val="VerbatimChar"/>
        </w:rPr>
        <w:t xml:space="preserve">        poc.iloc[i] = profil.idxmax()</w:t>
      </w:r>
      <w:r>
        <w:br/>
      </w:r>
      <w:r>
        <w:rPr>
          <w:rStyle w:val="VerbatimChar"/>
        </w:rPr>
        <w:t xml:space="preserve">    return poc</w:t>
      </w:r>
      <w:r>
        <w:br/>
      </w:r>
      <w:r>
        <w:br/>
      </w:r>
      <w:r>
        <w:rPr>
          <w:rStyle w:val="VerbatimChar"/>
        </w:rPr>
        <w:t xml:space="preserve">poc = poc_glissant(close, volume, lookback)</w:t>
      </w:r>
      <w:r>
        <w:br/>
      </w:r>
      <w:r>
        <w:br/>
      </w:r>
      <w:r>
        <w:rPr>
          <w:rStyle w:val="VerbatimChar"/>
        </w:rPr>
        <w:t xml:space="preserve"># Signaux : cassure du POC confirmée par un delta de volume acheteur.</w:t>
      </w:r>
      <w:r>
        <w:br/>
      </w:r>
      <w:r>
        <w:rPr>
          <w:rStyle w:val="VerbatimChar"/>
        </w:rPr>
        <w:t xml:space="preserve">entries = (close &gt; poc) &amp; (delta_cumule &gt; 0)</w:t>
      </w:r>
      <w:r>
        <w:br/>
      </w:r>
      <w:r>
        <w:rPr>
          <w:rStyle w:val="VerbatimChar"/>
        </w:rPr>
        <w:t xml:space="preserve">exits = (close &lt; poc) | (delta_cumule &lt; 0)</w:t>
      </w:r>
      <w:r>
        <w:br/>
      </w:r>
      <w:r>
        <w:br/>
      </w:r>
      <w:r>
        <w:rPr>
          <w:rStyle w:val="VerbatimChar"/>
        </w:rPr>
        <w:t xml:space="preserve">pf = vbt.Portfolio.from_signals(</w:t>
      </w:r>
      <w:r>
        <w:br/>
      </w:r>
      <w:r>
        <w:rPr>
          <w:rStyle w:val="VerbatimChar"/>
        </w:rPr>
        <w:t xml:space="preserve">    close, entries, exits,</w:t>
      </w:r>
      <w:r>
        <w:br/>
      </w:r>
      <w:r>
        <w:rPr>
          <w:rStyle w:val="VerbatimChar"/>
        </w:rPr>
        <w:t xml:space="preserve">    init_cash=100_000, fees=0.001, freq="1D",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print(pf.stats())</w:t>
      </w:r>
    </w:p>
    <w:p w14:paraId="20000005" w14:textId="77777777" w:rsidR="00E72EE9" w:rsidRDefault="00000000">
      <w:pPr>
        <w:pStyle w:val="BlockText"/>
      </w:pPr>
      <w:r>
        <w:rPr>
          <w:b/>
          <w:bCs/>
        </w:rPr>
        <w:t>À retenir</w:t>
      </w:r>
      <w:r>
        <w:t xml:space="preserve"> : le delta est vectorisé d’un coup avec </w:t>
      </w:r>
      <w:r>
        <w:rPr>
          <w:rStyle w:val="VerbatimChar"/>
        </w:rPr>
        <w:t>np.where</w:t>
      </w:r>
      <w:r>
        <w:t xml:space="preserve"> ; le calcul du POC glissant, lui, nécessite une boucle sur les fenêtres, car il n’existe pas d’histogramme pondéré « roulant » natif dans Vectorbt open-source — un des rares endroits où l’approche vectorisée cède la place à une boucle Python explicite (voir la version LEAN, événementielle par nature, qui gère cela sans effort particulier). Pour des indicateurs de volume plus simples et déjà vectorisés, Vectorbt propose </w:t>
      </w:r>
      <w:r>
        <w:rPr>
          <w:rStyle w:val="VerbatimChar"/>
        </w:rPr>
        <w:t>vbt.OBV.run(close, volume)</w:t>
      </w:r>
      <w:r>
        <w:t xml:space="preserve"> (On-Balance Volume) ; en Pro, </w:t>
      </w:r>
      <w:r>
        <w:rPr>
          <w:rStyle w:val="VerbatimChar"/>
        </w:rPr>
        <w:t>data.run("talib:AD")</w:t>
      </w:r>
      <w:r>
        <w:t xml:space="preserve"> et consorts. Un vrai footprint order-flow (achats/ventes classés transaction par transaction) nécessite des données tick ou carnet d’ordres, absentes de Yahoo Finance — il faudrait un fournisseur de données tick dédié.</w:t>
      </w:r>
    </w:p>
    <w:p w14:paraId="20000006" w14:textId="77777777" w:rsidR="00E72EE9" w:rsidRDefault="00000000">
      <w:pPr>
        <w:pStyle w:val="BlockText"/>
      </w:pPr>
      <w:r>
        <w:rPr>
          <w:i/>
          <w:iCs/>
        </w:rPr>
        <w:t>Variante Pro</w:t>
      </w:r>
      <w:r>
        <w:t xml:space="preserve"> : implémenter </w:t>
      </w:r>
      <w:r>
        <w:rPr>
          <w:rStyle w:val="VerbatimChar"/>
        </w:rPr>
        <w:t>poc_glissant</w:t>
      </w:r>
      <w:r>
        <w:t xml:space="preserve"> en Numba (</w:t>
      </w:r>
      <w:r>
        <w:rPr>
          <w:rStyle w:val="VerbatimChar"/>
        </w:rPr>
        <w:t>@njit</w:t>
      </w:r>
      <w:r>
        <w:t xml:space="preserve">) via </w:t>
      </w:r>
      <w:r>
        <w:rPr>
          <w:rStyle w:val="VerbatimChar"/>
        </w:rPr>
        <w:t>vbt.IndicatorFactory</w:t>
      </w:r>
      <w:r>
        <w:t xml:space="preserve"> pour retrouver la vitesse native de Vectorbt sur ce calcul.</w:t>
      </w:r>
    </w:p>
    <w:p w14:paraId="20000007" w14:textId="77777777" w:rsidR="00E72EE9" w:rsidRDefault="00000000">
      <w:r>
        <w:pict w14:anchorId="2000000A">
          <v:rect id="_x0000_i2001" style="width:0;height:1.5pt" o:hralign="center" o:hrstd="t" o:hr="t"/>
        </w:pict>
      </w:r>
    </w:p>
    <w:p w14:paraId="14781E66" w14:textId="77777777" w:rsidR="00E72EE9" w:rsidRDefault="00000000">
      <w:pPr>
        <w:pStyle w:val="Heading2"/>
      </w:pPr>
      <w:bookmarkStart w:id="39" w:name="conclusion"/>
      <w:bookmarkStart w:id="40" w:name="_Toc233711074"/>
      <w:bookmarkEnd w:id="41"/>
      <w:r>
        <w:t>15. Conclusion</w:t>
      </w:r>
      <w:bookmarkEnd w:id="40"/>
    </w:p>
    <w:p w14:paraId="5F32FACE" w14:textId="77777777" w:rsidR="00E72EE9" w:rsidRDefault="00000000">
      <w:pPr>
        <w:pStyle w:val="FirstParagraph"/>
      </w:pPr>
      <w:r>
        <w:t xml:space="preserve">Vectorbt propose un cadre </w:t>
      </w:r>
      <w:r>
        <w:rPr>
          <w:b/>
          <w:bCs/>
        </w:rPr>
        <w:t>vectorisé et ultra-rapide</w:t>
      </w:r>
      <w:r>
        <w:t xml:space="preserve"> : chaque exemple ci-dessus calcule les signaux sur toute la série d’un coup, puis simule le portefeuille sans boucle Python. Cette approche brille pour l’</w:t>
      </w:r>
      <w:r>
        <w:rPr>
          <w:b/>
          <w:bCs/>
        </w:rPr>
        <w:t>exploration massive</w:t>
      </w:r>
      <w:r>
        <w:t xml:space="preserve"> de paramètres (Exemple 10) et l’analyse statistique (Exemple 9), au prix d’une modélisation un peu moins « marché réel » qu’un moteur événementiel — c’est à vous de veiller à l’absence de look-ahead bias.</w:t>
      </w:r>
    </w:p>
    <w:p w14:paraId="41CCA32D" w14:textId="77777777" w:rsidR="00E72EE9" w:rsidRDefault="00000000">
      <w:pPr>
        <w:pStyle w:val="BodyText"/>
      </w:pPr>
      <w:r>
        <w:t>Récapitulatif des réflexes acquis :</w:t>
      </w:r>
    </w:p>
    <w:p w14:paraId="629CD63A" w14:textId="77777777" w:rsidR="00E72EE9" w:rsidRDefault="00000000">
      <w:pPr>
        <w:pStyle w:val="Compact"/>
        <w:numPr>
          <w:ilvl w:val="0"/>
          <w:numId w:val="7"/>
        </w:numPr>
      </w:pPr>
      <w:r>
        <w:lastRenderedPageBreak/>
        <w:t>Penser en trois temps : indicateurs → signaux booléens (</w:t>
      </w:r>
      <w:r>
        <w:rPr>
          <w:rStyle w:val="VerbatimChar"/>
        </w:rPr>
        <w:t>entries</w:t>
      </w:r>
      <w:r>
        <w:t xml:space="preserve">, </w:t>
      </w:r>
      <w:r>
        <w:rPr>
          <w:rStyle w:val="VerbatimChar"/>
        </w:rPr>
        <w:t>exits</w:t>
      </w:r>
      <w:r>
        <w:t xml:space="preserve">) → </w:t>
      </w:r>
      <w:r>
        <w:rPr>
          <w:rStyle w:val="VerbatimChar"/>
        </w:rPr>
        <w:t>Portfolio.from_signals</w:t>
      </w:r>
      <w:r>
        <w:t>.</w:t>
      </w:r>
    </w:p>
    <w:p w14:paraId="35D369F4" w14:textId="77777777" w:rsidR="00E72EE9" w:rsidRDefault="00000000">
      <w:pPr>
        <w:pStyle w:val="Compact"/>
        <w:numPr>
          <w:ilvl w:val="0"/>
          <w:numId w:val="7"/>
        </w:numPr>
      </w:pPr>
      <w:r>
        <w:t>Exploiter les classes d’indicateurs (</w:t>
      </w:r>
      <w:r>
        <w:rPr>
          <w:rStyle w:val="VerbatimChar"/>
        </w:rPr>
        <w:t>vbt.MA</w:t>
      </w:r>
      <w:r>
        <w:t xml:space="preserve">, </w:t>
      </w:r>
      <w:r>
        <w:rPr>
          <w:rStyle w:val="VerbatimChar"/>
        </w:rPr>
        <w:t>vbt.RSI</w:t>
      </w:r>
      <w:r>
        <w:t xml:space="preserve">, </w:t>
      </w:r>
      <w:r>
        <w:rPr>
          <w:rStyle w:val="VerbatimChar"/>
        </w:rPr>
        <w:t>vbt.BBANDS</w:t>
      </w:r>
      <w:r>
        <w:t xml:space="preserve">, </w:t>
      </w:r>
      <w:r>
        <w:rPr>
          <w:rStyle w:val="VerbatimChar"/>
        </w:rPr>
        <w:t>vbt.MACD</w:t>
      </w:r>
      <w:r>
        <w:t>) et leurs helpers de comparaison.</w:t>
      </w:r>
    </w:p>
    <w:p w14:paraId="0A948B4A" w14:textId="77777777" w:rsidR="00E72EE9" w:rsidRDefault="00000000">
      <w:pPr>
        <w:pStyle w:val="Compact"/>
        <w:numPr>
          <w:ilvl w:val="0"/>
          <w:numId w:val="7"/>
        </w:numPr>
      </w:pPr>
      <w:r>
        <w:t xml:space="preserve">Profiter des arguments intégrés : </w:t>
      </w:r>
      <w:r>
        <w:rPr>
          <w:rStyle w:val="VerbatimChar"/>
        </w:rPr>
        <w:t>size</w:t>
      </w:r>
      <w:r>
        <w:t xml:space="preserve">, </w:t>
      </w:r>
      <w:r>
        <w:rPr>
          <w:rStyle w:val="VerbatimChar"/>
        </w:rPr>
        <w:t>size_type</w:t>
      </w:r>
      <w:r>
        <w:t xml:space="preserve">, </w:t>
      </w:r>
      <w:r>
        <w:rPr>
          <w:rStyle w:val="VerbatimChar"/>
        </w:rPr>
        <w:t>sl_stop</w:t>
      </w:r>
      <w:r>
        <w:t xml:space="preserve">, </w:t>
      </w:r>
      <w:r>
        <w:rPr>
          <w:rStyle w:val="VerbatimChar"/>
        </w:rPr>
        <w:t>tp_stop</w:t>
      </w:r>
      <w:r>
        <w:t xml:space="preserve">, </w:t>
      </w:r>
      <w:r>
        <w:rPr>
          <w:rStyle w:val="VerbatimChar"/>
        </w:rPr>
        <w:t>fees</w:t>
      </w:r>
      <w:r>
        <w:t xml:space="preserve">, </w:t>
      </w:r>
      <w:r>
        <w:rPr>
          <w:rStyle w:val="VerbatimChar"/>
        </w:rPr>
        <w:t>freq</w:t>
      </w:r>
      <w:r>
        <w:t>.</w:t>
      </w:r>
    </w:p>
    <w:p w14:paraId="7FB03A98" w14:textId="77777777" w:rsidR="00E72EE9" w:rsidRDefault="00000000">
      <w:pPr>
        <w:pStyle w:val="Compact"/>
        <w:numPr>
          <w:ilvl w:val="0"/>
          <w:numId w:val="7"/>
        </w:numPr>
      </w:pPr>
      <w:r>
        <w:t xml:space="preserve">Tester des grilles entières en une passe, lire </w:t>
      </w:r>
      <w:r>
        <w:rPr>
          <w:rStyle w:val="VerbatimChar"/>
        </w:rPr>
        <w:t>pf.stats()</w:t>
      </w:r>
      <w:r>
        <w:t>, et se méfier du sur-optimisation grâce à la validation hors-échantillon.</w:t>
      </w:r>
    </w:p>
    <w:p w14:paraId="20000008" w14:textId="77777777" w:rsidR="00E72EE9" w:rsidRDefault="00000000">
      <w:pPr>
        <w:pStyle w:val="Compact"/>
        <w:numPr>
          <w:ilvl w:val="0"/>
          <w:numId w:val="7"/>
        </w:numPr>
      </w:pPr>
      <w:r>
        <w:t>Confirmer un signal de prix par une lecture du volume (profil de volume, delta acheteur/vendeur) plutôt que par le prix seul.</w:t>
      </w:r>
    </w:p>
    <w:p w14:paraId="26C4D993" w14:textId="77777777" w:rsidR="00E72EE9" w:rsidRDefault="00000000">
      <w:pPr>
        <w:pStyle w:val="FirstParagraph"/>
      </w:pPr>
      <w:r>
        <w:t xml:space="preserve">Le document jumeau montre comment </w:t>
      </w:r>
      <w:r>
        <w:rPr>
          <w:b/>
          <w:bCs/>
        </w:rPr>
        <w:t>les mêmes stratégies</w:t>
      </w:r>
      <w:r>
        <w:t xml:space="preserve"> s’écrivent de façon </w:t>
      </w:r>
      <w:r>
        <w:rPr>
          <w:b/>
          <w:bCs/>
        </w:rPr>
        <w:t>événementielle</w:t>
      </w:r>
      <w:r>
        <w:t xml:space="preserve"> avec QuantConnect LEAN — une comparaison très instructive entre les deux philosophies de backtesting.</w:t>
      </w:r>
      <w:bookmarkEnd w:id="0"/>
      <w:bookmarkEnd w:id="39"/>
    </w:p>
    <w:sectPr w:rsidR="00E72EE9" w:rsidSect="00E10FBB"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0D40F" w14:textId="77777777" w:rsidR="008755B4" w:rsidRDefault="008755B4">
      <w:pPr>
        <w:spacing w:after="0"/>
      </w:pPr>
      <w:r>
        <w:separator/>
      </w:r>
    </w:p>
  </w:endnote>
  <w:endnote w:type="continuationSeparator" w:id="0">
    <w:p w14:paraId="2ABA35A0" w14:textId="77777777" w:rsidR="008755B4" w:rsidRDefault="008755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C991" w14:textId="77777777" w:rsidR="008755B4" w:rsidRDefault="008755B4">
      <w:r>
        <w:separator/>
      </w:r>
    </w:p>
  </w:footnote>
  <w:footnote w:type="continuationSeparator" w:id="0">
    <w:p w14:paraId="0F1A061C" w14:textId="77777777" w:rsidR="008755B4" w:rsidRDefault="00875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A0E48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3F0B4E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034BB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042414">
    <w:abstractNumId w:val="0"/>
  </w:num>
  <w:num w:numId="2" w16cid:durableId="1599871992">
    <w:abstractNumId w:val="1"/>
  </w:num>
  <w:num w:numId="3" w16cid:durableId="1796290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7773904">
    <w:abstractNumId w:val="1"/>
  </w:num>
  <w:num w:numId="5" w16cid:durableId="17594755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2003462">
    <w:abstractNumId w:val="1"/>
  </w:num>
  <w:num w:numId="7" w16cid:durableId="1697191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2EE9"/>
    <w:rsid w:val="008755B4"/>
    <w:rsid w:val="00954E3B"/>
    <w:rsid w:val="00E10FBB"/>
    <w:rsid w:val="00E7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B6E04"/>
  <w15:docId w15:val="{13666D60-45A7-4CEC-B47F-3F85FAF6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E10FB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10FB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3629</Words>
  <Characters>24573</Characters>
  <Application>Microsoft Office Word</Application>
  <DocSecurity>0</DocSecurity>
  <Lines>819</Lines>
  <Paragraphs>227</Paragraphs>
  <ScaleCrop>false</ScaleCrop>
  <Company/>
  <LinksUpToDate>false</LinksUpToDate>
  <CharactersWithSpaces>27975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Backtesting avec Vectorbt / Vectorbt Pro</dc:title>
  <dc:creator/>
  <cp:keywords/>
  <cp:lastModifiedBy>Alex 911</cp:lastModifiedBy>
  <cp:revision>2</cp:revision>
  <dcterms:created xsi:type="dcterms:W3CDTF">2026-06-30T15:22:00Z</dcterms:created>
  <dcterms:modified xsi:type="dcterms:W3CDTF">2026-06-30T15:26:00Z</dcterms:modified>
</cp:coreProperties>
</file>