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Response to Reviewer 3 Comments</w:t>
      </w:r>
    </w:p>
    <w:p>
      <w:pPr>
        <w:jc w:val="center"/>
      </w:pPr>
      <w:r>
        <w:t>JRFM Submission jrfm-4256551 — Validating LLM Structural Reasoning: Detecting Persistent Market Regimes Through Temporal Obfuscation</w:t>
      </w:r>
    </w:p>
    <w:p>
      <w:pPr>
        <w:jc w:val="center"/>
      </w:pPr>
      <w:r>
        <w:t>Christopher Regan and Ying Xie, Kennesaw State University</w:t>
      </w:r>
    </w:p>
    <w:p>
      <w:pPr>
        <w:jc w:val="center"/>
      </w:pPr>
      <w:r>
        <w:t>24 April 2026</w:t>
      </w:r>
    </w:p>
    <w:p>
      <w:pPr>
        <w:pStyle w:val="Heading1"/>
      </w:pPr>
      <w:r>
        <w:t>1. Summary</w:t>
      </w:r>
    </w:p>
    <w:p>
      <w:r>
        <w:t>Thank you very much for taking the time to review this manuscript and for the substantive, constructive feedback. The reviewer's comments identified meaningful improvements in introduction focus, contribution positioning, benchmark comparison, methodological transparency, statistical rigour, practitioner connection, limitations scope, and figure clarity. We have addressed every point-by-point comment in the revised manuscript; detailed responses and the corresponding revisions (marked in red) are provided below. The revised manuscript is 31 A4 pages, up from 18 in the originally submitted version.</w:t>
      </w:r>
    </w:p>
    <w:p>
      <w:r>
        <w:t>Reviewer's summary: “The manuscript addresses a timely and interesting topic at the intersection of financial market microstructure and large language model validation. The idea of using temporal obfuscation to distinguish structural reasoning from memorization is original and potentially valuable. However, several aspects of the paper would benefit from further clarification, strengthening, and refinement.”</w:t>
      </w:r>
    </w:p>
    <w:p>
      <w:pPr>
        <w:pStyle w:val="Heading1"/>
      </w:pPr>
      <w:r>
        <w:t>2. Questions for General Evaluation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Question</w:t>
            </w:r>
          </w:p>
        </w:tc>
        <w:tc>
          <w:tcPr>
            <w:tcW w:type="dxa" w:w="2880"/>
          </w:tcPr>
          <w:p>
            <w:r/>
            <w:r>
              <w:rPr>
                <w:b/>
              </w:rPr>
              <w:t>Reviewer's evaluation</w:t>
            </w:r>
          </w:p>
        </w:tc>
        <w:tc>
          <w:tcPr>
            <w:tcW w:type="dxa" w:w="2880"/>
          </w:tcPr>
          <w:p>
            <w:r/>
            <w:r>
              <w:rPr>
                <w:b/>
              </w:rPr>
              <w:t>Response and revisions</w:t>
            </w:r>
          </w:p>
        </w:tc>
      </w:tr>
      <w:tr>
        <w:tc>
          <w:tcPr>
            <w:tcW w:type="dxa" w:w="2880"/>
            <w:vAlign w:val="top"/>
          </w:tcPr>
          <w:p>
            <w:r>
              <w:t>Does the introduction provide sufficient background and include all relevant references?</w:t>
            </w:r>
          </w:p>
        </w:tc>
        <w:tc>
          <w:tcPr>
            <w:tcW w:type="dxa" w:w="2880"/>
            <w:vAlign w:val="top"/>
          </w:tcPr>
          <w:p>
            <w:r>
              <w:t>Must be improved</w:t>
            </w:r>
          </w:p>
        </w:tc>
        <w:tc>
          <w:tcPr>
            <w:tcW w:type="dxa" w:w="2880"/>
            <w:vAlign w:val="top"/>
          </w:tcPr>
          <w:p>
            <w:r>
              <w:t>Addressed in Comment 1 below: Section 1 rewritten, new "Research gap" paragraph, new 2022-2025 references (Dim, Eraker &amp; Vilkov 2023).</w:t>
            </w:r>
          </w:p>
        </w:tc>
      </w:tr>
      <w:tr>
        <w:tc>
          <w:tcPr>
            <w:tcW w:type="dxa" w:w="2880"/>
            <w:vAlign w:val="top"/>
          </w:tcPr>
          <w:p>
            <w:r>
              <w:t>Is the research design appropriate?</w:t>
            </w:r>
          </w:p>
        </w:tc>
        <w:tc>
          <w:tcPr>
            <w:tcW w:type="dxa" w:w="2880"/>
            <w:vAlign w:val="top"/>
          </w:tcPr>
          <w:p>
            <w:r>
              <w:t>Can be improved</w:t>
            </w:r>
          </w:p>
        </w:tc>
        <w:tc>
          <w:tcPr>
            <w:tcW w:type="dxa" w:w="2880"/>
            <w:vAlign w:val="top"/>
          </w:tcPr>
          <w:p>
            <w:r>
              <w:t>Addressed in Comment 3: new Markov-switching benchmark (Section 3.9 + Section 4.7) demonstrates the framework is not reducible to a volatility-regime classifier.</w:t>
            </w:r>
          </w:p>
        </w:tc>
      </w:tr>
      <w:tr>
        <w:tc>
          <w:tcPr>
            <w:tcW w:type="dxa" w:w="2880"/>
            <w:vAlign w:val="top"/>
          </w:tcPr>
          <w:p>
            <w:r>
              <w:t>Are the methods adequately described?</w:t>
            </w:r>
          </w:p>
        </w:tc>
        <w:tc>
          <w:tcPr>
            <w:tcW w:type="dxa" w:w="2880"/>
            <w:vAlign w:val="top"/>
          </w:tcPr>
          <w:p>
            <w:r>
              <w:t>Can be improved</w:t>
            </w:r>
          </w:p>
        </w:tc>
        <w:tc>
          <w:tcPr>
            <w:tcW w:type="dxa" w:w="2880"/>
            <w:vAlign w:val="top"/>
          </w:tcPr>
          <w:p>
            <w:r>
              <w:t>Addressed in Comment 4: new Appendix A reproduces the full LLM prompt verbatim; new Section 4.6 reports a 45-configuration threshold-sensitivity sweep; reproducibility posture documented.</w:t>
            </w:r>
          </w:p>
        </w:tc>
      </w:tr>
      <w:tr>
        <w:tc>
          <w:tcPr>
            <w:tcW w:type="dxa" w:w="2880"/>
            <w:vAlign w:val="top"/>
          </w:tcPr>
          <w:p>
            <w:r>
              <w:t>Are the results clearly presented?</w:t>
            </w:r>
          </w:p>
        </w:tc>
        <w:tc>
          <w:tcPr>
            <w:tcW w:type="dxa" w:w="2880"/>
            <w:vAlign w:val="top"/>
          </w:tcPr>
          <w:p>
            <w:r>
              <w:t>Can be improved</w:t>
            </w:r>
          </w:p>
        </w:tc>
        <w:tc>
          <w:tcPr>
            <w:tcW w:type="dxa" w:w="2880"/>
            <w:vAlign w:val="top"/>
          </w:tcPr>
          <w:p>
            <w:r>
              <w:t>Addressed in Comment 5: every detection rate in Section 4 now carries a 95% bootstrap or Wilson CI; full chi-square / Fisher statistics reported; robustness confirmed.</w:t>
            </w:r>
          </w:p>
        </w:tc>
      </w:tr>
      <w:tr>
        <w:tc>
          <w:tcPr>
            <w:tcW w:type="dxa" w:w="2880"/>
            <w:vAlign w:val="top"/>
          </w:tcPr>
          <w:p>
            <w:r>
              <w:t>Are the conclusions supported by the results?</w:t>
            </w:r>
          </w:p>
        </w:tc>
        <w:tc>
          <w:tcPr>
            <w:tcW w:type="dxa" w:w="2880"/>
            <w:vAlign w:val="top"/>
          </w:tcPr>
          <w:p>
            <w:r>
              <w:t>Can be improved</w:t>
            </w:r>
          </w:p>
        </w:tc>
        <w:tc>
          <w:tcPr>
            <w:tcW w:type="dxa" w:w="2880"/>
            <w:vAlign w:val="top"/>
          </w:tcPr>
          <w:p>
            <w:r>
              <w:t>Addressed in Comments 2 and 5(d): positioning statement added to Section 1.4 and echoed in Section 6 opening; strong-claim language moderated where CIs or sensitivity warranted.</w:t>
            </w:r>
          </w:p>
        </w:tc>
      </w:tr>
      <w:tr>
        <w:tc>
          <w:tcPr>
            <w:tcW w:type="dxa" w:w="2880"/>
            <w:vAlign w:val="top"/>
          </w:tcPr>
          <w:p>
            <w:r>
              <w:t>Are all figures and tables clear and well-presented?</w:t>
            </w:r>
          </w:p>
        </w:tc>
        <w:tc>
          <w:tcPr>
            <w:tcW w:type="dxa" w:w="2880"/>
            <w:vAlign w:val="top"/>
          </w:tcPr>
          <w:p>
            <w:r>
              <w:t>Can be improved</w:t>
            </w:r>
          </w:p>
        </w:tc>
        <w:tc>
          <w:tcPr>
            <w:tcW w:type="dxa" w:w="2880"/>
            <w:vAlign w:val="top"/>
          </w:tcPr>
          <w:p>
            <w:r>
              <w:t>Addressed in Comment 8: captions on Figures 1, 3, 4, 5, 6 rewritten to be self-contained with explicit "Read this figure as:" clauses.</w:t>
            </w:r>
          </w:p>
        </w:tc>
      </w:tr>
      <w:tr>
        <w:tc>
          <w:tcPr>
            <w:tcW w:type="dxa" w:w="2880"/>
            <w:vAlign w:val="top"/>
          </w:tcPr>
          <w:p>
            <w:r>
              <w:t>Quality of English Language</w:t>
            </w:r>
          </w:p>
        </w:tc>
        <w:tc>
          <w:tcPr>
            <w:tcW w:type="dxa" w:w="2880"/>
            <w:vAlign w:val="top"/>
          </w:tcPr>
          <w:p>
            <w:r>
              <w:t>Can be improved</w:t>
            </w:r>
          </w:p>
        </w:tc>
        <w:tc>
          <w:tcPr>
            <w:tcW w:type="dxa" w:w="2880"/>
            <w:vAlign w:val="top"/>
          </w:tcPr>
          <w:p>
            <w:r>
              <w:t>Addressed in Section 4 of this response: targeted tightening in Section 5.5; wordy-transition check passed; terminology consistency verified.</w:t>
            </w:r>
          </w:p>
        </w:tc>
      </w:tr>
    </w:tbl>
    <w:p>
      <w:pPr>
        <w:pStyle w:val="Heading1"/>
      </w:pPr>
      <w:r>
        <w:t>3. Point-by-point response to Comments and Suggestions for Authors</w:t>
      </w:r>
    </w:p>
    <w:p>
      <w:r>
        <w:rPr>
          <w:b/>
          <w:color w:val="000000"/>
        </w:rPr>
        <w:t xml:space="preserve">Comments 1: </w:t>
      </w:r>
      <w:r>
        <w:t>The introduction must be shortened and made more focused. It currently contains overly long and philosophical paragraphs. It should clearly state the research gap, the contribution, and how the paper differs from existing studies in financial econometrics. More recent references (especially 2022-2025) on options market microstructure, gamma exposure, and 0DTE dynamics must be added and critically discussed.</w:t>
      </w:r>
    </w:p>
    <w:p>
      <w:r>
        <w:rPr>
          <w:b/>
          <w:color w:val="C00000"/>
        </w:rPr>
        <w:t xml:space="preserve">Response 1: </w:t>
      </w:r>
    </w:p>
    <w:p>
      <w:r>
        <w:rPr>
          <w:b w:val="0"/>
          <w:color w:val="C00000"/>
        </w:rPr>
        <w:t>We agree and have rewritten Section 1 Introduction to address each element of this comment.</w:t>
      </w:r>
    </w:p>
    <w:p>
      <w:r>
        <w:rPr>
          <w:b/>
          <w:color w:val="C00000"/>
        </w:rPr>
        <w:t xml:space="preserve">(i) Shortened and less philosophical. </w:t>
      </w:r>
      <w:r>
        <w:rPr>
          <w:b w:val="0"/>
          <w:color w:val="C00000"/>
        </w:rPr>
        <w:t>The original paragraph-1 opener ("The decisive question confronting any deployment of large language models...") has been removed. The new Section 1 opens with a two-sentence, direct statement of the validation problem and why it is first-order in finance specifically.</w:t>
      </w:r>
    </w:p>
    <w:p>
      <w:r>
        <w:rPr>
          <w:b/>
          <w:color w:val="C00000"/>
        </w:rPr>
        <w:t xml:space="preserve">(ii) Explicit research gap. </w:t>
      </w:r>
      <w:r>
        <w:rPr>
          <w:b w:val="0"/>
          <w:color w:val="C00000"/>
        </w:rPr>
        <w:t>A new paragraph titled "Research gap" follows the opener. It names what prior literature has done independently (dealer-gamma microstructure, 0DTE growth, LLM-reasoning probing in non-financial domains) and states precisely which combination has not been attempted: an LLM structural-reasoning validation method that (a) controls for training-data memorisation of specific events and dates, (b) is tested at a scale comparable to the target domain, and (c) discriminates genuine structural detection from reproduction of a volatility-regime classifier. The Markov-switching benchmark added per the reviewer's comment 3 below is then introduced as the direct test of element (c).</w:t>
      </w:r>
    </w:p>
    <w:p>
      <w:r>
        <w:rPr>
          <w:b/>
          <w:color w:val="C00000"/>
        </w:rPr>
        <w:t xml:space="preserve">(iii) Why 0DTE matters here. </w:t>
      </w:r>
      <w:r>
        <w:rPr>
          <w:b w:val="0"/>
          <w:color w:val="C00000"/>
        </w:rPr>
        <w:t>A new "Why 0DTE matters here" paragraph replaces the previous "practical urgency" framing. It explains that 0DTE growth is a natural setting for an obfuscation study because it created an observable structural shift within the training horizon of modern LLMs.</w:t>
      </w:r>
    </w:p>
    <w:p>
      <w:r>
        <w:rPr>
          <w:b/>
          <w:color w:val="C00000"/>
        </w:rPr>
        <w:t xml:space="preserve">(iv) 2022-2025 references added and critically discussed. </w:t>
      </w:r>
      <w:r>
        <w:rPr>
          <w:b w:val="0"/>
          <w:color w:val="C00000"/>
        </w:rPr>
        <w:t>The key new citation is Dim, Eraker &amp; Vilkov (2023) ("0DTEs: Trading, Gamma Risk and Volatility Propagation", SSRN 4692190), which provides the first systematic empirical study of 0DTE dealer inventory. It is now cited in Section 1 and critically discussed in Section 2.2, noting that it establishes dealer-hedging rather than information flow as the dominant channel through which 0DTE trading affects the underlying. We retain the existing 2022-2025 refs (Anderegg et al. 2022; Fishman 2023 Goldman Sachs; CBOE 2024 and 2025 research notes; Dim, Marsh, Schrimpf 2025 BIS).</w:t>
      </w:r>
    </w:p>
    <w:p>
      <w:r>
        <w:rPr>
          <w:b/>
          <w:color w:val="C00000"/>
        </w:rPr>
        <w:t>Change location: Section 1 Introduction paragraphs 1-4 (full rewrite), Section 2.2 Zero-Days-to-Expiration Options (new critical discussion of dim2023odtes), references.bib (new dim2023odtes entry).</w:t>
      </w:r>
    </w:p>
    <w:p>
      <w:r>
        <w:rPr>
          <w:b/>
          <w:color w:val="000000"/>
        </w:rPr>
        <w:t xml:space="preserve">Comments 2: </w:t>
      </w:r>
      <w:r>
        <w:t>The positioning of the paper must be clarified. It is not clear whether the contribution is mainly methodological (LLM validation) or financial (market microstructure). This needs to be explicitly stated and consistently reflected throughout the paper.</w:t>
      </w:r>
    </w:p>
    <w:p>
      <w:r>
        <w:rPr>
          <w:b/>
          <w:color w:val="C00000"/>
        </w:rPr>
        <w:t xml:space="preserve">Response 2: </w:t>
      </w:r>
    </w:p>
    <w:p>
      <w:r>
        <w:rPr>
          <w:b w:val="0"/>
          <w:color w:val="C00000"/>
        </w:rPr>
        <w:t>We agree and have stated the positioning explicitly in two places to ensure the stance is consistent throughout the paper.</w:t>
      </w:r>
    </w:p>
    <w:p>
      <w:r>
        <w:rPr>
          <w:b w:val="0"/>
          <w:color w:val="C00000"/>
        </w:rPr>
        <w:t>The primary contribution is methodological: temporal obfuscation testing (with the WHO-&gt;WHOM-&gt;WHAT causal framework and multi-scale validation protocol) as a generalizable procedure for validating LLM structural reasoning. Options dealer gamma-exposure regime detection is the empirical demonstration domain, selected because it combines theoretically grounded mechanical constraints, a large quantitative testbed, and the sharp pre- vs post-0DTE temporal contrast. The financial-market findings (69.1pp detection gap, 0% false-positive rate on synthetic controls, 2021-2024 0DTE-tracking regime evolution) are downstream evidence that the methodology discriminates correctly, not novel claims about options microstructure.</w:t>
      </w:r>
    </w:p>
    <w:p>
      <w:r>
        <w:rPr>
          <w:b/>
          <w:color w:val="C00000"/>
        </w:rPr>
        <w:t>Change location: new Section 1.4 "Positioning" subsection (between Contributions and Paper Organization) and Section 6 Conclusion opening (rewritten to echo the same stance before the four numbered contributions).</w:t>
      </w:r>
    </w:p>
    <w:p>
      <w:r>
        <w:rPr>
          <w:b/>
          <w:color w:val="000000"/>
        </w:rPr>
        <w:t xml:space="preserve">Comments 3: </w:t>
      </w:r>
      <w:r>
        <w:t>The research design must be strengthened. The paper currently lacks comparison with standard benchmark models such as regime-switching models or volatility-based approaches. At least one benchmark model should be included to validate the added value of the proposed framework. The causal interpretation related to 0DTE should be moderated or supported with stronger empirical evidence.</w:t>
      </w:r>
    </w:p>
    <w:p>
      <w:r>
        <w:rPr>
          <w:b/>
          <w:color w:val="C00000"/>
        </w:rPr>
        <w:t xml:space="preserve">Response 3: </w:t>
      </w:r>
    </w:p>
    <w:p>
      <w:r>
        <w:rPr>
          <w:b w:val="0"/>
          <w:color w:val="C00000"/>
        </w:rPr>
        <w:t>We have added a two-state Markov-switching regression benchmark and moderated the 0DTE causal language in parallel.</w:t>
      </w:r>
    </w:p>
    <w:p>
      <w:r>
        <w:rPr>
          <w:b/>
          <w:color w:val="C00000"/>
        </w:rPr>
        <w:t xml:space="preserve">(a) Benchmark comparison. </w:t>
      </w:r>
      <w:r>
        <w:rPr>
          <w:b w:val="0"/>
          <w:color w:val="C00000"/>
        </w:rPr>
        <w:t>We fit statsmodels.tsa.regime_switching.MarkovRegression (2-state, switching intercept and variance, standard EM) to (i) SPY daily log returns for 2020 (canonical volatility benchmark), (ii) SPY daily log returns for 2024 (same), and (iii) the 2024 daily net-GEX series (GEX-native analogue benchmark). Per-window agreement with LLM labels: 2020 returns N=201, kappa=0.045; 2024 returns N=222, kappa=-0.178; 2024 net-GEX N=221, kappa=0.610. The LLM detector is not reducible to a returns-based volatility regime (kappa near 0 or negative) but is consistent with a mechanical 2-state Gaussian on the same physical series (substantial agreement). This directly answers the reviewer's concern: the LLM reasons about dealer-gamma structure, not variance regimes.</w:t>
      </w:r>
    </w:p>
    <w:p>
      <w:r>
        <w:rPr>
          <w:b/>
          <w:color w:val="C00000"/>
        </w:rPr>
        <w:t xml:space="preserve">(b) Moderated 0DTE causal language. </w:t>
      </w:r>
      <w:r>
        <w:rPr>
          <w:b w:val="0"/>
          <w:color w:val="C00000"/>
        </w:rPr>
        <w:t>Section 5.3 "Market Structure Evolution and 0DTE Hypothesis" has been rewritten with explicit causal-inference hygiene: the 0DTE correspondence is framed as temporal coincidence supported by a plausible mechanical channel rather than a demonstrated causal relationship; four concurrent confounders are named (interest rates, systematic short-vol flow, passive/index AUM growth, market-maker concentration); three candidate causal-identification designs are proposed (a 0DTE suspension natural experiment, a counterfactual non-SPY launch, an instrumental-variable design); and the discussion closes with the explicit caveat that "less easily reconciled" is not "ruled out". Section 6 Conclusion contribution 3 similarly replaces "0DTE-driven structural reorganization" with temporal-coincidence language.</w:t>
      </w:r>
    </w:p>
    <w:p>
      <w:r>
        <w:rPr>
          <w:b/>
          <w:color w:val="C00000"/>
        </w:rPr>
        <w:t>Change location: new Section 3.9 Markov-Switching Benchmark, new Section 4.7 Comparison with Markov-Switching Benchmark (Table 6 + Figure 8), Section 5.3 rewrite, Section 6 Conclusion contribution 3 rewrite.</w:t>
      </w:r>
    </w:p>
    <w:p>
      <w:r>
        <w:rPr>
          <w:b/>
          <w:color w:val="000000"/>
        </w:rPr>
        <w:t xml:space="preserve">Comments 4: </w:t>
      </w:r>
      <w:r>
        <w:t>The methodology section needs more transparency. The exact prompts used for the LLM must be provided (preferably in an appendix). The choice of thresholds (70% persistence, $5B magnitude, &lt;=5 flips) must be justified or tested through sensitivity analysis. The impact of model parameters (e.g., temperature = 1.0) on reproducibility must be explained.</w:t>
      </w:r>
    </w:p>
    <w:p>
      <w:r>
        <w:rPr>
          <w:b/>
          <w:color w:val="C00000"/>
        </w:rPr>
        <w:t xml:space="preserve">Response 4: </w:t>
      </w:r>
    </w:p>
    <w:p>
      <w:r>
        <w:rPr>
          <w:b w:val="0"/>
          <w:color w:val="C00000"/>
        </w:rPr>
        <w:t>We have addressed this comment in three parts.</w:t>
      </w:r>
    </w:p>
    <w:p>
      <w:r>
        <w:rPr>
          <w:b/>
          <w:color w:val="C00000"/>
        </w:rPr>
        <w:t xml:space="preserve">(a) Exact prompts. </w:t>
      </w:r>
      <w:r>
        <w:rPr>
          <w:b w:val="0"/>
          <w:color w:val="C00000"/>
        </w:rPr>
        <w:t>The complete regime-detection prompt is now reproduced verbatim in a new Appendix A, together with the OpenAI Batch API configuration (o4-mini, temperature = 1.0, max completion tokens = 16,384, JSON-object response format) and the output JSON schema used for parsing. The appendix is transcribed directly from the build_regime_prompt() function in the publicly released source code.</w:t>
      </w:r>
    </w:p>
    <w:p>
      <w:r>
        <w:rPr>
          <w:b/>
          <w:color w:val="C00000"/>
        </w:rPr>
        <w:t xml:space="preserve">(b) Threshold sensitivity. </w:t>
      </w:r>
      <w:r>
        <w:rPr>
          <w:b w:val="0"/>
          <w:color w:val="C00000"/>
        </w:rPr>
        <w:t>A 5×3×3 grid sweep (persistence in {60, 65, 70, 75, 80}%, magnitude in {$3B, $5B, $7B}, flips &lt;= {3, 5, 7}; 45 configurations) has been applied to the 223 Phase 3 (2024) and 220 Phase 4 (2020) per-window records already on disk. Results: the 2024-vs-2020 detection gap ranges [34.1, 85.2] pp across configurations (median 63.2 pp) and exceeds 50 pp in 40/45 configurations. Reported in new Section 4.6 Threshold Sensitivity with Figure 7 heatmap.</w:t>
      </w:r>
    </w:p>
    <w:p>
      <w:r>
        <w:rPr>
          <w:b/>
          <w:color w:val="C00000"/>
        </w:rPr>
        <w:t xml:space="preserve">(c) Temperature / reproducibility. </w:t>
      </w:r>
      <w:r>
        <w:rPr>
          <w:b w:val="0"/>
          <w:color w:val="C00000"/>
        </w:rPr>
        <w:t>Appendix A includes a Reproducibility note explaining that OpenAI reasoning models (o1, o3, o4-mini) run at a fixed temperature of 1 and do not accept a user-supplied seed parameter. Reproducibility at the distributional level is established through the N = 2,221 evaluation sample and the mechanical numerical thresholds embedded in the prompt itself.</w:t>
      </w:r>
    </w:p>
    <w:p>
      <w:r>
        <w:rPr>
          <w:b/>
          <w:color w:val="C00000"/>
        </w:rPr>
        <w:t>Change location: new Appendix A (pp. 20-25 in the revised PDF), new Section 4.6 Threshold Sensitivity, cross-reference added in Section 3.5 LLM Configuration pointing to Appendix A.</w:t>
      </w:r>
    </w:p>
    <w:p>
      <w:r>
        <w:rPr>
          <w:b/>
          <w:color w:val="000000"/>
        </w:rPr>
        <w:t xml:space="preserve">Comments 5: </w:t>
      </w:r>
      <w:r>
        <w:t>The results section must include statistical validation. The paper relies heavily on percentages without reporting statistical significance, confidence intervals, or robustness tests. These must be added. Some interpretations are too strong compared to the evidence and should be moderated.</w:t>
      </w:r>
    </w:p>
    <w:p>
      <w:r>
        <w:rPr>
          <w:b/>
          <w:color w:val="C00000"/>
        </w:rPr>
        <w:t xml:space="preserve">Response 5: </w:t>
      </w:r>
    </w:p>
    <w:p>
      <w:r>
        <w:rPr>
          <w:b w:val="0"/>
          <w:color w:val="C00000"/>
        </w:rPr>
        <w:t>We agree. The revision addresses this comment in four parts.</w:t>
      </w:r>
    </w:p>
    <w:p>
      <w:r>
        <w:rPr>
          <w:b/>
          <w:color w:val="C00000"/>
        </w:rPr>
        <w:t xml:space="preserve">(a) Confidence intervals. </w:t>
      </w:r>
      <w:r>
        <w:rPr>
          <w:b w:val="0"/>
          <w:color w:val="C00000"/>
        </w:rPr>
        <w:t>Every detection rate reported in Section 4 Results now carries a 95% confidence interval. For Phases 1-4 and all Phase 2 negative controls we report a 10,000-replicate percentile bootstrap over windows (deterministic seed); for Phase 5 per-year rates we report 95% Wilson score intervals (Brown, Cai &amp; DasGupta, 2001). Phase 3 full 2024: 81.2% [75.8, 86.1]%. Phase 4 full 2020: 12.1% [8.1, 16.6]%. The 2020 upper CI bound (17.3%) does not overlap the 2024 lower CI bound (75.8%), which directly supports the 69.1 pp separation claim with bounded evidence rather than point estimates alone. A new "Statistical conventions" paragraph at the head of Section 4.1 documents the methodology.</w:t>
      </w:r>
    </w:p>
    <w:p>
      <w:r>
        <w:rPr>
          <w:b/>
          <w:color w:val="C00000"/>
        </w:rPr>
        <w:t xml:space="preserve">(b) Expanded chi-square / Fisher reporting. </w:t>
      </w:r>
      <w:r>
        <w:rPr>
          <w:b w:val="0"/>
          <w:color w:val="C00000"/>
        </w:rPr>
        <w:t>Phase 4 (2020 vs 2024): Pearson's chi-square = 213.67 (df=1, p = 2.2e-48), Yates-corrected chi-square = 210.90 (p = 8.7e-48), Fisher's exact two-sided p = 1.8e-52 (odds ratio 31.3), phi = 0.69, risk difference 69.1 pp (95% Wald CI [62.4, 75.7] pp). Phase 5 (2023 -&gt; 2024 transition): chi-square = 314.4 (p = 2.4e-70), Fisher's exact p = 9.9e-87, phi = 0.82. Abstract and Introduction updated to report Fisher's exact p rather than a bare "p &lt; 0.0001".</w:t>
      </w:r>
    </w:p>
    <w:p>
      <w:r>
        <w:rPr>
          <w:b/>
          <w:color w:val="C00000"/>
        </w:rPr>
        <w:t xml:space="preserve">(c) Robustness. </w:t>
      </w:r>
      <w:r>
        <w:rPr>
          <w:b w:val="0"/>
          <w:color w:val="C00000"/>
        </w:rPr>
        <w:t>The 45-configuration threshold-sensitivity sweep described under comment 4(b) above functions as the robustness test (gap &gt; 50 pp in 40/45 configurations).</w:t>
      </w:r>
    </w:p>
    <w:p>
      <w:r>
        <w:rPr>
          <w:b/>
          <w:color w:val="C00000"/>
        </w:rPr>
        <w:t xml:space="preserve">(d) Moderated claim language. </w:t>
      </w:r>
      <w:r>
        <w:rPr>
          <w:b w:val="0"/>
          <w:color w:val="C00000"/>
        </w:rPr>
        <w:t>Section 6 Conclusion contribution 2 now reports the 69.1 pp separation with explicit CI brackets on each rate and Fisher's exact p, and cites the 45-configuration robustness of the 50 pp gap. Contribution 3 moderates the 0DTE-causal language (see comment 3(b) above). Section 5.3 similarly softens "tipping-point dynamic strengthens the structural interpretation" to "is consistent with, rather than proof of". Statistical claims on the 2020-vs-2024 separation are preserved as-is; only the causal-inference language around 0DTE is moderated.</w:t>
      </w:r>
    </w:p>
    <w:p>
      <w:r>
        <w:rPr>
          <w:b/>
          <w:color w:val="C00000"/>
        </w:rPr>
        <w:t>Change location: Section 4.1 statistical conventions paragraph; Section 4.3 Phase 1/3 inline CIs; Tables 2, 3, 4, 5 CI columns; references.bib added brown2001interval; new reprocessing scripts under scripts/validation/paper2/jrfm_revision/.</w:t>
      </w:r>
    </w:p>
    <w:p>
      <w:r>
        <w:rPr>
          <w:b/>
          <w:color w:val="000000"/>
        </w:rPr>
        <w:t xml:space="preserve">Comments 6: </w:t>
      </w:r>
      <w:r>
        <w:t>The discussion must be better connected to finance. The implications for risk management, market efficiency, and practitioners should be explicitly developed. The current discussion is too general and sometimes theoretical.</w:t>
      </w:r>
    </w:p>
    <w:p>
      <w:r>
        <w:rPr>
          <w:b/>
          <w:color w:val="C00000"/>
        </w:rPr>
        <w:t xml:space="preserve">Response 6: </w:t>
      </w:r>
    </w:p>
    <w:p>
      <w:r>
        <w:rPr>
          <w:b w:val="0"/>
          <w:color w:val="C00000"/>
        </w:rPr>
        <w:t>We agree that the original discussion was too general on the practitioner side.</w:t>
      </w:r>
    </w:p>
    <w:p>
      <w:r>
        <w:rPr>
          <w:b w:val="0"/>
          <w:color w:val="C00000"/>
        </w:rPr>
        <w:t>The previous Section 5.6 "Practitioner Implications" has been renamed "Practical Implications" and restructured into three explicit subsubsections matching the three axes the reviewer identified:</w:t>
      </w:r>
    </w:p>
    <w:p>
      <w:r>
        <w:rPr>
          <w:b/>
          <w:color w:val="C00000"/>
        </w:rPr>
        <w:t xml:space="preserve">Risk management. </w:t>
      </w:r>
      <w:r>
        <w:rPr>
          <w:b w:val="0"/>
          <w:color w:val="C00000"/>
        </w:rPr>
        <w:t>Three concrete applications developed: intraday volatility budgeting (regime as leading indicator for volatility-of-volatility exposure sizing), option-book hedging under OpEx concentration, and risk-scenario design (2020 fragmented vs 2024 persistent-negative as natural conditioning variables).</w:t>
      </w:r>
    </w:p>
    <w:p>
      <w:r>
        <w:rPr>
          <w:b/>
          <w:color w:val="C00000"/>
        </w:rPr>
        <w:t xml:space="preserve">Market efficiency. </w:t>
      </w:r>
      <w:r>
        <w:rPr>
          <w:b w:val="0"/>
          <w:color w:val="C00000"/>
        </w:rPr>
        <w:t>A positive account is offered: the detection-alpha orthogonality is consistent with a weakly efficient market in which structural constraints are reliably identifiable but already priced. This reconciles persistent microstructure influence with Sharpe deterioration.</w:t>
      </w:r>
    </w:p>
    <w:p>
      <w:r>
        <w:rPr>
          <w:b/>
          <w:color w:val="C00000"/>
        </w:rPr>
        <w:t xml:space="preserve">Practitioners: pipeline design and deployment. </w:t>
      </w:r>
      <w:r>
        <w:rPr>
          <w:b w:val="0"/>
          <w:color w:val="C00000"/>
        </w:rPr>
        <w:t>Two design implications developed: (i) the 30.8 pp advantage of raw strike-level data over pre-aggregated GEX challenges the default of parametric aggregation, with generalisations to credit risk, fixed-income surveillance, and equity factor research; (ii) the 2022-2024 0DTE regime shift implies that static microstructure models calibrated to pre-2022 data need recalibration.</w:t>
      </w:r>
    </w:p>
    <w:p>
      <w:r>
        <w:rPr>
          <w:b/>
          <w:color w:val="C00000"/>
        </w:rPr>
        <w:t>Change location: Section 5.6 "Practical Implications" (renamed from "Practitioner Implications"), three new subsubsections.</w:t>
      </w:r>
    </w:p>
    <w:p>
      <w:r>
        <w:rPr>
          <w:b/>
          <w:color w:val="000000"/>
        </w:rPr>
        <w:t xml:space="preserve">Comments 7: </w:t>
      </w:r>
      <w:r>
        <w:t>The limitations section must be expanded. It should clearly address the use of a single asset (SPY), the dependence on one LLM model, and the lack of external validation.</w:t>
      </w:r>
    </w:p>
    <w:p>
      <w:r>
        <w:rPr>
          <w:b/>
          <w:color w:val="C00000"/>
        </w:rPr>
        <w:t xml:space="preserve">Response 7: </w:t>
      </w:r>
    </w:p>
    <w:p>
      <w:r>
        <w:rPr>
          <w:b w:val="0"/>
          <w:color w:val="C00000"/>
        </w:rPr>
        <w:t>We thank the reviewer for flagging these specific omissions.</w:t>
      </w:r>
    </w:p>
    <w:p>
      <w:r>
        <w:rPr>
          <w:b w:val="0"/>
          <w:color w:val="C00000"/>
        </w:rPr>
        <w:t>Section 5.7 has been renamed "Limitations and Future Work" and expanded from six limitations to seven. Each item is now explicitly tied to a concrete follow-up study. The three items the reviewer named are now addressed as:</w:t>
      </w:r>
    </w:p>
    <w:p>
      <w:r>
        <w:rPr>
          <w:b/>
          <w:color w:val="C00000"/>
        </w:rPr>
        <w:t xml:space="preserve">(a) Single-asset scope. </w:t>
      </w:r>
      <w:r>
        <w:rPr>
          <w:b w:val="0"/>
          <w:color w:val="C00000"/>
        </w:rPr>
        <w:t>Item 1 ("Single-asset scope") explicitly acknowledges that all results concern SPY, lists QQQ, IWM, individual equities, and non-equity underliers as relevant but untested targets, and identifies cross-asset replication as the single highest-priority item for future work.</w:t>
      </w:r>
    </w:p>
    <w:p>
      <w:r>
        <w:rPr>
          <w:b/>
          <w:color w:val="C00000"/>
        </w:rPr>
        <w:t xml:space="preserve">(b) Single-LLM dependence. </w:t>
      </w:r>
      <w:r>
        <w:rPr>
          <w:b w:val="0"/>
          <w:color w:val="C00000"/>
        </w:rPr>
        <w:t>A dedicated second item proposes a model-swap protocol covering Anthropic Claude, OpenAI o3, Google Gemini, and open-source reasoning models using identical prompts, with cross-model agreement analysis as the diagnostic.</w:t>
      </w:r>
    </w:p>
    <w:p>
      <w:r>
        <w:rPr>
          <w:b/>
          <w:color w:val="C00000"/>
        </w:rPr>
        <w:t xml:space="preserve">(c) Lack of independent external validation. </w:t>
      </w:r>
      <w:r>
        <w:rPr>
          <w:b w:val="0"/>
          <w:color w:val="C00000"/>
        </w:rPr>
        <w:t>A new third item acknowledges that per-window ground-truth metrics are computed from the same Alpha Vantage feed used to construct the windows, and proposes cross-validation against CBOE DataShop / OPRA / commercial vendors (SpotGamma, MenthorQ) and against related microstructure observables.</w:t>
      </w:r>
    </w:p>
    <w:p>
      <w:r>
        <w:rPr>
          <w:b/>
          <w:color w:val="C00000"/>
        </w:rPr>
        <w:t>Change location: Section 5.7 Limitations and Future Work (renamed, expanded 6 -&gt; 7 items, each with explicit future-work sentence).</w:t>
      </w:r>
    </w:p>
    <w:p>
      <w:r>
        <w:rPr>
          <w:b/>
          <w:color w:val="000000"/>
        </w:rPr>
        <w:t xml:space="preserve">Comments 8: </w:t>
      </w:r>
      <w:r>
        <w:t>Figures and tables must be improved. Some are too dense and difficult to read. Labels and captions should be clearer and more explanatory.</w:t>
      </w:r>
    </w:p>
    <w:p>
      <w:r>
        <w:rPr>
          <w:b/>
          <w:color w:val="C00000"/>
        </w:rPr>
        <w:t xml:space="preserve">Response 8: </w:t>
      </w:r>
    </w:p>
    <w:p>
      <w:r>
        <w:rPr>
          <w:b w:val="0"/>
          <w:color w:val="C00000"/>
        </w:rPr>
        <w:t>We addressed the comment on figures and tables in two complementary ways: (i) a figure-font pass to raise in-figure text to publication-legible sizes and standardise across all figures, and (ii) a caption rewrite to make each caption self-contained.</w:t>
      </w:r>
    </w:p>
    <w:p>
      <w:r>
        <w:rPr>
          <w:b/>
          <w:color w:val="C00000"/>
        </w:rPr>
        <w:t xml:space="preserve">(a) Figure font-size standardisation. </w:t>
      </w:r>
      <w:r>
        <w:rPr>
          <w:b w:val="0"/>
          <w:color w:val="C00000"/>
        </w:rPr>
        <w:t>We audited every hardcoded ``fontsize=`` and ``labelsize=`` value across the eight JRFM figure generators and found values as low as 8-11 pt, which rendered as sub-10 pt type when the figure was scaled to textwidth in an A4 layout. We applied a uniform size-bump rule (floor 12 pt, "+2" on moderate sizes) across all eight figures, producing a consistent typographic hierarchy (12 pt for smallest annotations, rising to 16-18 pt for titles and display numbers). All six original figures (Figures 1-6) and the two revision-added figures (Figures 7-8) were regenerated from the bumped scripts. The one-shot bump script (``scripts/bump_font_sizes.py``) is committed in the code release so the change is reproducible.</w:t>
      </w:r>
    </w:p>
    <w:p>
      <w:r>
        <w:rPr>
          <w:b/>
          <w:color w:val="C00000"/>
        </w:rPr>
        <w:t xml:space="preserve">(b) Self-contained captions. </w:t>
      </w:r>
      <w:r>
        <w:rPr>
          <w:b w:val="0"/>
          <w:color w:val="C00000"/>
        </w:rPr>
        <w:t>Every caption now follows the rule: state (i) what is shown, (ii) the key numerical values a reader should notice, and (iii) what conclusion the reader should take from the figure. Five figure captions (Figures 1, 3, 4, 5, 6) were rewritten in this pass; Figures 7 and 8 and Tables 2-6 (added during other parts of the revision) were already written to this standard. Each rewritten caption ends with an explicit "Read this figure as:" clause giving the intended interpretation. For example, Figure 5 (GEX magnitude distribution) closes with "Read this figure as: the magnitude criterion alone -- before persistence or stability are even checked -- already separates the two eras, and the chosen $5B threshold is positioned in the trough between the two distributions rather than in the bulk of either."</w:t>
      </w:r>
    </w:p>
    <w:p>
      <w:r>
        <w:rPr>
          <w:b w:val="0"/>
          <w:color w:val="C00000"/>
        </w:rPr>
        <w:t>The resulting figures are materially easier to read at journal-print scale than the originals, with consistent font sizes across all eight figures and no in-figure text smaller than 12 pt.</w:t>
      </w:r>
    </w:p>
    <w:p>
      <w:r>
        <w:rPr>
          <w:b/>
          <w:color w:val="C00000"/>
        </w:rPr>
        <w:t>Change location: eight figure PNGs regenerated under docs/papers/paper2/figures/output/ and copied into docs/papers/jrfm/figures/; the bump script and all six modified figure generators committed; captions in Section 3 (Figure 1) and Section 4 (Figures 3, 4, 5, 6) rewritten in the .tex.</w:t>
      </w:r>
    </w:p>
    <w:p>
      <w:pPr>
        <w:pStyle w:val="Heading1"/>
      </w:pPr>
      <w:r>
        <w:t>4. Response to Comments on the Quality of English Language</w:t>
      </w:r>
    </w:p>
    <w:p>
      <w:r>
        <w:rPr>
          <w:b/>
        </w:rPr>
        <w:t xml:space="preserve">Point 1: </w:t>
      </w:r>
      <w:r>
        <w:t>The clarity of the manuscript needs improvement. Many sentences are too long and complex, which affects readability. The writing should be simplified by using shorter sentences, more direct wording, and by removing redundant or overly elaborate expressions. Careful language editing is recommended to improve clarity and flow.</w:t>
      </w:r>
    </w:p>
    <w:p>
      <w:r>
        <w:rPr>
          <w:b/>
          <w:color w:val="C00000"/>
        </w:rPr>
        <w:t xml:space="preserve">Response 1: </w:t>
      </w:r>
    </w:p>
    <w:p>
      <w:r>
        <w:rPr>
          <w:b w:val="0"/>
          <w:color w:val="C00000"/>
        </w:rPr>
        <w:t>We performed a full editing pass over the manuscript after all content changes were settled.</w:t>
      </w:r>
    </w:p>
    <w:p>
      <w:r>
        <w:rPr>
          <w:b w:val="0"/>
          <w:color w:val="C00000"/>
        </w:rPr>
        <w:t>We checked the manuscript for the usual English-editing offenders ("In order to", "It should be noted that", "It is worth noting", "Due to the fact that", "This is because", "Obviously", "Clearly"). None of these phrases appear in the manuscript; the original draft was already written in an active, direct register, so no changes were required on this axis.</w:t>
      </w:r>
    </w:p>
    <w:p>
      <w:r>
        <w:rPr>
          <w:b w:val="0"/>
          <w:color w:val="C00000"/>
        </w:rPr>
        <w:t>We identified the paragraphs with the most elaborate nested-clause sentences (the Section 1 philosophical opener and Section 5.5 Dispersed Knowledge) and rewrote them for directness. Section 1 was fully replaced in the rewrite for comment 1 above. Section 5.5 was tightened by breaking three &gt;40-word sentences into two-sentence units while retaining the Hayek citation and the 30.8 pp empirical claim.</w:t>
      </w:r>
    </w:p>
    <w:p>
      <w:r>
        <w:rPr>
          <w:b w:val="0"/>
          <w:color w:val="C00000"/>
        </w:rPr>
        <w:t>We verified terminology consistency across sections: "regime" (not "state") for the detection target, "persistent / fragmented" (not "stable / unstable") for the binary outcome, "obfuscation" (not "anonymisation"), "dealer gamma positioning" where the detection task is the referent.</w:t>
      </w:r>
    </w:p>
    <w:p>
      <w:r>
        <w:rPr>
          <w:b/>
          <w:color w:val="C00000"/>
        </w:rPr>
        <w:t>Change location: targeted tightening in Section 5.5 Dispersed Knowledge; Section 1 opener and Section 5.3 Market Structure Evolution rewrites landed in the earlier comments 1 and 3 commits; technical-term consistency verified throughout.</w:t>
      </w:r>
    </w:p>
    <w:p>
      <w:pPr>
        <w:pStyle w:val="Heading1"/>
      </w:pPr>
      <w:r>
        <w:t>5. Additional clarifications</w:t>
      </w:r>
    </w:p>
    <w:p>
      <w:r>
        <w:t>We have also raised with the handling editor (separately, via the portal comments-to-editor field) that Reviewer 1's report appears to apply to a different manuscript — it asks about conformable derivatives in the Heston framework, Heston-He-Zhu comparisons, jump-diffusion and fractional models, and computational challenges in an option-pricing algorithm, none of which are topics our manuscript addresses. We are prepared to respond substantively once the correct review is available, or to a replacement reviewer if that is more expedient. This clarification is orthogonal to Reviewer 3's comments and does not affect the revisions above.</w:t>
      </w:r>
    </w:p>
    <w:p>
      <w:r>
        <w:t>We have also incorporated Reviewer 2's recommendation for acceptance (uploaded separately as the Reviewer 2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