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2"/>
          <w:szCs w:val="32"/>
        </w:rPr>
        <w:t xml:space="preserve">Statistics – Answer Script</w:t>
      </w:r>
    </w:p>
    <w:p>
      <w:pPr>
        <w:pStyle w:val="Heading1"/>
        <w:spacing w:after="150" w:before="300"/>
      </w:pPr>
      <w:r>
        <w:rPr>
          <w:b/>
          <w:bCs/>
        </w:rPr>
        <w:t xml:space="preserve">Question: Give the notion of sample, population, and confidence interval.</w:t>
      </w:r>
    </w:p>
    <w:p>
      <w:pPr>
        <w:spacing w:after="60" w:before="150"/>
      </w:pPr>
      <w:r>
        <w:rPr>
          <w:b/>
          <w:bCs/>
        </w:rPr>
        <w:t xml:space="preserve">Population</w:t>
      </w:r>
    </w:p>
    <w:p>
      <w:pPr>
        <w:spacing w:after="100"/>
      </w:pPr>
      <w:r>
        <w:t xml:space="preserve">The population is the entire set of individuals, items, or measurements that we are interested in studying. It includes every possible observation relevant to the question being investigated. Population parameters (such as the true mean μ or true proportion p) are usually unknown, and studying the whole population is often impractical, expensive, or impossible.</w:t>
      </w:r>
    </w:p>
    <w:p>
      <w:pPr>
        <w:spacing w:after="60" w:before="150"/>
      </w:pPr>
      <w:r>
        <w:rPr>
          <w:b/>
          <w:bCs/>
        </w:rPr>
        <w:t xml:space="preserve">Sample</w:t>
      </w:r>
    </w:p>
    <w:p>
      <w:pPr>
        <w:spacing w:after="100"/>
      </w:pPr>
      <w:r>
        <w:t xml:space="preserve">A sample is a subset of the population that is actually observed or measured. It is selected — ideally at random — from the population in order to gather data and draw conclusions about the population as a whole, without examining every member of it. Statistics computed from a sample (such as the sample mean x̄ or sample proportion p̂) are used to estimate the corresponding population parameters.</w:t>
      </w:r>
    </w:p>
    <w:p>
      <w:pPr>
        <w:spacing w:after="60" w:before="150"/>
      </w:pPr>
      <w:r>
        <w:rPr>
          <w:b/>
          <w:bCs/>
        </w:rPr>
        <w:t xml:space="preserve">Confidence Interval</w:t>
      </w:r>
    </w:p>
    <w:p>
      <w:pPr>
        <w:spacing w:after="100"/>
      </w:pPr>
      <w:r>
        <w:t xml:space="preserve">A confidence interval is a range of values, calculated from sample data, that is likely to contain the true (unknown) population parameter with a specified level of confidence (commonly 90%, 95%, or 99%). It is generally expressed in the form:</w:t>
      </w:r>
    </w:p>
    <w:p>
      <w:pPr>
        <w:spacing w:after="100"/>
        <w:jc w:val="center"/>
      </w:pPr>
      <w:r>
        <w:rPr>
          <w:b/>
          <w:bCs/>
          <w:i/>
          <w:iCs/>
        </w:rPr>
        <w:t xml:space="preserve">θ̂ ± E</w:t>
      </w:r>
    </w:p>
    <w:p>
      <w:pPr>
        <w:spacing w:after="100"/>
      </w:pPr>
      <w:r>
        <w:t xml:space="preserve">where θ̂ is the point estimate obtained from the sample (e.g., sample mean or sample proportion), and E is the margin of error, which depends on the variability of the data, the sample size, and the chosen confidence level.</w:t>
      </w:r>
    </w:p>
    <w:p>
      <w:pPr>
        <w:spacing w:after="100"/>
      </w:pPr>
      <w:r>
        <w:t xml:space="preserve">Interpretation: If the sampling process were repeated many times and a confidence interval constructed each time, about (confidence level %) of those intervals would contain the true population parameter. For example, a 95% confidence interval means we are 95% confident that the true population parameter lies within the calculated interval.</w:t>
      </w:r>
    </w:p>
    <w:p>
      <w:pPr>
        <w:pBdr>
          <w:bottom w:val="single" w:color="999999" w:sz="6" w:space="1"/>
        </w:pBdr>
        <w:spacing w:after="200" w:before="200"/>
      </w:pPr>
    </w:p>
    <w:p>
      <w:pPr>
        <w:pStyle w:val="Heading1"/>
        <w:spacing w:after="150" w:before="300"/>
      </w:pPr>
      <w:r>
        <w:rPr>
          <w:b/>
          <w:bCs/>
        </w:rPr>
        <w:t xml:space="preserve">Question 2</w:t>
      </w:r>
    </w:p>
    <w:p>
      <w:pPr>
        <w:spacing w:after="100" w:before="200"/>
      </w:pPr>
      <w:r>
        <w:rPr>
          <w:b/>
          <w:bCs/>
          <w:i/>
          <w:iCs/>
        </w:rPr>
        <w:t xml:space="preserve">a) A data scientist compares the box plots of execution times (in milliseconds) of four search algorithms: Linear Search (LS), Binary Search (BS), Jump Search (JS), and Exponential Search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D9E2F3" w:val="clear"/>
            <w:vAlign w:val="center"/>
          </w:tcPr>
          <w:p>
            <w:pPr>
              <w:jc w:val="center"/>
            </w:pPr>
            <w:r>
              <w:rPr>
                <w:b/>
                <w:bCs/>
              </w:rPr>
              <w:t xml:space="preserve">Metric</w:t>
            </w:r>
          </w:p>
        </w:tc>
        <w:tc>
          <w:tcPr>
            <w:tcW w:type="dxa" w:w="1872"/>
            <w:shd w:fill="D9E2F3" w:val="clear"/>
            <w:vAlign w:val="center"/>
          </w:tcPr>
          <w:p>
            <w:pPr>
              <w:jc w:val="center"/>
            </w:pPr>
            <w:r>
              <w:rPr>
                <w:b/>
                <w:bCs/>
              </w:rPr>
              <w:t xml:space="preserve">LS</w:t>
            </w:r>
          </w:p>
        </w:tc>
        <w:tc>
          <w:tcPr>
            <w:tcW w:type="dxa" w:w="1872"/>
            <w:shd w:fill="D9E2F3" w:val="clear"/>
            <w:vAlign w:val="center"/>
          </w:tcPr>
          <w:p>
            <w:pPr>
              <w:jc w:val="center"/>
            </w:pPr>
            <w:r>
              <w:rPr>
                <w:b/>
                <w:bCs/>
              </w:rPr>
              <w:t xml:space="preserve">BS</w:t>
            </w:r>
          </w:p>
        </w:tc>
        <w:tc>
          <w:tcPr>
            <w:tcW w:type="dxa" w:w="1872"/>
            <w:shd w:fill="D9E2F3" w:val="clear"/>
            <w:vAlign w:val="center"/>
          </w:tcPr>
          <w:p>
            <w:pPr>
              <w:jc w:val="center"/>
            </w:pPr>
            <w:r>
              <w:rPr>
                <w:b/>
                <w:bCs/>
              </w:rPr>
              <w:t xml:space="preserve">JS</w:t>
            </w:r>
          </w:p>
        </w:tc>
        <w:tc>
          <w:tcPr>
            <w:tcW w:type="dxa" w:w="1872"/>
            <w:shd w:fill="D9E2F3" w:val="clear"/>
            <w:vAlign w:val="center"/>
          </w:tcPr>
          <w:p>
            <w:pPr>
              <w:jc w:val="center"/>
            </w:pPr>
            <w:r>
              <w:rPr>
                <w:b/>
                <w:bCs/>
              </w:rPr>
              <w:t xml:space="preserve">ES</w:t>
            </w:r>
          </w:p>
        </w:tc>
      </w:tr>
      <w:tr>
        <w:tc>
          <w:tcPr>
            <w:tcW w:type="dxa" w:w="1872"/>
            <w:vAlign w:val="center"/>
          </w:tcPr>
          <w:p>
            <w:pPr>
              <w:jc w:val="center"/>
            </w:pPr>
            <w:r>
              <w:rPr>
                <w:b w:val="false"/>
                <w:bCs w:val="false"/>
              </w:rPr>
              <w:t xml:space="preserve">Q1</w:t>
            </w:r>
          </w:p>
        </w:tc>
        <w:tc>
          <w:tcPr>
            <w:tcW w:type="dxa" w:w="1872"/>
            <w:vAlign w:val="center"/>
          </w:tcPr>
          <w:p>
            <w:pPr>
              <w:jc w:val="center"/>
            </w:pPr>
            <w:r>
              <w:rPr>
                <w:b w:val="false"/>
                <w:bCs w:val="false"/>
              </w:rPr>
              <w:t xml:space="preserve">40</w:t>
            </w:r>
          </w:p>
        </w:tc>
        <w:tc>
          <w:tcPr>
            <w:tcW w:type="dxa" w:w="1872"/>
            <w:vAlign w:val="center"/>
          </w:tcPr>
          <w:p>
            <w:pPr>
              <w:jc w:val="center"/>
            </w:pPr>
            <w:r>
              <w:rPr>
                <w:b w:val="false"/>
                <w:bCs w:val="false"/>
              </w:rPr>
              <w:t xml:space="preserve">18</w:t>
            </w:r>
          </w:p>
        </w:tc>
        <w:tc>
          <w:tcPr>
            <w:tcW w:type="dxa" w:w="1872"/>
            <w:vAlign w:val="center"/>
          </w:tcPr>
          <w:p>
            <w:pPr>
              <w:jc w:val="center"/>
            </w:pPr>
            <w:r>
              <w:rPr>
                <w:b w:val="false"/>
                <w:bCs w:val="false"/>
              </w:rPr>
              <w:t xml:space="preserve">10</w:t>
            </w:r>
          </w:p>
        </w:tc>
        <w:tc>
          <w:tcPr>
            <w:tcW w:type="dxa" w:w="1872"/>
            <w:vAlign w:val="center"/>
          </w:tcPr>
          <w:p>
            <w:pPr>
              <w:jc w:val="center"/>
            </w:pPr>
            <w:r>
              <w:rPr>
                <w:b w:val="false"/>
                <w:bCs w:val="false"/>
              </w:rPr>
              <w:t xml:space="preserve">8</w:t>
            </w:r>
          </w:p>
        </w:tc>
      </w:tr>
      <w:tr>
        <w:tc>
          <w:tcPr>
            <w:tcW w:type="dxa" w:w="1872"/>
            <w:vAlign w:val="center"/>
          </w:tcPr>
          <w:p>
            <w:pPr>
              <w:jc w:val="center"/>
            </w:pPr>
            <w:r>
              <w:rPr>
                <w:b w:val="false"/>
                <w:bCs w:val="false"/>
              </w:rPr>
              <w:t xml:space="preserve">Median</w:t>
            </w:r>
          </w:p>
        </w:tc>
        <w:tc>
          <w:tcPr>
            <w:tcW w:type="dxa" w:w="1872"/>
            <w:vAlign w:val="center"/>
          </w:tcPr>
          <w:p>
            <w:pPr>
              <w:jc w:val="center"/>
            </w:pPr>
            <w:r>
              <w:rPr>
                <w:b w:val="false"/>
                <w:bCs w:val="false"/>
              </w:rPr>
              <w:t xml:space="preserve">55</w:t>
            </w:r>
          </w:p>
        </w:tc>
        <w:tc>
          <w:tcPr>
            <w:tcW w:type="dxa" w:w="1872"/>
            <w:vAlign w:val="center"/>
          </w:tcPr>
          <w:p>
            <w:pPr>
              <w:jc w:val="center"/>
            </w:pPr>
            <w:r>
              <w:rPr>
                <w:b w:val="false"/>
                <w:bCs w:val="false"/>
              </w:rPr>
              <w:t xml:space="preserve">14</w:t>
            </w:r>
          </w:p>
        </w:tc>
        <w:tc>
          <w:tcPr>
            <w:tcW w:type="dxa" w:w="1872"/>
            <w:vAlign w:val="center"/>
          </w:tcPr>
          <w:p>
            <w:pPr>
              <w:jc w:val="center"/>
            </w:pPr>
            <w:r>
              <w:rPr>
                <w:b w:val="false"/>
                <w:bCs w:val="false"/>
              </w:rPr>
              <w:t xml:space="preserve">24</w:t>
            </w:r>
          </w:p>
        </w:tc>
        <w:tc>
          <w:tcPr>
            <w:tcW w:type="dxa" w:w="1872"/>
            <w:vAlign w:val="center"/>
          </w:tcPr>
          <w:p>
            <w:pPr>
              <w:jc w:val="center"/>
            </w:pPr>
            <w:r>
              <w:rPr>
                <w:b w:val="false"/>
                <w:bCs w:val="false"/>
              </w:rPr>
              <w:t xml:space="preserve">10</w:t>
            </w:r>
          </w:p>
        </w:tc>
      </w:tr>
      <w:tr>
        <w:tc>
          <w:tcPr>
            <w:tcW w:type="dxa" w:w="1872"/>
            <w:vAlign w:val="center"/>
          </w:tcPr>
          <w:p>
            <w:pPr>
              <w:jc w:val="center"/>
            </w:pPr>
            <w:r>
              <w:rPr>
                <w:b w:val="false"/>
                <w:bCs w:val="false"/>
              </w:rPr>
              <w:t xml:space="preserve">Q3</w:t>
            </w:r>
          </w:p>
        </w:tc>
        <w:tc>
          <w:tcPr>
            <w:tcW w:type="dxa" w:w="1872"/>
            <w:vAlign w:val="center"/>
          </w:tcPr>
          <w:p>
            <w:pPr>
              <w:jc w:val="center"/>
            </w:pPr>
            <w:r>
              <w:rPr>
                <w:b w:val="false"/>
                <w:bCs w:val="false"/>
              </w:rPr>
              <w:t xml:space="preserve">70</w:t>
            </w:r>
          </w:p>
        </w:tc>
        <w:tc>
          <w:tcPr>
            <w:tcW w:type="dxa" w:w="1872"/>
            <w:vAlign w:val="center"/>
          </w:tcPr>
          <w:p>
            <w:pPr>
              <w:jc w:val="center"/>
            </w:pPr>
            <w:r>
              <w:rPr>
                <w:b w:val="false"/>
                <w:bCs w:val="false"/>
              </w:rPr>
              <w:t xml:space="preserve">18</w:t>
            </w:r>
          </w:p>
        </w:tc>
        <w:tc>
          <w:tcPr>
            <w:tcW w:type="dxa" w:w="1872"/>
            <w:vAlign w:val="center"/>
          </w:tcPr>
          <w:p>
            <w:pPr>
              <w:jc w:val="center"/>
            </w:pPr>
            <w:r>
              <w:rPr>
                <w:b w:val="false"/>
                <w:bCs w:val="false"/>
              </w:rPr>
              <w:t xml:space="preserve">30</w:t>
            </w:r>
          </w:p>
        </w:tc>
        <w:tc>
          <w:tcPr>
            <w:tcW w:type="dxa" w:w="1872"/>
            <w:vAlign w:val="center"/>
          </w:tcPr>
          <w:p>
            <w:pPr>
              <w:jc w:val="center"/>
            </w:pPr>
            <w:r>
              <w:rPr>
                <w:b w:val="false"/>
                <w:bCs w:val="false"/>
              </w:rPr>
              <w:t xml:space="preserve">12</w:t>
            </w:r>
          </w:p>
        </w:tc>
      </w:tr>
      <w:tr>
        <w:tc>
          <w:tcPr>
            <w:tcW w:type="dxa" w:w="1872"/>
            <w:vAlign w:val="center"/>
          </w:tcPr>
          <w:p>
            <w:pPr>
              <w:jc w:val="center"/>
            </w:pPr>
            <w:r>
              <w:rPr>
                <w:b w:val="false"/>
                <w:bCs w:val="false"/>
              </w:rPr>
              <w:t xml:space="preserve">Max</w:t>
            </w:r>
          </w:p>
        </w:tc>
        <w:tc>
          <w:tcPr>
            <w:tcW w:type="dxa" w:w="1872"/>
            <w:vAlign w:val="center"/>
          </w:tcPr>
          <w:p>
            <w:pPr>
              <w:jc w:val="center"/>
            </w:pPr>
            <w:r>
              <w:rPr>
                <w:b w:val="false"/>
                <w:bCs w:val="false"/>
              </w:rPr>
              <w:t xml:space="preserve">200</w:t>
            </w:r>
          </w:p>
        </w:tc>
        <w:tc>
          <w:tcPr>
            <w:tcW w:type="dxa" w:w="1872"/>
            <w:vAlign w:val="center"/>
          </w:tcPr>
          <w:p>
            <w:pPr>
              <w:jc w:val="center"/>
            </w:pPr>
            <w:r>
              <w:rPr>
                <w:b w:val="false"/>
                <w:bCs w:val="false"/>
              </w:rPr>
              <w:t xml:space="preserve">22</w:t>
            </w:r>
          </w:p>
        </w:tc>
        <w:tc>
          <w:tcPr>
            <w:tcW w:type="dxa" w:w="1872"/>
            <w:vAlign w:val="center"/>
          </w:tcPr>
          <w:p>
            <w:pPr>
              <w:jc w:val="center"/>
            </w:pPr>
            <w:r>
              <w:rPr>
                <w:b w:val="false"/>
                <w:bCs w:val="false"/>
              </w:rPr>
              <w:t xml:space="preserve">36</w:t>
            </w:r>
          </w:p>
        </w:tc>
        <w:tc>
          <w:tcPr>
            <w:tcW w:type="dxa" w:w="1872"/>
            <w:vAlign w:val="center"/>
          </w:tcPr>
          <w:p>
            <w:pPr>
              <w:jc w:val="center"/>
            </w:pPr>
            <w:r>
              <w:rPr>
                <w:b w:val="false"/>
                <w:bCs w:val="false"/>
              </w:rPr>
              <w:t xml:space="preserve">14</w:t>
            </w:r>
          </w:p>
        </w:tc>
      </w:tr>
      <w:tr>
        <w:tc>
          <w:tcPr>
            <w:tcW w:type="dxa" w:w="1872"/>
            <w:vAlign w:val="center"/>
          </w:tcPr>
          <w:p>
            <w:pPr>
              <w:jc w:val="center"/>
            </w:pPr>
            <w:r>
              <w:rPr>
                <w:b w:val="false"/>
                <w:bCs w:val="false"/>
              </w:rPr>
              <w:t xml:space="preserve">Min</w:t>
            </w:r>
          </w:p>
        </w:tc>
        <w:tc>
          <w:tcPr>
            <w:tcW w:type="dxa" w:w="1872"/>
            <w:vAlign w:val="center"/>
          </w:tcPr>
          <w:p>
            <w:pPr>
              <w:jc w:val="center"/>
            </w:pPr>
            <w:r>
              <w:rPr>
                <w:b w:val="false"/>
                <w:bCs w:val="false"/>
              </w:rPr>
              <w:t xml:space="preserve">30</w:t>
            </w:r>
          </w:p>
        </w:tc>
        <w:tc>
          <w:tcPr>
            <w:tcW w:type="dxa" w:w="1872"/>
            <w:vAlign w:val="center"/>
          </w:tcPr>
          <w:p>
            <w:pPr>
              <w:jc w:val="center"/>
            </w:pPr>
            <w:r>
              <w:rPr>
                <w:b w:val="false"/>
                <w:bCs w:val="false"/>
              </w:rPr>
              <w:t xml:space="preserve">8</w:t>
            </w:r>
          </w:p>
        </w:tc>
        <w:tc>
          <w:tcPr>
            <w:tcW w:type="dxa" w:w="1872"/>
            <w:vAlign w:val="center"/>
          </w:tcPr>
          <w:p>
            <w:pPr>
              <w:jc w:val="center"/>
            </w:pPr>
            <w:r>
              <w:rPr>
                <w:b w:val="false"/>
                <w:bCs w:val="false"/>
              </w:rPr>
              <w:t xml:space="preserve">15</w:t>
            </w:r>
          </w:p>
        </w:tc>
        <w:tc>
          <w:tcPr>
            <w:tcW w:type="dxa" w:w="1872"/>
            <w:vAlign w:val="center"/>
          </w:tcPr>
          <w:p>
            <w:pPr>
              <w:jc w:val="center"/>
            </w:pPr>
            <w:r>
              <w:rPr>
                <w:b w:val="false"/>
                <w:bCs w:val="false"/>
              </w:rPr>
              <w:t xml:space="preserve">7</w:t>
            </w:r>
          </w:p>
        </w:tc>
      </w:tr>
      <w:tr>
        <w:tc>
          <w:tcPr>
            <w:tcW w:type="dxa" w:w="1872"/>
            <w:shd w:fill="D9E2F3" w:val="clear"/>
            <w:vAlign w:val="center"/>
          </w:tcPr>
          <w:p>
            <w:pPr>
              <w:jc w:val="center"/>
            </w:pPr>
            <w:r>
              <w:rPr>
                <w:b/>
                <w:bCs/>
              </w:rPr>
              <w:t xml:space="preserve">IQR (Q3-Q1)</w:t>
            </w:r>
          </w:p>
        </w:tc>
        <w:tc>
          <w:tcPr>
            <w:tcW w:type="dxa" w:w="1872"/>
            <w:vAlign w:val="center"/>
          </w:tcPr>
          <w:p>
            <w:pPr>
              <w:jc w:val="center"/>
            </w:pPr>
            <w:r>
              <w:rPr>
                <w:b w:val="false"/>
                <w:bCs w:val="false"/>
              </w:rPr>
              <w:t xml:space="preserve">30</w:t>
            </w:r>
          </w:p>
        </w:tc>
        <w:tc>
          <w:tcPr>
            <w:tcW w:type="dxa" w:w="1872"/>
            <w:vAlign w:val="center"/>
          </w:tcPr>
          <w:p>
            <w:pPr>
              <w:jc w:val="center"/>
            </w:pPr>
            <w:r>
              <w:rPr>
                <w:b w:val="false"/>
                <w:bCs w:val="false"/>
              </w:rPr>
              <w:t xml:space="preserve">0</w:t>
            </w:r>
          </w:p>
        </w:tc>
        <w:tc>
          <w:tcPr>
            <w:tcW w:type="dxa" w:w="1872"/>
            <w:vAlign w:val="center"/>
          </w:tcPr>
          <w:p>
            <w:pPr>
              <w:jc w:val="center"/>
            </w:pPr>
            <w:r>
              <w:rPr>
                <w:b w:val="false"/>
                <w:bCs w:val="false"/>
              </w:rPr>
              <w:t xml:space="preserve">20</w:t>
            </w:r>
          </w:p>
        </w:tc>
        <w:tc>
          <w:tcPr>
            <w:tcW w:type="dxa" w:w="1872"/>
            <w:vAlign w:val="center"/>
          </w:tcPr>
          <w:p>
            <w:pPr>
              <w:jc w:val="center"/>
            </w:pPr>
            <w:r>
              <w:rPr>
                <w:b w:val="false"/>
                <w:bCs w:val="false"/>
              </w:rPr>
              <w:t xml:space="preserve">4</w:t>
            </w:r>
          </w:p>
        </w:tc>
      </w:tr>
      <w:tr>
        <w:tc>
          <w:tcPr>
            <w:tcW w:type="dxa" w:w="1872"/>
            <w:shd w:fill="D9E2F3" w:val="clear"/>
            <w:vAlign w:val="center"/>
          </w:tcPr>
          <w:p>
            <w:pPr>
              <w:jc w:val="center"/>
            </w:pPr>
            <w:r>
              <w:rPr>
                <w:b/>
                <w:bCs/>
              </w:rPr>
              <w:t xml:space="preserve">Range (Max-Min)</w:t>
            </w:r>
          </w:p>
        </w:tc>
        <w:tc>
          <w:tcPr>
            <w:tcW w:type="dxa" w:w="1872"/>
            <w:vAlign w:val="center"/>
          </w:tcPr>
          <w:p>
            <w:pPr>
              <w:jc w:val="center"/>
            </w:pPr>
            <w:r>
              <w:rPr>
                <w:b w:val="false"/>
                <w:bCs w:val="false"/>
              </w:rPr>
              <w:t xml:space="preserve">170</w:t>
            </w:r>
          </w:p>
        </w:tc>
        <w:tc>
          <w:tcPr>
            <w:tcW w:type="dxa" w:w="1872"/>
            <w:vAlign w:val="center"/>
          </w:tcPr>
          <w:p>
            <w:pPr>
              <w:jc w:val="center"/>
            </w:pPr>
            <w:r>
              <w:rPr>
                <w:b w:val="false"/>
                <w:bCs w:val="false"/>
              </w:rPr>
              <w:t xml:space="preserve">14</w:t>
            </w:r>
          </w:p>
        </w:tc>
        <w:tc>
          <w:tcPr>
            <w:tcW w:type="dxa" w:w="1872"/>
            <w:vAlign w:val="center"/>
          </w:tcPr>
          <w:p>
            <w:pPr>
              <w:jc w:val="center"/>
            </w:pPr>
            <w:r>
              <w:rPr>
                <w:b w:val="false"/>
                <w:bCs w:val="false"/>
              </w:rPr>
              <w:t xml:space="preserve">21</w:t>
            </w:r>
          </w:p>
        </w:tc>
        <w:tc>
          <w:tcPr>
            <w:tcW w:type="dxa" w:w="1872"/>
            <w:vAlign w:val="center"/>
          </w:tcPr>
          <w:p>
            <w:pPr>
              <w:jc w:val="center"/>
            </w:pPr>
            <w:r>
              <w:rPr>
                <w:b w:val="false"/>
                <w:bCs w:val="false"/>
              </w:rPr>
              <w:t xml:space="preserve">7</w:t>
            </w:r>
          </w:p>
        </w:tc>
      </w:tr>
    </w:tbl>
    <w:p>
      <w:pPr>
        <w:spacing w:after="60" w:before="150"/>
      </w:pPr>
      <w:r>
        <w:rPr>
          <w:b/>
          <w:bCs/>
        </w:rPr>
        <w:t xml:space="preserve">i) Which searching algorithm has the most consistent performance?</w:t>
      </w:r>
    </w:p>
    <w:p>
      <w:pPr>
        <w:spacing w:after="100"/>
      </w:pPr>
      <w:r>
        <w:t xml:space="preserve">Consistency is judged by the spread of the data — the smaller the Interquartile Range (IQR = Q3 − Q1) and the Range (Max − Min), the more consistent (less variable) the execution times.</w:t>
      </w:r>
    </w:p>
    <w:p>
      <w:pPr>
        <w:spacing w:after="100"/>
      </w:pPr>
      <w:r>
        <w:t xml:space="preserve">Exponential Search (ES) has the smallest range (14 − 7 = 7 ms) and a small IQR (12 − 8 = 4 ms) among the algorithms whose quartiles are properly ordered, meaning its execution times cluster tightly around its median (10 ms). Linear Search (LS), in contrast, has by far the largest range (200 − 30 = 170 ms) and IQR (30 ms), showing highly variable performance.</w:t>
      </w:r>
    </w:p>
    <w:p>
      <w:pPr>
        <w:spacing w:after="100"/>
      </w:pPr>
      <w:r>
        <w:rPr>
          <w:b/>
          <w:bCs/>
        </w:rPr>
        <w:t xml:space="preserve">Conclusion: Exponential Search (ES) shows the most consistent (least variable) performance.</w:t>
      </w:r>
    </w:p>
    <w:p>
      <w:pPr>
        <w:spacing w:after="60" w:before="150"/>
      </w:pPr>
      <w:r>
        <w:rPr>
          <w:b/>
          <w:bCs/>
        </w:rPr>
        <w:t xml:space="preserve">ii) Which algorithm is best suited for real-time / low-latency applications?</w:t>
      </w:r>
    </w:p>
    <w:p>
      <w:pPr>
        <w:spacing w:after="100"/>
      </w:pPr>
      <w:r>
        <w:t xml:space="preserve">A good candidate for real-time applications needs both a low median execution time (fast on average) and low variability (stable / predictable). Comparing medians: LS = 55 ms, BS = 14 ms, JS = 24 ms, ES = 10 ms.</w:t>
      </w:r>
    </w:p>
    <w:p>
      <w:pPr>
        <w:spacing w:after="100"/>
      </w:pPr>
      <w:r>
        <w:t xml:space="preserve">Exponential Search (ES) has the lowest median execution time (10 ms) combined with the smallest range and a small IQR, making its performance both fast and stable — the two properties required for low-latency, real-time use.</w:t>
      </w:r>
    </w:p>
    <w:p>
      <w:pPr>
        <w:spacing w:after="100"/>
      </w:pPr>
      <w:r>
        <w:rPr>
          <w:b/>
          <w:bCs/>
        </w:rPr>
        <w:t xml:space="preserve">Conclusion: Exponential Search (ES) is best suited for real-time applications requiring low latency and stable performance.</w:t>
      </w:r>
    </w:p>
    <w:p>
      <w:pPr>
        <w:spacing w:after="60" w:before="150"/>
      </w:pPr>
      <w:r>
        <w:rPr>
          <w:b/>
          <w:bCs/>
        </w:rPr>
        <w:t xml:space="preserve">iii) Is there an outlier in LS? What could it mean?</w:t>
      </w:r>
    </w:p>
    <w:p>
      <w:pPr>
        <w:spacing w:after="100"/>
      </w:pPr>
      <w:r>
        <w:t xml:space="preserve">Using the 1.5×IQR rule for Linear Search: Q1 = 40, Q3 = 70, so IQR = 70 − 40 = 30.</w:t>
      </w:r>
    </w:p>
    <w:p>
      <w:pPr>
        <w:pStyle w:val="ListParagraph"/>
        <w:numPr>
          <w:ilvl w:val="0"/>
          <w:numId w:val="1"/>
        </w:numPr>
        <w:spacing w:after="60"/>
      </w:pPr>
      <w:r>
        <w:t xml:space="preserve">Lower fence = Q1 − 1.5×IQR = 40 − 45 = −5</w:t>
      </w:r>
    </w:p>
    <w:p>
      <w:pPr>
        <w:pStyle w:val="ListParagraph"/>
        <w:numPr>
          <w:ilvl w:val="0"/>
          <w:numId w:val="1"/>
        </w:numPr>
        <w:spacing w:after="60"/>
      </w:pPr>
      <w:r>
        <w:t xml:space="preserve">Upper fence = Q3 + 1.5×IQR = 70 + 45 = 115</w:t>
      </w:r>
    </w:p>
    <w:p>
      <w:pPr>
        <w:spacing w:after="100"/>
      </w:pPr>
      <w:r>
        <w:t xml:space="preserve">The maximum value of LS is 200 ms, which is well above the upper fence of 115 ms. Therefore, 200 ms is an outlier.</w:t>
      </w:r>
    </w:p>
    <w:p>
      <w:pPr>
        <w:spacing w:after="100"/>
      </w:pPr>
      <w:r>
        <w:t xml:space="preserve">Interpretation: This outlier reflects Linear Search's O(n) worst-case behavior — occasionally, when the target element is near the end of the list, absent, or the input is very large, LS must scan almost the entire dataset, producing an execution time far higher than typical. This is consistent with LS being an inherently less scalable, worst-case-sensitive algorithm compared to BS/JS/ES.</w:t>
      </w:r>
    </w:p>
    <w:p>
      <w:pPr>
        <w:spacing w:after="100" w:before="200"/>
      </w:pPr>
      <w:r>
        <w:rPr>
          <w:b/>
          <w:bCs/>
          <w:i/>
          <w:iCs/>
        </w:rPr>
        <w:t xml:space="preserve">b) Mean cholesterol level = 250 mg/dL, Median = 220 mg/dL. What does this suggest about the distribution, and which measure should be reported to a physician?</w:t>
      </w:r>
    </w:p>
    <w:p>
      <w:pPr>
        <w:spacing w:after="100"/>
      </w:pPr>
      <w:r>
        <w:t xml:space="preserve">Since the mean (250) is noticeably greater than the median (220), the distribution of cholesterol levels is right-skewed (positively skewed). This happens when a relatively small number of patients have very high cholesterol readings, which pull the mean upward while the median — being resistant to extreme values — stays closer to where most of the data actually lie.</w:t>
      </w:r>
    </w:p>
    <w:p>
      <w:pPr>
        <w:spacing w:after="100"/>
      </w:pPr>
      <w:r>
        <w:rPr>
          <w:b/>
          <w:bCs/>
        </w:rPr>
        <w:t xml:space="preserve">Recommendation: The median (220 mg/dL) is the more appropriate measure to report to a physician for "typical" cholesterol levels, because it is not distorted by extreme high values and better represents the central tendency of a skewed distribution. The mean would give a misleadingly high impression of a typical patient's cholesterol level.</w:t>
      </w:r>
    </w:p>
    <w:p>
      <w:pPr>
        <w:spacing w:after="100" w:before="200"/>
      </w:pPr>
      <w:r>
        <w:rPr>
          <w:b/>
          <w:bCs/>
          <w:i/>
          <w:iCs/>
        </w:rPr>
        <w:t xml:space="preserve">c) A random sample of 100 recorded deaths in Bangladesh showed an average life span of 71.8 years. Population standard deviation = 8.9 years. Does this indicate the mean life span today is greater than 70 years? Use α = 0.05.</w:t>
      </w:r>
    </w:p>
    <w:p>
      <w:pPr>
        <w:spacing w:after="100"/>
      </w:pPr>
      <w:r>
        <w:t xml:space="preserve">This is a one-sample z-test for the population mean (σ known, right-tailed test).</w:t>
      </w:r>
    </w:p>
    <w:p>
      <w:pPr>
        <w:spacing w:after="60" w:before="150"/>
      </w:pPr>
      <w:r>
        <w:rPr>
          <w:b/>
          <w:bCs/>
        </w:rPr>
        <w:t xml:space="preserve">Step 1: Hypotheses</w:t>
      </w:r>
    </w:p>
    <w:p>
      <w:pPr>
        <w:pStyle w:val="ListParagraph"/>
        <w:numPr>
          <w:ilvl w:val="0"/>
          <w:numId w:val="1"/>
        </w:numPr>
        <w:spacing w:after="60"/>
      </w:pPr>
      <w:r>
        <w:t xml:space="preserve">H0: μ = 70 years (mean life span is not greater than 70)</w:t>
      </w:r>
    </w:p>
    <w:p>
      <w:pPr>
        <w:pStyle w:val="ListParagraph"/>
        <w:numPr>
          <w:ilvl w:val="0"/>
          <w:numId w:val="1"/>
        </w:numPr>
        <w:spacing w:after="60"/>
      </w:pPr>
      <w:r>
        <w:t xml:space="preserve">H1: μ &gt; 70 years (mean life span is greater than 70) — right-tailed test</w:t>
      </w:r>
    </w:p>
    <w:p>
      <w:pPr>
        <w:spacing w:after="60" w:before="150"/>
      </w:pPr>
      <w:r>
        <w:rPr>
          <w:b/>
          <w:bCs/>
        </w:rPr>
        <w:t xml:space="preserve">Step 2: Test statistic</w:t>
      </w:r>
    </w:p>
    <w:p>
      <w:pPr>
        <w:spacing w:after="100"/>
      </w:pPr>
      <w:r>
        <w:t xml:space="preserve">z = (x̄ − μ) / (σ/√n) = (71.8 − 70) / (8.9/√100) = 1.8 / 0.89 ≈ 2.02</w:t>
      </w:r>
    </w:p>
    <w:p>
      <w:pPr>
        <w:spacing w:after="60" w:before="150"/>
      </w:pPr>
      <w:r>
        <w:rPr>
          <w:b/>
          <w:bCs/>
        </w:rPr>
        <w:t xml:space="preserve">Step 3: Critical value / decision rule</w:t>
      </w:r>
    </w:p>
    <w:p>
      <w:pPr>
        <w:spacing w:after="100"/>
      </w:pPr>
      <w:r>
        <w:t xml:space="preserve">At α = 0.05 (right-tailed), the critical value is z₀.₀₅ = 1.645. The corresponding p-value is P(Z &gt; 2.02) ≈ 0.0217.</w:t>
      </w:r>
    </w:p>
    <w:p>
      <w:pPr>
        <w:spacing w:after="60" w:before="150"/>
      </w:pPr>
      <w:r>
        <w:rPr>
          <w:b/>
          <w:bCs/>
        </w:rPr>
        <w:t xml:space="preserve">Step 4: Decision</w:t>
      </w:r>
    </w:p>
    <w:p>
      <w:pPr>
        <w:spacing w:after="100"/>
      </w:pPr>
      <w:r>
        <w:t xml:space="preserve">Since the calculated z = 2.02 &gt; 1.645 (equivalently, p-value ≈ 0.0217 &lt; 0.05), we reject H0.</w:t>
      </w:r>
    </w:p>
    <w:p>
      <w:pPr>
        <w:spacing w:after="60" w:before="150"/>
      </w:pPr>
      <w:r>
        <w:rPr>
          <w:b/>
          <w:bCs/>
        </w:rPr>
        <w:t xml:space="preserve">Step 5: Conclusion</w:t>
      </w:r>
    </w:p>
    <w:p>
      <w:pPr>
        <w:spacing w:after="100"/>
      </w:pPr>
      <w:r>
        <w:rPr>
          <w:b/>
          <w:bCs/>
        </w:rPr>
        <w:t xml:space="preserve">There is sufficient statistical evidence, at the 0.05 significance level, to conclude that the current mean life span in Bangladesh is significantly greater than 70 years.</w:t>
      </w:r>
    </w:p>
    <w:p>
      <w:pPr>
        <w:spacing w:after="100" w:before="200"/>
      </w:pPr>
      <w:r>
        <w:rPr>
          <w:b/>
          <w:bCs/>
          <w:i/>
          <w:iCs/>
        </w:rPr>
        <w:t xml:space="preserve">d) Predict calorie burn per workout session (y, in hundreds) from exercise duration (x, in tens of minutes) using ŷ = 0.9 + 0.8x. Find and interpret R².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fill="D9E2F3" w:val="clear"/>
            <w:vAlign w:val="center"/>
          </w:tcPr>
          <w:p>
            <w:pPr>
              <w:jc w:val="center"/>
            </w:pPr>
            <w:r>
              <w:rPr>
                <w:b/>
                <w:bCs/>
              </w:rPr>
              <w:t xml:space="preserve">Session</w:t>
            </w:r>
          </w:p>
        </w:tc>
        <w:tc>
          <w:tcPr>
            <w:tcW w:type="dxa" w:w="1560"/>
            <w:shd w:fill="D9E2F3" w:val="clear"/>
            <w:vAlign w:val="center"/>
          </w:tcPr>
          <w:p>
            <w:pPr>
              <w:jc w:val="center"/>
            </w:pPr>
            <w:r>
              <w:rPr>
                <w:b/>
                <w:bCs/>
              </w:rPr>
              <w:t xml:space="preserve">1</w:t>
            </w:r>
          </w:p>
        </w:tc>
        <w:tc>
          <w:tcPr>
            <w:tcW w:type="dxa" w:w="1560"/>
            <w:shd w:fill="D9E2F3" w:val="clear"/>
            <w:vAlign w:val="center"/>
          </w:tcPr>
          <w:p>
            <w:pPr>
              <w:jc w:val="center"/>
            </w:pPr>
            <w:r>
              <w:rPr>
                <w:b/>
                <w:bCs/>
              </w:rPr>
              <w:t xml:space="preserve">2</w:t>
            </w:r>
          </w:p>
        </w:tc>
        <w:tc>
          <w:tcPr>
            <w:tcW w:type="dxa" w:w="1560"/>
            <w:shd w:fill="D9E2F3" w:val="clear"/>
            <w:vAlign w:val="center"/>
          </w:tcPr>
          <w:p>
            <w:pPr>
              <w:jc w:val="center"/>
            </w:pPr>
            <w:r>
              <w:rPr>
                <w:b/>
                <w:bCs/>
              </w:rPr>
              <w:t xml:space="preserve">3</w:t>
            </w:r>
          </w:p>
        </w:tc>
        <w:tc>
          <w:tcPr>
            <w:tcW w:type="dxa" w:w="1560"/>
            <w:shd w:fill="D9E2F3" w:val="clear"/>
            <w:vAlign w:val="center"/>
          </w:tcPr>
          <w:p>
            <w:pPr>
              <w:jc w:val="center"/>
            </w:pPr>
            <w:r>
              <w:rPr>
                <w:b/>
                <w:bCs/>
              </w:rPr>
              <w:t xml:space="preserve">4</w:t>
            </w:r>
          </w:p>
        </w:tc>
        <w:tc>
          <w:tcPr>
            <w:tcW w:type="dxa" w:w="1560"/>
            <w:shd w:fill="D9E2F3" w:val="clear"/>
            <w:vAlign w:val="center"/>
          </w:tcPr>
          <w:p>
            <w:pPr>
              <w:jc w:val="center"/>
            </w:pPr>
            <w:r>
              <w:rPr>
                <w:b/>
                <w:bCs/>
              </w:rPr>
              <w:t xml:space="preserve">5</w:t>
            </w:r>
          </w:p>
        </w:tc>
      </w:tr>
      <w:tr>
        <w:tc>
          <w:tcPr>
            <w:tcW w:type="dxa" w:w="1560"/>
            <w:vAlign w:val="center"/>
          </w:tcPr>
          <w:p>
            <w:pPr>
              <w:jc w:val="center"/>
            </w:pPr>
            <w:r>
              <w:rPr>
                <w:b w:val="false"/>
                <w:bCs w:val="false"/>
              </w:rPr>
              <w:t xml:space="preserve">x</w:t>
            </w:r>
          </w:p>
        </w:tc>
        <w:tc>
          <w:tcPr>
            <w:tcW w:type="dxa" w:w="1560"/>
            <w:vAlign w:val="center"/>
          </w:tcPr>
          <w:p>
            <w:pPr>
              <w:jc w:val="center"/>
            </w:pPr>
            <w:r>
              <w:rPr>
                <w:b w:val="false"/>
                <w:bCs w:val="false"/>
              </w:rPr>
              <w:t xml:space="preserve">1</w:t>
            </w:r>
          </w:p>
        </w:tc>
        <w:tc>
          <w:tcPr>
            <w:tcW w:type="dxa" w:w="1560"/>
            <w:vAlign w:val="center"/>
          </w:tcPr>
          <w:p>
            <w:pPr>
              <w:jc w:val="center"/>
            </w:pPr>
            <w:r>
              <w:rPr>
                <w:b w:val="false"/>
                <w:bCs w:val="false"/>
              </w:rPr>
              <w:t xml:space="preserve">2</w:t>
            </w:r>
          </w:p>
        </w:tc>
        <w:tc>
          <w:tcPr>
            <w:tcW w:type="dxa" w:w="1560"/>
            <w:vAlign w:val="center"/>
          </w:tcPr>
          <w:p>
            <w:pPr>
              <w:jc w:val="center"/>
            </w:pPr>
            <w:r>
              <w:rPr>
                <w:b w:val="false"/>
                <w:bCs w:val="false"/>
              </w:rPr>
              <w:t xml:space="preserve">3</w:t>
            </w:r>
          </w:p>
        </w:tc>
        <w:tc>
          <w:tcPr>
            <w:tcW w:type="dxa" w:w="1560"/>
            <w:vAlign w:val="center"/>
          </w:tcPr>
          <w:p>
            <w:pPr>
              <w:jc w:val="center"/>
            </w:pPr>
            <w:r>
              <w:rPr>
                <w:b w:val="false"/>
                <w:bCs w:val="false"/>
              </w:rPr>
              <w:t xml:space="preserve">4</w:t>
            </w:r>
          </w:p>
        </w:tc>
        <w:tc>
          <w:tcPr>
            <w:tcW w:type="dxa" w:w="1560"/>
            <w:vAlign w:val="center"/>
          </w:tcPr>
          <w:p>
            <w:pPr>
              <w:jc w:val="center"/>
            </w:pPr>
            <w:r>
              <w:rPr>
                <w:b w:val="false"/>
                <w:bCs w:val="false"/>
              </w:rPr>
              <w:t xml:space="preserve">5</w:t>
            </w:r>
          </w:p>
        </w:tc>
      </w:tr>
      <w:tr>
        <w:tc>
          <w:tcPr>
            <w:tcW w:type="dxa" w:w="1560"/>
            <w:vAlign w:val="center"/>
          </w:tcPr>
          <w:p>
            <w:pPr>
              <w:jc w:val="center"/>
            </w:pPr>
            <w:r>
              <w:rPr>
                <w:b w:val="false"/>
                <w:bCs w:val="false"/>
              </w:rPr>
              <w:t xml:space="preserve">y</w:t>
            </w:r>
          </w:p>
        </w:tc>
        <w:tc>
          <w:tcPr>
            <w:tcW w:type="dxa" w:w="1560"/>
            <w:vAlign w:val="center"/>
          </w:tcPr>
          <w:p>
            <w:pPr>
              <w:jc w:val="center"/>
            </w:pPr>
            <w:r>
              <w:rPr>
                <w:b w:val="false"/>
                <w:bCs w:val="false"/>
              </w:rPr>
              <w:t xml:space="preserve">1.8</w:t>
            </w:r>
          </w:p>
        </w:tc>
        <w:tc>
          <w:tcPr>
            <w:tcW w:type="dxa" w:w="1560"/>
            <w:vAlign w:val="center"/>
          </w:tcPr>
          <w:p>
            <w:pPr>
              <w:jc w:val="center"/>
            </w:pPr>
            <w:r>
              <w:rPr>
                <w:b w:val="false"/>
                <w:bCs w:val="false"/>
              </w:rPr>
              <w:t xml:space="preserve">2.4</w:t>
            </w:r>
          </w:p>
        </w:tc>
        <w:tc>
          <w:tcPr>
            <w:tcW w:type="dxa" w:w="1560"/>
            <w:vAlign w:val="center"/>
          </w:tcPr>
          <w:p>
            <w:pPr>
              <w:jc w:val="center"/>
            </w:pPr>
            <w:r>
              <w:rPr>
                <w:b w:val="false"/>
                <w:bCs w:val="false"/>
              </w:rPr>
              <w:t xml:space="preserve">3.2</w:t>
            </w:r>
          </w:p>
        </w:tc>
        <w:tc>
          <w:tcPr>
            <w:tcW w:type="dxa" w:w="1560"/>
            <w:vAlign w:val="center"/>
          </w:tcPr>
          <w:p>
            <w:pPr>
              <w:jc w:val="center"/>
            </w:pPr>
            <w:r>
              <w:rPr>
                <w:b w:val="false"/>
                <w:bCs w:val="false"/>
              </w:rPr>
              <w:t xml:space="preserve">4.1</w:t>
            </w:r>
          </w:p>
        </w:tc>
        <w:tc>
          <w:tcPr>
            <w:tcW w:type="dxa" w:w="1560"/>
            <w:vAlign w:val="center"/>
          </w:tcPr>
          <w:p>
            <w:pPr>
              <w:jc w:val="center"/>
            </w:pPr>
            <w:r>
              <w:rPr>
                <w:b w:val="false"/>
                <w:bCs w:val="false"/>
              </w:rPr>
              <w:t xml:space="preserve">5.0</w:t>
            </w:r>
          </w:p>
        </w:tc>
      </w:tr>
      <w:tr>
        <w:tc>
          <w:tcPr>
            <w:tcW w:type="dxa" w:w="1560"/>
            <w:vAlign w:val="center"/>
          </w:tcPr>
          <w:p>
            <w:pPr>
              <w:jc w:val="center"/>
            </w:pPr>
            <w:r>
              <w:rPr>
                <w:b w:val="false"/>
                <w:bCs w:val="false"/>
              </w:rPr>
              <w:t xml:space="preserve">ŷ = 0.9+0.8x</w:t>
            </w:r>
          </w:p>
        </w:tc>
        <w:tc>
          <w:tcPr>
            <w:tcW w:type="dxa" w:w="1560"/>
            <w:vAlign w:val="center"/>
          </w:tcPr>
          <w:p>
            <w:pPr>
              <w:jc w:val="center"/>
            </w:pPr>
            <w:r>
              <w:rPr>
                <w:b w:val="false"/>
                <w:bCs w:val="false"/>
              </w:rPr>
              <w:t xml:space="preserve">1.7</w:t>
            </w:r>
          </w:p>
        </w:tc>
        <w:tc>
          <w:tcPr>
            <w:tcW w:type="dxa" w:w="1560"/>
            <w:vAlign w:val="center"/>
          </w:tcPr>
          <w:p>
            <w:pPr>
              <w:jc w:val="center"/>
            </w:pPr>
            <w:r>
              <w:rPr>
                <w:b w:val="false"/>
                <w:bCs w:val="false"/>
              </w:rPr>
              <w:t xml:space="preserve">2.5</w:t>
            </w:r>
          </w:p>
        </w:tc>
        <w:tc>
          <w:tcPr>
            <w:tcW w:type="dxa" w:w="1560"/>
            <w:vAlign w:val="center"/>
          </w:tcPr>
          <w:p>
            <w:pPr>
              <w:jc w:val="center"/>
            </w:pPr>
            <w:r>
              <w:rPr>
                <w:b w:val="false"/>
                <w:bCs w:val="false"/>
              </w:rPr>
              <w:t xml:space="preserve">3.3</w:t>
            </w:r>
          </w:p>
        </w:tc>
        <w:tc>
          <w:tcPr>
            <w:tcW w:type="dxa" w:w="1560"/>
            <w:vAlign w:val="center"/>
          </w:tcPr>
          <w:p>
            <w:pPr>
              <w:jc w:val="center"/>
            </w:pPr>
            <w:r>
              <w:rPr>
                <w:b w:val="false"/>
                <w:bCs w:val="false"/>
              </w:rPr>
              <w:t xml:space="preserve">4.1</w:t>
            </w:r>
          </w:p>
        </w:tc>
        <w:tc>
          <w:tcPr>
            <w:tcW w:type="dxa" w:w="1560"/>
            <w:vAlign w:val="center"/>
          </w:tcPr>
          <w:p>
            <w:pPr>
              <w:jc w:val="center"/>
            </w:pPr>
            <w:r>
              <w:rPr>
                <w:b w:val="false"/>
                <w:bCs w:val="false"/>
              </w:rPr>
              <w:t xml:space="preserve">4.9</w:t>
            </w:r>
          </w:p>
        </w:tc>
      </w:tr>
      <w:tr>
        <w:tc>
          <w:tcPr>
            <w:tcW w:type="dxa" w:w="1560"/>
            <w:vAlign w:val="center"/>
          </w:tcPr>
          <w:p>
            <w:pPr>
              <w:jc w:val="center"/>
            </w:pPr>
            <w:r>
              <w:rPr>
                <w:b w:val="false"/>
                <w:bCs w:val="false"/>
              </w:rPr>
              <w:t xml:space="preserve">y - ŷ</w:t>
            </w:r>
          </w:p>
        </w:tc>
        <w:tc>
          <w:tcPr>
            <w:tcW w:type="dxa" w:w="1560"/>
            <w:vAlign w:val="center"/>
          </w:tcPr>
          <w:p>
            <w:pPr>
              <w:jc w:val="center"/>
            </w:pPr>
            <w:r>
              <w:rPr>
                <w:b w:val="false"/>
                <w:bCs w:val="false"/>
              </w:rPr>
              <w:t xml:space="preserve">0.1</w:t>
            </w:r>
          </w:p>
        </w:tc>
        <w:tc>
          <w:tcPr>
            <w:tcW w:type="dxa" w:w="1560"/>
            <w:vAlign w:val="center"/>
          </w:tcPr>
          <w:p>
            <w:pPr>
              <w:jc w:val="center"/>
            </w:pPr>
            <w:r>
              <w:rPr>
                <w:b w:val="false"/>
                <w:bCs w:val="false"/>
              </w:rPr>
              <w:t xml:space="preserve">-0.1</w:t>
            </w:r>
          </w:p>
        </w:tc>
        <w:tc>
          <w:tcPr>
            <w:tcW w:type="dxa" w:w="1560"/>
            <w:vAlign w:val="center"/>
          </w:tcPr>
          <w:p>
            <w:pPr>
              <w:jc w:val="center"/>
            </w:pPr>
            <w:r>
              <w:rPr>
                <w:b w:val="false"/>
                <w:bCs w:val="false"/>
              </w:rPr>
              <w:t xml:space="preserve">-0.1</w:t>
            </w:r>
          </w:p>
        </w:tc>
        <w:tc>
          <w:tcPr>
            <w:tcW w:type="dxa" w:w="1560"/>
            <w:vAlign w:val="center"/>
          </w:tcPr>
          <w:p>
            <w:pPr>
              <w:jc w:val="center"/>
            </w:pPr>
            <w:r>
              <w:rPr>
                <w:b w:val="false"/>
                <w:bCs w:val="false"/>
              </w:rPr>
              <w:t xml:space="preserve">0.0</w:t>
            </w:r>
          </w:p>
        </w:tc>
        <w:tc>
          <w:tcPr>
            <w:tcW w:type="dxa" w:w="1560"/>
            <w:vAlign w:val="center"/>
          </w:tcPr>
          <w:p>
            <w:pPr>
              <w:jc w:val="center"/>
            </w:pPr>
            <w:r>
              <w:rPr>
                <w:b w:val="false"/>
                <w:bCs w:val="false"/>
              </w:rPr>
              <w:t xml:space="preserve">0.1</w:t>
            </w:r>
          </w:p>
        </w:tc>
      </w:tr>
      <w:tr>
        <w:tc>
          <w:tcPr>
            <w:tcW w:type="dxa" w:w="1560"/>
            <w:vAlign w:val="center"/>
          </w:tcPr>
          <w:p>
            <w:pPr>
              <w:jc w:val="center"/>
            </w:pPr>
            <w:r>
              <w:rPr>
                <w:b w:val="false"/>
                <w:bCs w:val="false"/>
              </w:rPr>
              <w:t xml:space="preserve">(y-ŷ)²</w:t>
            </w:r>
          </w:p>
        </w:tc>
        <w:tc>
          <w:tcPr>
            <w:tcW w:type="dxa" w:w="1560"/>
            <w:vAlign w:val="center"/>
          </w:tcPr>
          <w:p>
            <w:pPr>
              <w:jc w:val="center"/>
            </w:pPr>
            <w:r>
              <w:rPr>
                <w:b w:val="false"/>
                <w:bCs w:val="false"/>
              </w:rPr>
              <w:t xml:space="preserve">0.01</w:t>
            </w:r>
          </w:p>
        </w:tc>
        <w:tc>
          <w:tcPr>
            <w:tcW w:type="dxa" w:w="1560"/>
            <w:vAlign w:val="center"/>
          </w:tcPr>
          <w:p>
            <w:pPr>
              <w:jc w:val="center"/>
            </w:pPr>
            <w:r>
              <w:rPr>
                <w:b w:val="false"/>
                <w:bCs w:val="false"/>
              </w:rPr>
              <w:t xml:space="preserve">0.01</w:t>
            </w:r>
          </w:p>
        </w:tc>
        <w:tc>
          <w:tcPr>
            <w:tcW w:type="dxa" w:w="1560"/>
            <w:vAlign w:val="center"/>
          </w:tcPr>
          <w:p>
            <w:pPr>
              <w:jc w:val="center"/>
            </w:pPr>
            <w:r>
              <w:rPr>
                <w:b w:val="false"/>
                <w:bCs w:val="false"/>
              </w:rPr>
              <w:t xml:space="preserve">0.01</w:t>
            </w:r>
          </w:p>
        </w:tc>
        <w:tc>
          <w:tcPr>
            <w:tcW w:type="dxa" w:w="1560"/>
            <w:vAlign w:val="center"/>
          </w:tcPr>
          <w:p>
            <w:pPr>
              <w:jc w:val="center"/>
            </w:pPr>
            <w:r>
              <w:rPr>
                <w:b w:val="false"/>
                <w:bCs w:val="false"/>
              </w:rPr>
              <w:t xml:space="preserve">0.00</w:t>
            </w:r>
          </w:p>
        </w:tc>
        <w:tc>
          <w:tcPr>
            <w:tcW w:type="dxa" w:w="1560"/>
            <w:vAlign w:val="center"/>
          </w:tcPr>
          <w:p>
            <w:pPr>
              <w:jc w:val="center"/>
            </w:pPr>
            <w:r>
              <w:rPr>
                <w:b w:val="false"/>
                <w:bCs w:val="false"/>
              </w:rPr>
              <w:t xml:space="preserve">0.01</w:t>
            </w:r>
          </w:p>
        </w:tc>
      </w:tr>
    </w:tbl>
    <w:p>
      <w:pPr>
        <w:spacing w:after="100"/>
      </w:pPr>
      <w:r>
        <w:t xml:space="preserve"/>
      </w:r>
    </w:p>
    <w:p>
      <w:pPr>
        <w:spacing w:after="60" w:before="150"/>
      </w:pPr>
      <w:r>
        <w:rPr>
          <w:b/>
          <w:bCs/>
        </w:rPr>
        <w:t xml:space="preserve">Step 1: Compute SSE (Sum of Squared Errors)</w:t>
      </w:r>
    </w:p>
    <w:p>
      <w:pPr>
        <w:spacing w:after="100"/>
      </w:pPr>
      <w:r>
        <w:t xml:space="preserve">SSE = Σ(y − ŷ)² = 0.01 + 0.01 + 0.01 + 0.00 + 0.01 = 0.04</w:t>
      </w:r>
    </w:p>
    <w:p>
      <w:pPr>
        <w:spacing w:after="60" w:before="150"/>
      </w:pPr>
      <w:r>
        <w:rPr>
          <w:b/>
          <w:bCs/>
        </w:rPr>
        <w:t xml:space="preserve">Step 2: Compute SST (Total Sum of Squares)</w:t>
      </w:r>
    </w:p>
    <w:p>
      <w:pPr>
        <w:spacing w:after="100"/>
      </w:pPr>
      <w:r>
        <w:t xml:space="preserve">Mean of y: ȳ = (1.8 + 2.4 + 3.2 + 4.1 + 5.0) / 5 = 16.5 / 5 = 3.3</w:t>
      </w:r>
    </w:p>
    <w:p>
      <w:pPr>
        <w:spacing w:after="100"/>
      </w:pPr>
      <w:r>
        <w:t xml:space="preserve">SST = Σ(y − ȳ)² = (−1.5)² + (−0.9)² + (−0.1)² + (0.8)² + (1.7)² = 2.25 + 0.81 + 0.01 + 0.64 + 2.89 = 6.60</w:t>
      </w:r>
    </w:p>
    <w:p>
      <w:pPr>
        <w:spacing w:after="60" w:before="150"/>
      </w:pPr>
      <w:r>
        <w:rPr>
          <w:b/>
          <w:bCs/>
        </w:rPr>
        <w:t xml:space="preserve">Step 3: Compute R²</w:t>
      </w:r>
    </w:p>
    <w:p>
      <w:pPr>
        <w:spacing w:after="100"/>
      </w:pPr>
      <w:r>
        <w:t xml:space="preserve">R² = 1 − (SSE / SST) = 1 − (0.04 / 6.60) = 1 − 0.0061 ≈ 0.994</w:t>
      </w:r>
    </w:p>
    <w:p>
      <w:pPr>
        <w:spacing w:after="60" w:before="150"/>
      </w:pPr>
      <w:r>
        <w:rPr>
          <w:b/>
          <w:bCs/>
        </w:rPr>
        <w:t xml:space="preserve">Interpretation</w:t>
      </w:r>
    </w:p>
    <w:p>
      <w:pPr>
        <w:spacing w:after="100"/>
      </w:pPr>
      <w:r>
        <w:rPr>
          <w:b/>
          <w:bCs/>
        </w:rPr>
        <w:t xml:space="preserve">R² ≈ 0.994 means that approximately 99.4% of the variability in calorie burn (y) is explained by exercise duration (x) through the linear regression model. This indicates an excellent fit — exercise duration is an extremely strong linear predictor of calorie burn in this dataset, and only about 0.6% of the variation is due to factors not captured by the model (e.g., intensity, individual metabolism, workout type).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2026-08-09T07:56:14.896Z</dcterms:created>
  <dcterms:modified xsi:type="dcterms:W3CDTF">2026-08-09T07:56:14.896Z</dcterms:modified>
</cp:coreProperties>
</file>

<file path=docProps/custom.xml><?xml version="1.0" encoding="utf-8"?>
<Properties xmlns="http://schemas.openxmlformats.org/officeDocument/2006/custom-properties" xmlns:vt="http://schemas.openxmlformats.org/officeDocument/2006/docPropsVTypes"/>
</file>