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MEMORANDO DE COMITÉ DE INVERSIONES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>Proyecto Inversión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4"/>
      </w:tblGrid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Proyecto Inversión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Ubicación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Bogotá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Activo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Inmueble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Estructura del Deal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Compra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Preparado por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Vertex Capital Group - Deal Team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2026-03-15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Equity Requerido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2,500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Project Cost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5,000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Recomendación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MÁS DD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RESUMEN EJECUTIVO</w:t>
      </w:r>
    </w:p>
    <w:p>
      <w:pPr>
        <w:spacing w:before="60" w:after="60"/>
      </w:pPr>
      <w:r>
        <w:t xml:space="preserve"/>
      </w:r>
    </w:p>
    <w:p>
      <w:pPr>
        <w:spacing w:before="80" w:after="160"/>
      </w:pPr>
      <w:r>
        <w:rPr>
          <w:rFonts w:ascii="Arial" w:cs="Arial" w:eastAsia="Arial" w:hAnsi="Arial"/>
          <w:color w:val="404040"/>
          <w:sz w:val="20"/>
          <w:szCs w:val="20"/>
        </w:rPr>
        <w:t>Proyecto Inversión es un Inmueble ubicado en Bogotá. Estructura del deal: Compra. Costo total del proyecto: 5,000 MM COP. Equity requerido: 2,500 MM COP. IRR base proyectado: 18%. Riesgo principal: Inestabilidad del mercado inmobiliario que puede afectar el valor de la inversión..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>Ubicación: Bogotá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>Tipo de activo: Inmueble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>IRR base: 18% | Equity Multiple: 2.0x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>Riesgo crítico: Problemas legales relacionados con la propiedad que pueden resultar en litigios.</w:t>
      </w:r>
    </w:p>
    <w:p>
      <w:pPr>
        <w:spacing w:before="60" w:after="60"/>
      </w:pPr>
      <w:r>
        <w:t xml:space="preserv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DESCRIPCIÓN DEL PROYECTO</w:t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Ubicación y Acceso</w:t>
      </w:r>
    </w:p>
    <w:p>
      <w:pPr>
        <w:spacing w:before="80" w:after="160"/>
      </w:pPr>
      <w:r>
        <w:rPr>
          <w:rFonts w:ascii="Arial" w:cs="Arial" w:eastAsia="Arial" w:hAnsi="Arial"/>
          <w:color w:val="404040"/>
          <w:sz w:val="20"/>
          <w:szCs w:val="20"/>
        </w:rPr>
        <w:t>Bogotá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Características del Activo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4"/>
      </w:tblGrid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Activo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Inmueble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Área Total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Por determinar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Unidades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N/A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Zoning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Por confirmar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Año Construcción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Nuevo – greenfield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En desarrollo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Ocupación Actual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0% – pre-construcción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Plan de Desarrollo</w:t>
      </w:r>
    </w:p>
    <w:p>
      <w:pPr>
        <w:spacing w:before="80" w:after="160"/>
      </w:pPr>
      <w:r>
        <w:rPr>
          <w:rFonts w:ascii="Arial" w:cs="Arial" w:eastAsia="Arial" w:hAnsi="Arial"/>
          <w:color w:val="404040"/>
          <w:sz w:val="20"/>
          <w:szCs w:val="20"/>
        </w:rPr>
        <w:t>Desarrollo Urbano</w:t>
      </w:r>
    </w:p>
    <w:p>
      <w:pPr>
        <w:spacing w:before="60" w:after="60"/>
      </w:pPr>
      <w:r>
        <w:t xml:space="preserv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ANÁLISIS DE MERCADO</w:t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Fundamentales del Mercado</w:t>
      </w:r>
    </w:p>
    <w:p>
      <w:pPr>
        <w:spacing w:before="80" w:after="160"/>
      </w:pPr>
      <w:r>
        <w:rPr>
          <w:rFonts w:ascii="Arial" w:cs="Arial" w:eastAsia="Arial" w:hAnsi="Arial"/>
          <w:color w:val="404040"/>
          <w:sz w:val="20"/>
          <w:szCs w:val="20"/>
        </w:rPr>
        <w:t>La demanda de espacios comerciales en Colombia ha crecido un 5% anual, con tasas de vacancia promedio del 10%. La absorción de nuevos espacios ha sido positiva, impulsada por el crecimiento del comercio electrónico y la reactivación económica post-pandemia. Las tendencias de renta muestran un aumento moderado en las principales ciudades.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Comparables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059"/>
        <w:gridCol w:w="1684"/>
        <w:gridCol w:w="1404"/>
        <w:gridCol w:w="1405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Renta/m²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Rate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Edificio Centro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Bogotá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$30,000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8%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2023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Torre Empresarial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Medellín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$28,000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7.5%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2023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Parque Comercial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Cali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$32,000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8.5%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2023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Ventajas Competitivas</w:t>
      </w:r>
    </w:p>
    <w:p>
      <w:pPr>
        <w:spacing w:before="80" w:after="160"/>
      </w:pPr>
      <w:r>
        <w:rPr>
          <w:rFonts w:ascii="Arial" w:cs="Arial" w:eastAsia="Arial" w:hAnsi="Arial"/>
          <w:color w:val="404040"/>
          <w:sz w:val="20"/>
          <w:szCs w:val="20"/>
        </w:rPr>
        <w:t>Este activo se diferencia por su ubicación estratégica en una zona de alto tráfico, acceso a transporte público y un diseño moderno que atrae a inquilinos de calidad, lo que permite mantener tasas de ocupación superiores a la media del mercado.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ANÁLISIS FINANCIERO</w:t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Presupuesto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620"/>
        <w:gridCol w:w="20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(MM COP)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Adquisición / Terreno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1,500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 Costs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2,000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 Costs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Contingencia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300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Financing Costs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Fondo Legal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Otros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400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>5,000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Estructura de Financiamiento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4"/>
      </w:tblGrid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Deuda Senior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2,500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Términos Deuda Senior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5 años a 8%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Equity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2,500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Términos Equity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10% de retorno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Proyección de Ingresos Estabilizado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620"/>
        <w:gridCol w:w="20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Anual (MM COP)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EGI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Ingresos Brutos Potenciales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10,000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(-) Vacancy / Credit Loss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1,000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Effective Gross Income (EGI)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9,000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(-) Operating Expenses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3,600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 OPERATING INCOME (NOI)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5,400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54%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Análisis de Retornos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Bear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Bull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IRR Levered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12%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18%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25%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Equity Multiple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1.5x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2.0x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2.5x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Cash-on-Cash (Yr 3)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8%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12%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15%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ESTRUCTURA DEL NEGOCIO</w:t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Estructura GP / 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4"/>
      </w:tblGrid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Capital GP (Sponsor)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2,000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Términos GP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20% promote after 8% preferred return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Capital LP (Nosotros)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8,000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Términos LP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80% of profits after preferred return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Preferred Return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8%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Promote / Carry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20%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Timeline y Capital Calls</w:t>
      </w:r>
    </w:p>
    <w:p>
      <w:pPr>
        <w:spacing w:before="80" w:after="160"/>
      </w:pPr>
      <w:r>
        <w:rPr>
          <w:rFonts w:ascii="Arial" w:cs="Arial" w:eastAsia="Arial" w:hAnsi="Arial"/>
          <w:color w:val="404040"/>
          <w:sz w:val="20"/>
          <w:szCs w:val="20"/>
        </w:rPr>
        <w:t>Calls at 25% at closing, 25% at 50% completion, 50% at stabilization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 Governance</w:t>
      </w:r>
    </w:p>
    <w:p>
      <w:pPr>
        <w:spacing w:before="80" w:after="160"/>
      </w:pPr>
      <w:r>
        <w:rPr>
          <w:rFonts w:ascii="Arial" w:cs="Arial" w:eastAsia="Arial" w:hAnsi="Arial"/>
          <w:color w:val="404040"/>
          <w:sz w:val="20"/>
          <w:szCs w:val="20"/>
        </w:rPr>
        <w:t>Standard LP governance with quarterly reporting</w:t>
      </w:r>
    </w:p>
    <w:p>
      <w:pPr>
        <w:spacing w:before="60" w:after="60"/>
      </w:pPr>
      <w:r>
        <w:t xml:space="preserv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PRECIO DE ADQUISICIÓN Y FINANCIEROS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4"/>
      </w:tblGrid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Precio Base (COP)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3500000000.0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Precio Máx. con Contingentes (COP)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4000000000.0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Precio Base de Compra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3750.0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Costo Total Terreno – Mínimo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1500.0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Costo Total Terreno – Máximo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2000.0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Monto Fondo Legal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100.0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Propósito Fondo Legal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Gastos Legales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Honorarios Notariales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COP $50 MM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Derechos de Registro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COP $30 MM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Impuestos de Traslado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COP $20 MM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RIESGOS Y MITIGANTES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1404"/>
        <w:gridCol w:w="4400"/>
      </w:tblGrid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Riesgo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Mitigante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Inestabilidad del mercado inmobiliario que puede afectar el valor de la inversión.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Realizar un análisis de mercado trimestral para ajustar la estrategia de inversión según las tendencias del mercado.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Problemas legales relacionados con la propiedad que pueden resultar en litigios.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CRITICAL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Contratar un abogado especializado en bienes raíces para revisar todos los documentos legales antes de la compra.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Falta de infraestructura adecuada en la zona que puede limitar el desarrollo futuro.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MEDIUM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Evaluar la viabilidad de proyectos de infraestructura y colaborar con autoridades locales para mejorar la infraestructura.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Riesgos ambientales que pueden surgir de la contaminación o regulaciones ambientales estrictas.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Realizar un estudio de impacto ambiental y cumplir con todas las regulaciones antes de iniciar cualquier desarrollo.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Condiciones de financiamiento desfavorables que pueden aumentar los costos de la inversión.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MEDIUM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Negociar tasas de interés fijas y explorar opciones de financiamiento alternativas.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 DILIGENCIA DEBIDA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y Findings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Legal /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Pendiente — no hay información disponible en los datos fuente.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Técnico / Estructural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Pendiente — no hay información disponible en los datos fuente.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Ambiental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Pendiente — no hay información disponible en los datos fuente.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Zoning / Permisos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Pendiente — no hay información disponible en los datos fuente.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Financiero / Rentas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Pendiente — no hay información disponible en los datos fuente.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Adverse Possession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>Pendiente — no hay información disponible en los datos fuente.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 RECOMENDACIÓN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>MÁS DD</w:t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Rationale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>Estructura de deal: Compra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>IRR base proyectado: 18% vs benchmark mercado 14-16%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>Riesgo principal identificado y con plan de mitigación definido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>Plan de desarrollo estructurado: Desarrollo Urbano...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Condiciones Críticas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>El mercado inmobiliario debe mostrar señales de estabilidad en los próximos 12 meses.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>Todos los permisos y licencias deben ser obtenidos antes de iniciar el desarrollo.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>Se debe realizar un análisis de costo-beneficio para cada proyecto propuesto.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Próximos Pasos</w:t>
      </w:r>
    </w:p>
    <w:p>
      <w:pPr>
        <w:spacing w:before="80" w:after="300"/>
      </w:pPr>
      <w:r>
        <w:rPr>
          <w:rFonts w:ascii="Arial" w:cs="Arial" w:eastAsia="Arial" w:hAnsi="Arial"/>
          <w:color w:val="404040"/>
          <w:sz w:val="20"/>
          <w:szCs w:val="20"/>
        </w:rPr>
        <w:t>1. Completar DD legal (adverse possession). 2. Auditoría tributaria. 3. Confirmar modelo financiero con datos de mercado. 4. Presentar resultado al comité en 30 días.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4" w:space="4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– Solo para uso del Comité de Inversiones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2026-03-15T21:27:02.412Z</dcterms:created>
  <dcterms:modified xsi:type="dcterms:W3CDTF">2026-03-15T21:27:02.413Z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