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天津市2023年人身损害赔偿参考标准</w:t>
      </w:r>
    </w:p>
    <w:p>
      <w:r>
        <w:t>一、基础统计数据：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指标名称</w:t>
            </w:r>
          </w:p>
        </w:tc>
        <w:tc>
          <w:tcPr>
            <w:tcW w:type="dxa" w:w="4320"/>
          </w:tcPr>
          <w:p>
            <w:r>
              <w:t>数额</w:t>
            </w:r>
          </w:p>
        </w:tc>
      </w:tr>
      <w:tr>
        <w:tc>
          <w:tcPr>
            <w:tcW w:type="dxa" w:w="4320"/>
          </w:tcPr>
          <w:p>
            <w:r>
              <w:t>2023年天津市城镇居民人均可支配收入</w:t>
            </w:r>
          </w:p>
        </w:tc>
        <w:tc>
          <w:tcPr>
            <w:tcW w:type="dxa" w:w="4320"/>
          </w:tcPr>
          <w:p>
            <w:r>
              <w:t>55,355 元/年</w:t>
            </w:r>
          </w:p>
        </w:tc>
      </w:tr>
      <w:tr>
        <w:tc>
          <w:tcPr>
            <w:tcW w:type="dxa" w:w="4320"/>
          </w:tcPr>
          <w:p>
            <w:r>
              <w:t>2023年天津市城镇居民人均消费支出</w:t>
            </w:r>
          </w:p>
        </w:tc>
        <w:tc>
          <w:tcPr>
            <w:tcW w:type="dxa" w:w="4320"/>
          </w:tcPr>
          <w:p>
            <w:r>
              <w:t>37,586 元/年</w:t>
            </w:r>
          </w:p>
        </w:tc>
      </w:tr>
      <w:tr>
        <w:tc>
          <w:tcPr>
            <w:tcW w:type="dxa" w:w="4320"/>
          </w:tcPr>
          <w:p>
            <w:r>
              <w:t>2023年全市职工年平均工资</w:t>
            </w:r>
          </w:p>
        </w:tc>
        <w:tc>
          <w:tcPr>
            <w:tcW w:type="dxa" w:w="4320"/>
          </w:tcPr>
          <w:p>
            <w:r>
              <w:t>100,260 元/年</w:t>
            </w:r>
          </w:p>
        </w:tc>
      </w:tr>
      <w:tr>
        <w:tc>
          <w:tcPr>
            <w:tcW w:type="dxa" w:w="4320"/>
          </w:tcPr>
          <w:p>
            <w:r>
              <w:t>2023年城镇非私营单位就业人员平均工资</w:t>
            </w:r>
          </w:p>
        </w:tc>
        <w:tc>
          <w:tcPr>
            <w:tcW w:type="dxa" w:w="4320"/>
          </w:tcPr>
          <w:p>
            <w:r>
              <w:t>138,007 元/年</w:t>
            </w:r>
          </w:p>
        </w:tc>
      </w:tr>
    </w:tbl>
    <w:p>
      <w:r>
        <w:br/>
        <w:t>二、赔偿项目指南：</w:t>
      </w:r>
    </w:p>
    <w:p>
      <w:r>
        <w:t>1. 残疾/死亡赔偿金：城镇人均可支配收入 55,355 元 × 计算年限。</w:t>
      </w:r>
    </w:p>
    <w:p>
      <w:r>
        <w:t>2. 被扶养人生活费：城镇人均消费支出 37,586 元 × 被扶养年限分摊。</w:t>
      </w:r>
    </w:p>
    <w:p>
      <w:r>
        <w:t>3. 误工/护理费：固定收入或非私营平均工资（138,007元/年）折算。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