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8528" w14:textId="77777777" w:rsidR="00D428A1" w:rsidRPr="00D428A1" w:rsidRDefault="00D428A1" w:rsidP="00D428A1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全州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150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个站点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的整体项目收益进行了规模化估算。</w:t>
      </w:r>
    </w:p>
    <w:p w14:paraId="0A4722B5" w14:textId="77777777" w:rsidR="00D428A1" w:rsidRPr="00D428A1" w:rsidRDefault="00D428A1" w:rsidP="00D428A1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项目整体投资与收益汇总表</w:t>
      </w:r>
    </w:p>
    <w:p w14:paraId="660B1EB1" w14:textId="77777777" w:rsidR="00D428A1" w:rsidRPr="00D428A1" w:rsidRDefault="00D428A1" w:rsidP="00D428A1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kern w:val="0"/>
          <w:sz w:val="24"/>
          <w14:ligatures w14:val="none"/>
        </w:rPr>
        <w:t>以下为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2025-2027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年项目整体推进过程中的财务模拟（单位：万元）：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021"/>
        <w:gridCol w:w="1089"/>
        <w:gridCol w:w="1353"/>
        <w:gridCol w:w="1157"/>
        <w:gridCol w:w="1157"/>
        <w:gridCol w:w="1172"/>
      </w:tblGrid>
      <w:tr w:rsidR="00D428A1" w:rsidRPr="00D428A1" w14:paraId="7158D9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55B32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606A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累计站点数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76E6B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年度总投资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3C34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政府补贴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预期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774C6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年度总营收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C50A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年度净利润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F0D2A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累计净利润</w:t>
            </w:r>
          </w:p>
        </w:tc>
      </w:tr>
      <w:tr w:rsidR="00D428A1" w:rsidRPr="00D428A1" w14:paraId="335EB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67E40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2025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试点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665D9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20 </w:t>
            </w: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DEE66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FC494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52F77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433.7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CFEE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135.6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C64A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135.6</w:t>
            </w:r>
          </w:p>
        </w:tc>
      </w:tr>
      <w:tr w:rsidR="00D428A1" w:rsidRPr="00D428A1" w14:paraId="018F4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0B76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2026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扩展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A0A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100 </w:t>
            </w: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315C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77895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99DA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2,602.1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125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813.5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68B6B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949.1</w:t>
            </w:r>
          </w:p>
        </w:tc>
      </w:tr>
      <w:tr w:rsidR="00D428A1" w:rsidRPr="00D428A1" w14:paraId="7602E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19A6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2027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年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成熟</w:t>
            </w: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1D6EF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150 </w:t>
            </w: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4931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C9C0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38246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5,421.0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981C3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1,694.9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D083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2,644.0</w:t>
            </w:r>
          </w:p>
        </w:tc>
      </w:tr>
      <w:tr w:rsidR="00D428A1" w:rsidRPr="00D428A1" w14:paraId="39287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51FF9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885B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EE41E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7,500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251E7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E043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8,456.8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43FE8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2,644.0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491C2" w14:textId="77777777" w:rsidR="00D428A1" w:rsidRPr="00D428A1" w:rsidRDefault="00D428A1" w:rsidP="00D428A1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428A1">
              <w:rPr>
                <w:rFonts w:ascii="Arial" w:eastAsia="宋体" w:hAnsi="Arial" w:cs="Arial"/>
                <w:kern w:val="0"/>
                <w:sz w:val="24"/>
                <w14:ligatures w14:val="none"/>
              </w:rPr>
              <w:t>——</w:t>
            </w:r>
          </w:p>
        </w:tc>
      </w:tr>
    </w:tbl>
    <w:p w14:paraId="607584CF" w14:textId="77777777" w:rsidR="00D428A1" w:rsidRPr="00D428A1" w:rsidRDefault="00D428A1" w:rsidP="00D428A1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核心财务指标分析</w:t>
      </w:r>
    </w:p>
    <w:p w14:paraId="1774F01D" w14:textId="77777777" w:rsidR="00D428A1" w:rsidRPr="00D428A1" w:rsidRDefault="00D428A1" w:rsidP="00D428A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总投资规模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：项目预计三年累计总投入约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7,500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万元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:vertAlign w:val="superscript"/>
          <w14:ligatures w14:val="none"/>
        </w:rPr>
        <w:t>111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7C2C461F" w14:textId="77777777" w:rsidR="00D428A1" w:rsidRPr="00D428A1" w:rsidRDefault="00D428A1" w:rsidP="00D428A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资金缺口与支持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：通过申请省级基建奖补（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20%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），预计可获得约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1,500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万元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的政策资金回补，实际企业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社会资本投入压力降至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6,000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万元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:vertAlign w:val="superscript"/>
          <w14:ligatures w14:val="none"/>
        </w:rPr>
        <w:t>2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498B1F4D" w14:textId="77777777" w:rsidR="00D428A1" w:rsidRPr="00D428A1" w:rsidRDefault="00D428A1" w:rsidP="00D428A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盈利能力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</w:t>
      </w:r>
    </w:p>
    <w:p w14:paraId="793CB98A" w14:textId="77777777" w:rsidR="00D428A1" w:rsidRPr="00D428A1" w:rsidRDefault="00D428A1" w:rsidP="00D428A1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kern w:val="0"/>
          <w:sz w:val="24"/>
          <w14:ligatures w14:val="none"/>
        </w:rPr>
        <w:t>在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2027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年进入成熟期后，全州补给网络每年可创造约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5,421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万元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的总营收。</w:t>
      </w:r>
    </w:p>
    <w:p w14:paraId="29A6EAE8" w14:textId="77777777" w:rsidR="00D428A1" w:rsidRPr="00D428A1" w:rsidRDefault="00D428A1" w:rsidP="00D428A1">
      <w:pPr>
        <w:widowControl/>
        <w:numPr>
          <w:ilvl w:val="1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kern w:val="0"/>
          <w:sz w:val="24"/>
          <w14:ligatures w14:val="none"/>
        </w:rPr>
        <w:t>扣除运维、场地分成及设备折旧后，年稳态净利润可达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1,695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万元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左右。</w:t>
      </w:r>
    </w:p>
    <w:p w14:paraId="038E7EDB" w14:textId="77777777" w:rsidR="00D428A1" w:rsidRPr="00D428A1" w:rsidRDefault="00D428A1" w:rsidP="00D428A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静态投资回收期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：结合政府补贴，预计在项目全面投产后的第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3.5 - 4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年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即可实现盈亏平衡，收回全部初始投资。</w:t>
      </w:r>
    </w:p>
    <w:p w14:paraId="0CA5505C" w14:textId="77777777" w:rsidR="00D428A1" w:rsidRPr="00D428A1" w:rsidRDefault="00D428A1" w:rsidP="00D428A1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D428A1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社会与宏观经济效益</w:t>
      </w:r>
    </w:p>
    <w:p w14:paraId="3D0880C2" w14:textId="77777777" w:rsidR="00D428A1" w:rsidRPr="00D428A1" w:rsidRDefault="00D428A1" w:rsidP="00D428A1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kern w:val="0"/>
          <w:sz w:val="24"/>
          <w14:ligatures w14:val="none"/>
        </w:rPr>
        <w:t>除了直接的财务收益，该项目还将带来以下长效价值：</w:t>
      </w:r>
    </w:p>
    <w:p w14:paraId="0A407A2E" w14:textId="77777777" w:rsidR="00D428A1" w:rsidRPr="00D428A1" w:rsidRDefault="00D428A1" w:rsidP="00D428A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带动文旅增长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：预计带动迪庆州文旅综合收入增长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15%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以上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:vertAlign w:val="superscript"/>
          <w14:ligatures w14:val="none"/>
        </w:rPr>
        <w:t>3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669BF92C" w14:textId="77777777" w:rsidR="00D428A1" w:rsidRPr="00D428A1" w:rsidRDefault="00D428A1" w:rsidP="00D428A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社会治理效能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：通过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“G2B”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模式（如防火监测、交通识别），大幅降低政府在偏远地区的巡检人力成本，实现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百毫秒级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火情预警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:vertAlign w:val="superscript"/>
          <w14:ligatures w14:val="none"/>
        </w:rPr>
        <w:t>4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08B2EB3F" w14:textId="77777777" w:rsidR="00D428A1" w:rsidRPr="00D428A1" w:rsidRDefault="00D428A1" w:rsidP="00D428A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就业带动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：通过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“15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分钟应急服务圈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，为本地返乡青年提供约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150-200 </w:t>
      </w:r>
      <w:r w:rsidRPr="00D428A1">
        <w:rPr>
          <w:rFonts w:ascii="Arial" w:eastAsia="宋体" w:hAnsi="Arial" w:cs="Arial"/>
          <w:b/>
          <w:bCs/>
          <w:kern w:val="0"/>
          <w:sz w:val="24"/>
          <w14:ligatures w14:val="none"/>
        </w:rPr>
        <w:t>个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兼职维护岗位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428A1">
        <w:rPr>
          <w:rFonts w:ascii="Arial" w:eastAsia="宋体" w:hAnsi="Arial" w:cs="Arial"/>
          <w:kern w:val="0"/>
          <w:sz w:val="24"/>
          <w:vertAlign w:val="superscript"/>
          <w14:ligatures w14:val="none"/>
        </w:rPr>
        <w:t>5</w:t>
      </w:r>
      <w:r w:rsidRPr="00D428A1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35815ACD" w14:textId="77777777" w:rsidR="001508A0" w:rsidRDefault="001508A0"/>
    <w:sectPr w:rsidR="00150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4F7"/>
    <w:multiLevelType w:val="multilevel"/>
    <w:tmpl w:val="A8F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55EE3"/>
    <w:multiLevelType w:val="multilevel"/>
    <w:tmpl w:val="E8D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27964">
    <w:abstractNumId w:val="1"/>
  </w:num>
  <w:num w:numId="2" w16cid:durableId="109925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A1"/>
    <w:rsid w:val="001508A0"/>
    <w:rsid w:val="00AB4D47"/>
    <w:rsid w:val="00CC57B6"/>
    <w:rsid w:val="00D428A1"/>
    <w:rsid w:val="00DF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6BCE2"/>
  <w15:chartTrackingRefBased/>
  <w15:docId w15:val="{DB16740C-B220-1B46-BC0B-313EF710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2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8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8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8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8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28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2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8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28A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428A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428A1"/>
    <w:rPr>
      <w:b/>
      <w:bCs/>
    </w:rPr>
  </w:style>
  <w:style w:type="character" w:customStyle="1" w:styleId="citation-194">
    <w:name w:val="citation-194"/>
    <w:basedOn w:val="a0"/>
    <w:rsid w:val="00D428A1"/>
  </w:style>
  <w:style w:type="character" w:customStyle="1" w:styleId="citation-193">
    <w:name w:val="citation-193"/>
    <w:basedOn w:val="a0"/>
    <w:rsid w:val="00D428A1"/>
  </w:style>
  <w:style w:type="character" w:customStyle="1" w:styleId="citation-192">
    <w:name w:val="citation-192"/>
    <w:basedOn w:val="a0"/>
    <w:rsid w:val="00D428A1"/>
  </w:style>
  <w:style w:type="character" w:customStyle="1" w:styleId="citation-191">
    <w:name w:val="citation-191"/>
    <w:basedOn w:val="a0"/>
    <w:rsid w:val="00D428A1"/>
  </w:style>
  <w:style w:type="character" w:customStyle="1" w:styleId="citation-190">
    <w:name w:val="citation-190"/>
    <w:basedOn w:val="a0"/>
    <w:rsid w:val="00D42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668</Characters>
  <Application>Microsoft Office Word</Application>
  <DocSecurity>0</DocSecurity>
  <Lines>66</Lines>
  <Paragraphs>48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Gemini</dc:creator>
  <cp:keywords/>
  <dc:description/>
  <cp:lastModifiedBy>Gemini</cp:lastModifiedBy>
  <cp:revision>1</cp:revision>
  <dcterms:created xsi:type="dcterms:W3CDTF">2026-01-05T18:03:00Z</dcterms:created>
  <dcterms:modified xsi:type="dcterms:W3CDTF">2026-01-05T18:04:00Z</dcterms:modified>
</cp:coreProperties>
</file>