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160"/>
        <w:jc w:val="center"/>
      </w:pPr>
      <w:r>
        <w:rPr>
          <w:rFonts w:ascii="Times New Roman" w:hAnsi="Times New Roman" w:eastAsia="黑体" w:cs="Times New Roman"/>
          <w:b/>
          <w:i w:val="0"/>
          <w:sz w:val="44"/>
        </w:rPr>
        <w:t>视觉点击绘图机械臂中期报告</w:t>
      </w:r>
    </w:p>
    <w:p>
      <w:pPr>
        <w:spacing w:lineRule="exact" w:line="320" w:before="0" w:after="120"/>
        <w:jc w:val="center"/>
      </w:pPr>
      <w:r>
        <w:rPr>
          <w:rFonts w:ascii="Times New Roman" w:hAnsi="Times New Roman" w:eastAsia="宋体" w:cs="Times New Roman"/>
          <w:b w:val="0"/>
          <w:i w:val="0"/>
          <w:sz w:val="24"/>
        </w:rPr>
        <w:t>项目名称：视觉点击绘图机械臂系统</w:t>
      </w:r>
    </w:p>
    <w:p>
      <w:pPr>
        <w:spacing w:lineRule="exact" w:line="320" w:before="120" w:after="0"/>
      </w:pPr>
      <w:r>
        <w:rPr>
          <w:rFonts w:ascii="Times New Roman" w:hAnsi="Times New Roman" w:eastAsia="黑体" w:cs="Times New Roman"/>
          <w:b/>
          <w:i w:val="0"/>
          <w:sz w:val="24"/>
        </w:rPr>
        <w:t>一、项目背景</w:t>
      </w:r>
    </w:p>
    <w:p>
      <w:pPr>
        <w:spacing w:lineRule="exact" w:line="320" w:before="0" w:after="0"/>
        <w:ind w:firstLine="420"/>
      </w:pPr>
      <w:r>
        <w:rPr>
          <w:rFonts w:ascii="Times New Roman" w:hAnsi="Times New Roman" w:eastAsia="宋体" w:cs="Times New Roman"/>
          <w:b w:val="0"/>
          <w:i w:val="0"/>
          <w:sz w:val="24"/>
        </w:rPr>
        <w:t>随着机器人技术、嵌入式开发和机器视觉在创客教育、自动化实验与智能制造入门场景中的普及，桌面级机械臂逐渐成为高校实践教学的重要载体。机械臂系统通常需要完成“感知—决策—执行”的闭环：感知层获取外部环境信息，决策层进行坐标转换与运动规划，执行层驱动关节或末端执行器完成任务。机器人学教材和手册均指出，运动学建模、末端位姿控制与安全约束是机械臂系统稳定运行的基础</w:t>
      </w:r>
      <w:r>
        <w:rPr>
          <w:rFonts w:ascii="Times New Roman" w:hAnsi="Times New Roman" w:eastAsia="宋体" w:cs="Times New Roman"/>
          <w:b w:val="0"/>
          <w:i w:val="0"/>
          <w:sz w:val="24"/>
          <w:vertAlign w:val="superscript"/>
        </w:rPr>
        <w:t>[1]</w:t>
      </w:r>
      <w:r>
        <w:rPr>
          <w:rFonts w:ascii="Times New Roman" w:hAnsi="Times New Roman" w:eastAsia="宋体" w:cs="Times New Roman"/>
          <w:b w:val="0"/>
          <w:i w:val="0"/>
          <w:sz w:val="24"/>
          <w:vertAlign w:val="superscript"/>
        </w:rPr>
        <w:t>[2]</w:t>
      </w:r>
      <w:r>
        <w:rPr>
          <w:rFonts w:ascii="Times New Roman" w:hAnsi="Times New Roman" w:eastAsia="宋体" w:cs="Times New Roman"/>
          <w:b w:val="0"/>
          <w:i w:val="0"/>
          <w:sz w:val="24"/>
        </w:rPr>
        <w:t>。</w:t>
      </w:r>
    </w:p>
    <w:p>
      <w:pPr>
        <w:spacing w:lineRule="exact" w:line="320" w:before="0" w:after="0"/>
        <w:ind w:firstLine="420"/>
      </w:pPr>
      <w:r>
        <w:rPr>
          <w:rFonts w:ascii="Times New Roman" w:hAnsi="Times New Roman" w:eastAsia="宋体" w:cs="Times New Roman"/>
          <w:b w:val="0"/>
          <w:i w:val="0"/>
          <w:sz w:val="24"/>
        </w:rPr>
        <w:t>从研究现状看，传统机械臂控制多依赖示教器、命令行或代码接口，对初学者有一定门槛；而机器视觉、人机交互和轻量化控制库的发展，使低成本机械臂具备了“看得见、点得动、能反馈”的教学演示条件。摄像头标定、透视变换和像素坐标到世界坐标的映射，是视觉交互机械臂的关键技术之一，其理论基础与多视图几何、图像坐标变换密切相关</w:t>
      </w:r>
      <w:r>
        <w:rPr>
          <w:rFonts w:ascii="Times New Roman" w:hAnsi="Times New Roman" w:eastAsia="宋体" w:cs="Times New Roman"/>
          <w:b w:val="0"/>
          <w:i w:val="0"/>
          <w:sz w:val="24"/>
          <w:vertAlign w:val="superscript"/>
        </w:rPr>
        <w:t>[3]</w:t>
      </w:r>
      <w:r>
        <w:rPr>
          <w:rFonts w:ascii="Times New Roman" w:hAnsi="Times New Roman" w:eastAsia="宋体" w:cs="Times New Roman"/>
          <w:b w:val="0"/>
          <w:i w:val="0"/>
          <w:sz w:val="24"/>
        </w:rPr>
        <w:t>。同时，计算机视觉算法正从单纯图像处理向实时交互、目标识别和场景理解发展</w:t>
      </w:r>
      <w:r>
        <w:rPr>
          <w:rFonts w:ascii="Times New Roman" w:hAnsi="Times New Roman" w:eastAsia="宋体" w:cs="Times New Roman"/>
          <w:b w:val="0"/>
          <w:i w:val="0"/>
          <w:sz w:val="24"/>
          <w:vertAlign w:val="superscript"/>
        </w:rPr>
        <w:t>[4]</w:t>
      </w:r>
      <w:r>
        <w:rPr>
          <w:rFonts w:ascii="Times New Roman" w:hAnsi="Times New Roman" w:eastAsia="宋体" w:cs="Times New Roman"/>
          <w:b w:val="0"/>
          <w:i w:val="0"/>
          <w:sz w:val="24"/>
        </w:rPr>
        <w:t>。</w:t>
      </w:r>
    </w:p>
    <w:p>
      <w:pPr>
        <w:spacing w:lineRule="exact" w:line="320" w:before="0" w:after="0"/>
        <w:ind w:firstLine="420"/>
      </w:pPr>
      <w:r>
        <w:rPr>
          <w:rFonts w:ascii="Times New Roman" w:hAnsi="Times New Roman" w:eastAsia="宋体" w:cs="Times New Roman"/>
          <w:b w:val="0"/>
          <w:i w:val="0"/>
          <w:sz w:val="24"/>
        </w:rPr>
        <w:t>本项目以桌面级机械臂为硬件平台，以Python、pymycobot控制库和OpenCV视觉处理为主要技术路线，尝试构建“所见即所画”的视觉点击绘图机械臂系统。项目的研究意义主要体现在三个方面：第一，降低机械臂操作门槛，使非编程用户也能通过鼠标点击完成定点移动与绘图；第二，将视觉标定、坐标映射、运动控制、安全保护等知识整合到一个可演示系统中，提升课程实践的综合性；第三，为后续目标识别、自动绘图和小型桌面自动化任务提供可扩展的实验基础。</w:t>
      </w:r>
    </w:p>
    <w:p>
      <w:pPr>
        <w:spacing w:lineRule="exact" w:line="320" w:before="120" w:after="0"/>
      </w:pPr>
      <w:r>
        <w:rPr>
          <w:rFonts w:ascii="Times New Roman" w:hAnsi="Times New Roman" w:eastAsia="黑体" w:cs="Times New Roman"/>
          <w:b/>
          <w:i w:val="0"/>
          <w:sz w:val="24"/>
        </w:rPr>
        <w:t>二、项目研究内容及实施方案</w:t>
      </w:r>
    </w:p>
    <w:p>
      <w:pPr>
        <w:spacing w:lineRule="exact" w:line="320" w:before="0" w:after="0"/>
        <w:ind w:firstLine="420"/>
      </w:pPr>
      <w:r>
        <w:rPr>
          <w:rFonts w:ascii="Times New Roman" w:hAnsi="Times New Roman" w:eastAsia="宋体" w:cs="Times New Roman"/>
          <w:b w:val="0"/>
          <w:i w:val="0"/>
          <w:sz w:val="24"/>
        </w:rPr>
        <w:t>项目研究内容围绕硬件搭建、基础运动控制、视觉采集、坐标映射、人机交互和安全保护六个模块展开。硬件层面，小组完成桌面级机械臂本体、绘图笔具和USB摄像头的安装调试，重点保证机械臂工作区域、摄像头视野和纸面绘图区域之间具有稳定对应关系。软件层面，系统以Python作为开发语言，通过pymycobot实现角度控制和笛卡尔坐标控制，通过OpenCV完成摄像头视频流采集、窗口显示、鼠标点击监听与键盘快捷指令响应。OpenCV作为开放源计算机视觉库，适合完成实时图像显示、事件监听和基础图像处理任务</w:t>
      </w:r>
      <w:r>
        <w:rPr>
          <w:rFonts w:ascii="Times New Roman" w:hAnsi="Times New Roman" w:eastAsia="宋体" w:cs="Times New Roman"/>
          <w:b w:val="0"/>
          <w:i w:val="0"/>
          <w:sz w:val="24"/>
          <w:vertAlign w:val="superscript"/>
        </w:rPr>
        <w:t>[5]</w:t>
      </w:r>
      <w:r>
        <w:rPr>
          <w:rFonts w:ascii="Times New Roman" w:hAnsi="Times New Roman" w:eastAsia="宋体" w:cs="Times New Roman"/>
          <w:b w:val="0"/>
          <w:i w:val="0"/>
          <w:sz w:val="24"/>
        </w:rPr>
        <w:t>。</w:t>
      </w:r>
    </w:p>
    <w:p>
      <w:pPr>
        <w:spacing w:lineRule="exact" w:line="320" w:before="0" w:after="0"/>
        <w:ind w:firstLine="420"/>
      </w:pPr>
      <w:r>
        <w:rPr>
          <w:rFonts w:ascii="Times New Roman" w:hAnsi="Times New Roman" w:eastAsia="宋体" w:cs="Times New Roman"/>
          <w:b w:val="0"/>
          <w:i w:val="0"/>
          <w:sz w:val="24"/>
        </w:rPr>
        <w:t>实施方案采用分层设计。感知层由USB摄像头实时采集桌面画面，并在窗口中显示操作区域；交互层接收用户鼠标点击、键盘复位和退出指令；决策层根据标定参数，将像素点转换为机械臂可执行的世界坐标，并进行坐标阈值判断；执行层按照“抬笔—移动—落笔—绘制/停留—抬笔—复位”的动作序列驱动机械臂运行。为提高系统稳定性，程序加入了安全阈值裁剪、速度控制、动作延时、异常捕获和退出回调等机制，尽量避免超程、撞臂、刮纸和异常退出后机械臂停留在危险姿态等问题。</w:t>
      </w:r>
    </w:p>
    <w:p>
      <w:pPr>
        <w:spacing w:lineRule="exact" w:line="320" w:before="0" w:after="0"/>
        <w:ind w:firstLine="420"/>
      </w:pPr>
      <w:r>
        <w:rPr>
          <w:rFonts w:ascii="Times New Roman" w:hAnsi="Times New Roman" w:eastAsia="宋体" w:cs="Times New Roman"/>
          <w:b w:val="0"/>
          <w:i w:val="0"/>
          <w:sz w:val="24"/>
        </w:rPr>
        <w:t>在团队分工上，硬件调试组负责机械臂参数校准、摄像头固定、串口通信和硬件故障排查；软件开发组负责坐标映射、交互程序、连续轨迹和目标识别等功能；测试与文档组负责运行测试、问题记录、答辩材料、使用说明和成果整理。整体开发遵循“先保证基础动作稳定，再推进视觉标定精度，最后实现闭环展示”的顺序，优先完成可演示、可复现的核心功能。</w:t>
      </w:r>
    </w:p>
    <w:p>
      <w:pPr>
        <w:spacing w:lineRule="exact" w:line="320" w:before="120" w:after="0"/>
      </w:pPr>
      <w:r>
        <w:rPr>
          <w:rFonts w:ascii="Times New Roman" w:hAnsi="Times New Roman" w:eastAsia="黑体" w:cs="Times New Roman"/>
          <w:b/>
          <w:i w:val="0"/>
          <w:sz w:val="24"/>
        </w:rPr>
        <w:t>三、项目实施进展及初步成果</w:t>
      </w:r>
    </w:p>
    <w:p>
      <w:pPr>
        <w:spacing w:lineRule="exact" w:line="320" w:before="0" w:after="0"/>
        <w:ind w:firstLine="420"/>
      </w:pPr>
      <w:r>
        <w:rPr>
          <w:rFonts w:ascii="Times New Roman" w:hAnsi="Times New Roman" w:eastAsia="宋体" w:cs="Times New Roman"/>
          <w:b w:val="0"/>
          <w:i w:val="0"/>
          <w:sz w:val="24"/>
        </w:rPr>
        <w:t>截至中期阶段，小组已完成从基础环境搭建到核心交互功能实现的主要工作。首先，完成Python运行环境、pymycobot机械臂控制库和OpenCV视觉处理环境配置，解决了串口端口识别、通信中断、数据传输延迟等基础问题，实现机械臂与电脑之间的稳定通信。其次，完成机械臂角度控制和坐标控制测试，能够实现关节独立转动、笛卡尔空间定位、抬笔落笔、定点停留和一键回到90°安全中位等动作。再次，完成USB摄像头接入、画面采集、分辨率调整和帧率优化，能够稳定输出实时画面。</w:t>
      </w:r>
    </w:p>
    <w:p>
      <w:pPr>
        <w:spacing w:lineRule="exact" w:line="320" w:before="0" w:after="0"/>
        <w:ind w:firstLine="420"/>
      </w:pPr>
      <w:r>
        <w:rPr>
          <w:rFonts w:ascii="Times New Roman" w:hAnsi="Times New Roman" w:eastAsia="宋体" w:cs="Times New Roman"/>
          <w:b w:val="0"/>
          <w:i w:val="0"/>
          <w:sz w:val="24"/>
        </w:rPr>
        <w:t>在功能成果方面，系统已经实现“画面点击—机械臂移动”的原型功能：用户在OpenCV窗口中点击目标点，程序记录像素坐标，经过坐标映射和安全判断后，控制机械臂移动到对应工作区域；点击位置可以用红色标记点进行可视化显示，便于观察交互效果。程序还加入了键盘快捷控制，包括一键复位、一键安全退出和异常退出自动收尾，能够在程序结束时自动执行抬笔和回中位操作。</w:t>
      </w:r>
    </w:p>
    <w:p>
      <w:pPr>
        <w:spacing w:lineRule="exact" w:line="280" w:before="60" w:after="60"/>
        <w:jc w:val="center"/>
      </w:pPr>
      <w:r>
        <w:rPr>
          <w:rFonts w:ascii="Times New Roman" w:hAnsi="Times New Roman" w:eastAsia="宋体" w:cs="Times New Roman"/>
          <w:b w:val="0"/>
          <w:i w:val="0"/>
          <w:sz w:val="21"/>
        </w:rPr>
        <w:t>表1  项目进展与后续计划简表</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9"/>
        <w:gridCol w:w="2409"/>
        <w:gridCol w:w="2409"/>
        <w:gridCol w:w="2409"/>
      </w:tblGrid>
      <w:tr>
        <w:tc>
          <w:tcPr>
            <w:tcW w:type="dxa" w:w="1474"/>
            <w:vAlign w:val="center"/>
          </w:tcPr>
          <w:p>
            <w:pPr>
              <w:spacing w:lineRule="exact" w:line="280" w:before="0" w:after="0"/>
              <w:jc w:val="center"/>
            </w:pPr>
            <w:r>
              <w:rPr>
                <w:rFonts w:ascii="Times New Roman" w:hAnsi="Times New Roman" w:eastAsia="宋体" w:cs="Times New Roman"/>
                <w:b/>
                <w:i w:val="0"/>
                <w:sz w:val="21"/>
              </w:rPr>
              <w:t>模块</w:t>
            </w:r>
          </w:p>
        </w:tc>
        <w:tc>
          <w:tcPr>
            <w:tcW w:type="dxa" w:w="2891"/>
            <w:vAlign w:val="center"/>
          </w:tcPr>
          <w:p>
            <w:pPr>
              <w:spacing w:lineRule="exact" w:line="280" w:before="0" w:after="0"/>
              <w:jc w:val="center"/>
            </w:pPr>
            <w:r>
              <w:rPr>
                <w:rFonts w:ascii="Times New Roman" w:hAnsi="Times New Roman" w:eastAsia="宋体" w:cs="Times New Roman"/>
                <w:b/>
                <w:i w:val="0"/>
                <w:sz w:val="21"/>
              </w:rPr>
              <w:t>中期进展</w:t>
            </w:r>
          </w:p>
        </w:tc>
        <w:tc>
          <w:tcPr>
            <w:tcW w:type="dxa" w:w="2835"/>
            <w:vAlign w:val="center"/>
          </w:tcPr>
          <w:p>
            <w:pPr>
              <w:spacing w:lineRule="exact" w:line="280" w:before="0" w:after="0"/>
              <w:jc w:val="center"/>
            </w:pPr>
            <w:r>
              <w:rPr>
                <w:rFonts w:ascii="Times New Roman" w:hAnsi="Times New Roman" w:eastAsia="宋体" w:cs="Times New Roman"/>
                <w:b/>
                <w:i w:val="0"/>
                <w:sz w:val="21"/>
              </w:rPr>
              <w:t>主要困难</w:t>
            </w:r>
          </w:p>
        </w:tc>
        <w:tc>
          <w:tcPr>
            <w:tcW w:type="dxa" w:w="2438"/>
            <w:vAlign w:val="center"/>
          </w:tcPr>
          <w:p>
            <w:pPr>
              <w:spacing w:lineRule="exact" w:line="280" w:before="0" w:after="0"/>
              <w:jc w:val="center"/>
            </w:pPr>
            <w:r>
              <w:rPr>
                <w:rFonts w:ascii="Times New Roman" w:hAnsi="Times New Roman" w:eastAsia="宋体" w:cs="Times New Roman"/>
                <w:b/>
                <w:i w:val="0"/>
                <w:sz w:val="21"/>
              </w:rPr>
              <w:t>下一步安排</w:t>
            </w:r>
          </w:p>
        </w:tc>
      </w:tr>
      <w:tr>
        <w:tc>
          <w:tcPr>
            <w:tcW w:type="dxa" w:w="1474"/>
            <w:vAlign w:val="center"/>
          </w:tcPr>
          <w:p>
            <w:pPr>
              <w:spacing w:lineRule="exact" w:line="280" w:before="0" w:after="0"/>
              <w:jc w:val="left"/>
            </w:pPr>
            <w:r>
              <w:rPr>
                <w:rFonts w:ascii="Times New Roman" w:hAnsi="Times New Roman" w:eastAsia="宋体" w:cs="Times New Roman"/>
                <w:b w:val="0"/>
                <w:i w:val="0"/>
                <w:sz w:val="21"/>
              </w:rPr>
              <w:t>硬件与通信</w:t>
            </w:r>
          </w:p>
        </w:tc>
        <w:tc>
          <w:tcPr>
            <w:tcW w:type="dxa" w:w="2891"/>
            <w:vAlign w:val="center"/>
          </w:tcPr>
          <w:p>
            <w:pPr>
              <w:spacing w:lineRule="exact" w:line="280" w:before="0" w:after="0"/>
              <w:jc w:val="left"/>
            </w:pPr>
            <w:r>
              <w:rPr>
                <w:rFonts w:ascii="Times New Roman" w:hAnsi="Times New Roman" w:eastAsia="宋体" w:cs="Times New Roman"/>
                <w:b w:val="0"/>
                <w:i w:val="0"/>
                <w:sz w:val="21"/>
              </w:rPr>
              <w:t>完成机械臂、绘图笔、摄像头和串口通信调试。</w:t>
            </w:r>
          </w:p>
        </w:tc>
        <w:tc>
          <w:tcPr>
            <w:tcW w:type="dxa" w:w="2835"/>
            <w:vAlign w:val="center"/>
          </w:tcPr>
          <w:p>
            <w:pPr>
              <w:spacing w:lineRule="exact" w:line="280" w:before="0" w:after="0"/>
              <w:jc w:val="left"/>
            </w:pPr>
            <w:r>
              <w:rPr>
                <w:rFonts w:ascii="Times New Roman" w:hAnsi="Times New Roman" w:eastAsia="宋体" w:cs="Times New Roman"/>
                <w:b w:val="0"/>
                <w:i w:val="0"/>
                <w:sz w:val="21"/>
              </w:rPr>
              <w:t>摄像头角度和桌面环境会影响稳定性。</w:t>
            </w:r>
          </w:p>
        </w:tc>
        <w:tc>
          <w:tcPr>
            <w:tcW w:type="dxa" w:w="2438"/>
            <w:vAlign w:val="center"/>
          </w:tcPr>
          <w:p>
            <w:pPr>
              <w:spacing w:lineRule="exact" w:line="280" w:before="0" w:after="0"/>
              <w:jc w:val="left"/>
            </w:pPr>
            <w:r>
              <w:rPr>
                <w:rFonts w:ascii="Times New Roman" w:hAnsi="Times New Roman" w:eastAsia="宋体" w:cs="Times New Roman"/>
                <w:b w:val="0"/>
                <w:i w:val="0"/>
                <w:sz w:val="21"/>
              </w:rPr>
              <w:t>固定硬件位置，形成标准化调试流程。</w:t>
            </w:r>
          </w:p>
        </w:tc>
      </w:tr>
      <w:tr>
        <w:tc>
          <w:tcPr>
            <w:tcW w:type="dxa" w:w="1474"/>
            <w:vAlign w:val="center"/>
          </w:tcPr>
          <w:p>
            <w:pPr>
              <w:spacing w:lineRule="exact" w:line="280" w:before="0" w:after="0"/>
              <w:jc w:val="left"/>
            </w:pPr>
            <w:r>
              <w:rPr>
                <w:rFonts w:ascii="Times New Roman" w:hAnsi="Times New Roman" w:eastAsia="宋体" w:cs="Times New Roman"/>
                <w:b w:val="0"/>
                <w:i w:val="0"/>
                <w:sz w:val="21"/>
              </w:rPr>
              <w:t>运动控制</w:t>
            </w:r>
          </w:p>
        </w:tc>
        <w:tc>
          <w:tcPr>
            <w:tcW w:type="dxa" w:w="2891"/>
            <w:vAlign w:val="center"/>
          </w:tcPr>
          <w:p>
            <w:pPr>
              <w:spacing w:lineRule="exact" w:line="280" w:before="0" w:after="0"/>
              <w:jc w:val="left"/>
            </w:pPr>
            <w:r>
              <w:rPr>
                <w:rFonts w:ascii="Times New Roman" w:hAnsi="Times New Roman" w:eastAsia="宋体" w:cs="Times New Roman"/>
                <w:b w:val="0"/>
                <w:i w:val="0"/>
                <w:sz w:val="21"/>
              </w:rPr>
              <w:t>实现角度/坐标控制、抬笔落笔、中位复位。</w:t>
            </w:r>
          </w:p>
        </w:tc>
        <w:tc>
          <w:tcPr>
            <w:tcW w:type="dxa" w:w="2835"/>
            <w:vAlign w:val="center"/>
          </w:tcPr>
          <w:p>
            <w:pPr>
              <w:spacing w:lineRule="exact" w:line="280" w:before="0" w:after="0"/>
              <w:jc w:val="left"/>
            </w:pPr>
            <w:r>
              <w:rPr>
                <w:rFonts w:ascii="Times New Roman" w:hAnsi="Times New Roman" w:eastAsia="宋体" w:cs="Times New Roman"/>
                <w:b w:val="0"/>
                <w:i w:val="0"/>
                <w:sz w:val="21"/>
              </w:rPr>
              <w:t>速度过快时存在抖动和轨迹突变。</w:t>
            </w:r>
          </w:p>
        </w:tc>
        <w:tc>
          <w:tcPr>
            <w:tcW w:type="dxa" w:w="2438"/>
            <w:vAlign w:val="center"/>
          </w:tcPr>
          <w:p>
            <w:pPr>
              <w:spacing w:lineRule="exact" w:line="280" w:before="0" w:after="0"/>
              <w:jc w:val="left"/>
            </w:pPr>
            <w:r>
              <w:rPr>
                <w:rFonts w:ascii="Times New Roman" w:hAnsi="Times New Roman" w:eastAsia="宋体" w:cs="Times New Roman"/>
                <w:b w:val="0"/>
                <w:i w:val="0"/>
                <w:sz w:val="21"/>
              </w:rPr>
              <w:t>优化速度、延时和连续轨迹规划。</w:t>
            </w:r>
          </w:p>
        </w:tc>
      </w:tr>
      <w:tr>
        <w:tc>
          <w:tcPr>
            <w:tcW w:type="dxa" w:w="1474"/>
            <w:vAlign w:val="center"/>
          </w:tcPr>
          <w:p>
            <w:pPr>
              <w:spacing w:lineRule="exact" w:line="280" w:before="0" w:after="0"/>
              <w:jc w:val="left"/>
            </w:pPr>
            <w:r>
              <w:rPr>
                <w:rFonts w:ascii="Times New Roman" w:hAnsi="Times New Roman" w:eastAsia="宋体" w:cs="Times New Roman"/>
                <w:b w:val="0"/>
                <w:i w:val="0"/>
                <w:sz w:val="21"/>
              </w:rPr>
              <w:t>视觉交互</w:t>
            </w:r>
          </w:p>
        </w:tc>
        <w:tc>
          <w:tcPr>
            <w:tcW w:type="dxa" w:w="2891"/>
            <w:vAlign w:val="center"/>
          </w:tcPr>
          <w:p>
            <w:pPr>
              <w:spacing w:lineRule="exact" w:line="280" w:before="0" w:after="0"/>
              <w:jc w:val="left"/>
            </w:pPr>
            <w:r>
              <w:rPr>
                <w:rFonts w:ascii="Times New Roman" w:hAnsi="Times New Roman" w:eastAsia="宋体" w:cs="Times New Roman"/>
                <w:b w:val="0"/>
                <w:i w:val="0"/>
                <w:sz w:val="21"/>
              </w:rPr>
              <w:t>实现画面显示、鼠标点击定位和点位标记。</w:t>
            </w:r>
          </w:p>
        </w:tc>
        <w:tc>
          <w:tcPr>
            <w:tcW w:type="dxa" w:w="2835"/>
            <w:vAlign w:val="center"/>
          </w:tcPr>
          <w:p>
            <w:pPr>
              <w:spacing w:lineRule="exact" w:line="280" w:before="0" w:after="0"/>
              <w:jc w:val="left"/>
            </w:pPr>
            <w:r>
              <w:rPr>
                <w:rFonts w:ascii="Times New Roman" w:hAnsi="Times New Roman" w:eastAsia="宋体" w:cs="Times New Roman"/>
                <w:b w:val="0"/>
                <w:i w:val="0"/>
                <w:sz w:val="21"/>
              </w:rPr>
              <w:t>标定误差导致点击位置与落笔点偏移。</w:t>
            </w:r>
          </w:p>
        </w:tc>
        <w:tc>
          <w:tcPr>
            <w:tcW w:type="dxa" w:w="2438"/>
            <w:vAlign w:val="center"/>
          </w:tcPr>
          <w:p>
            <w:pPr>
              <w:spacing w:lineRule="exact" w:line="280" w:before="0" w:after="0"/>
              <w:jc w:val="left"/>
            </w:pPr>
            <w:r>
              <w:rPr>
                <w:rFonts w:ascii="Times New Roman" w:hAnsi="Times New Roman" w:eastAsia="宋体" w:cs="Times New Roman"/>
                <w:b w:val="0"/>
                <w:i w:val="0"/>
                <w:sz w:val="21"/>
              </w:rPr>
              <w:t>完成九点标定、滤波和平面映射优化。</w:t>
            </w:r>
          </w:p>
        </w:tc>
      </w:tr>
      <w:tr>
        <w:tc>
          <w:tcPr>
            <w:tcW w:type="dxa" w:w="1474"/>
            <w:vAlign w:val="center"/>
          </w:tcPr>
          <w:p>
            <w:pPr>
              <w:spacing w:lineRule="exact" w:line="280" w:before="0" w:after="0"/>
              <w:jc w:val="left"/>
            </w:pPr>
            <w:r>
              <w:rPr>
                <w:rFonts w:ascii="Times New Roman" w:hAnsi="Times New Roman" w:eastAsia="宋体" w:cs="Times New Roman"/>
                <w:b w:val="0"/>
                <w:i w:val="0"/>
                <w:sz w:val="21"/>
              </w:rPr>
              <w:t>安全保护</w:t>
            </w:r>
          </w:p>
        </w:tc>
        <w:tc>
          <w:tcPr>
            <w:tcW w:type="dxa" w:w="2891"/>
            <w:vAlign w:val="center"/>
          </w:tcPr>
          <w:p>
            <w:pPr>
              <w:spacing w:lineRule="exact" w:line="280" w:before="0" w:after="0"/>
              <w:jc w:val="left"/>
            </w:pPr>
            <w:r>
              <w:rPr>
                <w:rFonts w:ascii="Times New Roman" w:hAnsi="Times New Roman" w:eastAsia="宋体" w:cs="Times New Roman"/>
                <w:b w:val="0"/>
                <w:i w:val="0"/>
                <w:sz w:val="21"/>
              </w:rPr>
              <w:t>加入阈值裁剪、异常捕获和安全退出。</w:t>
            </w:r>
          </w:p>
        </w:tc>
        <w:tc>
          <w:tcPr>
            <w:tcW w:type="dxa" w:w="2835"/>
            <w:vAlign w:val="center"/>
          </w:tcPr>
          <w:p>
            <w:pPr>
              <w:spacing w:lineRule="exact" w:line="280" w:before="0" w:after="0"/>
              <w:jc w:val="left"/>
            </w:pPr>
            <w:r>
              <w:rPr>
                <w:rFonts w:ascii="Times New Roman" w:hAnsi="Times New Roman" w:eastAsia="宋体" w:cs="Times New Roman"/>
                <w:b w:val="0"/>
                <w:i w:val="0"/>
                <w:sz w:val="21"/>
              </w:rPr>
              <w:t>超程保护参数仍需反复验证。</w:t>
            </w:r>
          </w:p>
        </w:tc>
        <w:tc>
          <w:tcPr>
            <w:tcW w:type="dxa" w:w="2438"/>
            <w:vAlign w:val="center"/>
          </w:tcPr>
          <w:p>
            <w:pPr>
              <w:spacing w:lineRule="exact" w:line="280" w:before="0" w:after="0"/>
              <w:jc w:val="left"/>
            </w:pPr>
            <w:r>
              <w:rPr>
                <w:rFonts w:ascii="Times New Roman" w:hAnsi="Times New Roman" w:eastAsia="宋体" w:cs="Times New Roman"/>
                <w:b w:val="0"/>
                <w:i w:val="0"/>
                <w:sz w:val="21"/>
              </w:rPr>
              <w:t>完善边界测试和风险提示机制。</w:t>
            </w:r>
          </w:p>
        </w:tc>
      </w:tr>
    </w:tbl>
    <w:p>
      <w:pPr>
        <w:spacing w:lineRule="exact" w:line="320" w:before="0" w:after="0"/>
        <w:ind w:firstLine="420"/>
      </w:pPr>
      <w:r>
        <w:rPr>
          <w:rFonts w:ascii="Times New Roman" w:hAnsi="Times New Roman" w:eastAsia="宋体" w:cs="Times New Roman"/>
          <w:b w:val="0"/>
          <w:i w:val="0"/>
          <w:sz w:val="24"/>
        </w:rPr>
        <w:t>初步创新成果主要包括：一是采用纯视觉点击交互方式，将复杂的机械臂控制命令转化为直观的鼠标操作，降低使用门槛；二是构建了“点击坐标—安全判断—机械臂动作”的轻量化闭环流程，便于课堂演示和后续扩展；三是加入多层安全保护，包括坐标范围阈值、关节角度限制、运动延时和异常退出收尾，提高了系统运行安全性；四是形成了可独立运行的基础代码包和调试记录，为后期连续画线、目标识别和自动绘图提供基础。</w:t>
      </w:r>
    </w:p>
    <w:p>
      <w:pPr>
        <w:spacing w:lineRule="exact" w:line="320" w:before="0" w:after="0"/>
        <w:ind w:firstLine="420"/>
      </w:pPr>
      <w:r>
        <w:rPr>
          <w:rFonts w:ascii="Times New Roman" w:hAnsi="Times New Roman" w:eastAsia="宋体" w:cs="Times New Roman"/>
          <w:b w:val="0"/>
          <w:i w:val="0"/>
          <w:sz w:val="24"/>
        </w:rPr>
        <w:t>目前仍存在若干困难。其一，OpenCV窗口与系统图形界面兼容性不够稳定，偶尔出现窗口焦点丢失、鼠标键盘事件响应延迟等问题；其二，摄像头安装角度、纸面位置和光照变化会影响标定精度，导致像素坐标与机械臂世界坐标存在偏差；其三，机械臂坐标范围和关节角度约束较严格，参数设置稍有偏差就可能触发硬件保护；其四，连续轨迹画线和图像颜色/形状目标识别尚未完全实现。下一步，小组将优先完成高精度九点标定和坐标映射优化，再推进连续轨迹画线、目标识别与系统联调，确保最终成果能够稳定演示。</w:t>
      </w:r>
    </w:p>
    <w:p>
      <w:pPr>
        <w:spacing w:lineRule="exact" w:line="320" w:before="120" w:after="0"/>
      </w:pPr>
      <w:r>
        <w:rPr>
          <w:rFonts w:ascii="Times New Roman" w:hAnsi="Times New Roman" w:eastAsia="黑体" w:cs="Times New Roman"/>
          <w:b/>
          <w:i w:val="0"/>
          <w:sz w:val="24"/>
        </w:rPr>
        <w:t>四、结题预期目标</w:t>
      </w:r>
    </w:p>
    <w:p>
      <w:pPr>
        <w:spacing w:lineRule="exact" w:line="320" w:before="0" w:after="0"/>
        <w:ind w:firstLine="420"/>
      </w:pPr>
      <w:r>
        <w:rPr>
          <w:rFonts w:ascii="Times New Roman" w:hAnsi="Times New Roman" w:eastAsia="宋体" w:cs="Times New Roman"/>
          <w:b w:val="0"/>
          <w:i w:val="0"/>
          <w:sz w:val="24"/>
        </w:rPr>
        <w:t>结题阶段拟形成一个可直接运行、可现场演示、可复现实验流程的视觉点击绘图机械臂系统。验收时的主要考核依据包括以下方面：第一，系统完整性，即能够完成摄像头画面采集、点击坐标获取、坐标转换、安全判断和机械臂执行的完整闭环；第二，功能稳定性，即在固定实验环境下多次点击同一区域，机械臂能够基本落到目标附近，且运行过程中无明显撞臂、超程、刮纸和异常停机；第三，交互便捷性，即用户无需修改代码即可通过鼠标点击和键盘快捷键完成定点移动、复位和退出；第四，扩展功能，即力争实现连续轨迹画线，并加入简单颜色或形状目标识别，使系统从“人工点击控制”进一步扩展到“视觉目标引导控制”；第五，成果资料完整性，即提交完整工程代码包、演示视频、结题报告、答辩PPT、调试日志、问题解决记录和用户使用说明。</w:t>
      </w:r>
    </w:p>
    <w:p>
      <w:pPr>
        <w:spacing w:lineRule="exact" w:line="320" w:before="0" w:after="0"/>
        <w:ind w:firstLine="420"/>
      </w:pPr>
      <w:r>
        <w:rPr>
          <w:rFonts w:ascii="Times New Roman" w:hAnsi="Times New Roman" w:eastAsia="宋体" w:cs="Times New Roman"/>
          <w:b w:val="0"/>
          <w:i w:val="0"/>
          <w:sz w:val="24"/>
        </w:rPr>
        <w:t>预期最终成果应体现“低成本、可视化、易操作、高稳定性”的项目定位。若核心闭环、基础绘图和安全保护功能均能稳定运行，即可满足结题验收的基本要求；若在此基础上完成目标识别和连续轨迹优化，则可作为项目的进阶成果，用于展示开放式智能系统在桌面机器人教学和创意实践中的应用价值。</w:t>
      </w:r>
    </w:p>
    <w:p>
      <w:pPr>
        <w:spacing w:lineRule="exact" w:line="320" w:before="120" w:after="0"/>
      </w:pPr>
      <w:r>
        <w:rPr>
          <w:rFonts w:ascii="Times New Roman" w:hAnsi="Times New Roman" w:eastAsia="黑体" w:cs="Times New Roman"/>
          <w:b/>
          <w:i w:val="0"/>
          <w:sz w:val="24"/>
        </w:rPr>
        <w:t>参考文献</w:t>
      </w:r>
    </w:p>
    <w:p>
      <w:pPr>
        <w:spacing w:lineRule="exact" w:line="280" w:before="0" w:after="0"/>
      </w:pPr>
      <w:r>
        <w:rPr>
          <w:rFonts w:ascii="Times New Roman" w:hAnsi="Times New Roman" w:eastAsia="宋体" w:cs="Times New Roman"/>
          <w:b w:val="0"/>
          <w:i w:val="0"/>
          <w:sz w:val="21"/>
        </w:rPr>
        <w:t>[1] Craig J J. Introduction to Robotics: Mechanics and Control[M]. 4th ed. Boston: Pearson, 2018.</w:t>
      </w:r>
    </w:p>
    <w:p>
      <w:pPr>
        <w:spacing w:lineRule="exact" w:line="280" w:before="0" w:after="0"/>
      </w:pPr>
      <w:r>
        <w:rPr>
          <w:rFonts w:ascii="Times New Roman" w:hAnsi="Times New Roman" w:eastAsia="宋体" w:cs="Times New Roman"/>
          <w:b w:val="0"/>
          <w:i w:val="0"/>
          <w:sz w:val="21"/>
        </w:rPr>
        <w:t>[2] Siciliano B, Khatib O, editors. Springer Handbook of Robotics[M]. 2nd ed. Cham: Springer, 2016.</w:t>
      </w:r>
    </w:p>
    <w:p>
      <w:pPr>
        <w:spacing w:lineRule="exact" w:line="280" w:before="0" w:after="0"/>
      </w:pPr>
      <w:r>
        <w:rPr>
          <w:rFonts w:ascii="Times New Roman" w:hAnsi="Times New Roman" w:eastAsia="宋体" w:cs="Times New Roman"/>
          <w:b w:val="0"/>
          <w:i w:val="0"/>
          <w:sz w:val="21"/>
        </w:rPr>
        <w:t>[3] Hartley R, Zisserman A. Multiple View Geometry in Computer Vision[M]. 2nd ed. Cambridge: Cambridge University Press, 2004.</w:t>
      </w:r>
    </w:p>
    <w:p>
      <w:pPr>
        <w:spacing w:lineRule="exact" w:line="280" w:before="0" w:after="0"/>
      </w:pPr>
      <w:r>
        <w:rPr>
          <w:rFonts w:ascii="Times New Roman" w:hAnsi="Times New Roman" w:eastAsia="宋体" w:cs="Times New Roman"/>
          <w:b w:val="0"/>
          <w:i w:val="0"/>
          <w:sz w:val="21"/>
        </w:rPr>
        <w:t>[4] Szeliski R. Computer Vision: Algorithms and Applications[M]. 2nd ed. Cham: Springer, 2022.</w:t>
      </w:r>
    </w:p>
    <w:p>
      <w:pPr>
        <w:spacing w:lineRule="exact" w:line="280" w:before="0" w:after="0"/>
      </w:pPr>
      <w:r>
        <w:rPr>
          <w:rFonts w:ascii="Times New Roman" w:hAnsi="Times New Roman" w:eastAsia="宋体" w:cs="Times New Roman"/>
          <w:b w:val="0"/>
          <w:i w:val="0"/>
          <w:sz w:val="21"/>
        </w:rPr>
        <w:t>[5] Bradski G. The OpenCV Library[J]. Dr. Dobb's Journal of Software Tools, 2000, 25(11): 120-125.</w:t>
      </w:r>
    </w:p>
    <w:sectPr w:rsidR="00FC693F" w:rsidRPr="0006063C" w:rsidSect="00034616">
      <w:footerReference w:type="first" r:id="rId9"/>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280" w:before="0" w:after="0"/>
      <w:jc w:val="left"/>
    </w:pPr>
    <w:r>
      <w:rPr>
        <w:rFonts w:ascii="Times New Roman" w:hAnsi="Times New Roman" w:eastAsia="宋体" w:cs="Times New Roman"/>
        <w:b w:val="0"/>
        <w:i w:val="0"/>
        <w:sz w:val="21"/>
      </w:rPr>
      <w:t>作者简介：原灵超，组长，学号2025310206027；赵亚锦，组员，学号2025040907020；李敏津，组员，学号2025010903004；张弘毅，组员，学号2025080905027。项目小组围绕桌面级机械臂、机器视觉与开放式智能系统开展课程创新实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