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t>System Architecture &amp; Technical Design</w:t>
      </w:r>
    </w:p>
    <w:p>
      <w:r>
        <w:t>Product: Maa Ambey Enterprises — Inventory Management System | Version: 1.2 draft | Updated: 12 October 2026 | Implementation stack confirmed: React + TypeScript + Vite, Go + Gin, PostgreSQL + pgx in one Git repository</w:t>
      </w:r>
    </w:p>
    <w:p>
      <w:pPr>
        <w:pStyle w:val="Heading2"/>
      </w:pPr>
      <w:r>
        <w:t>1. Architecture goals</w:t>
      </w:r>
    </w:p>
    <w:p>
      <w:pPr>
        <w:pStyle w:val="ListBullet"/>
        <w:spacing w:after="40"/>
      </w:pPr>
      <w:r>
        <w:t>Keep stock, serial identities, financial references and audit history consistent under concurrent use.</w:t>
      </w:r>
    </w:p>
    <w:p>
      <w:pPr>
        <w:pStyle w:val="ListBullet"/>
        <w:spacing w:after="40"/>
      </w:pPr>
      <w:r>
        <w:t>Separate the web UI from business rules and persistent storage.</w:t>
      </w:r>
    </w:p>
    <w:p>
      <w:pPr>
        <w:pStyle w:val="ListBullet"/>
        <w:spacing w:after="40"/>
      </w:pPr>
      <w:r>
        <w:t>Enforce access control on the server and maintain an auditable history of sensitive operations.</w:t>
      </w:r>
    </w:p>
    <w:p>
      <w:pPr>
        <w:pStyle w:val="ListBullet"/>
        <w:spacing w:after="40"/>
      </w:pPr>
      <w:r>
        <w:t>Confirmed P0: support multiple EV brands from day one in one shared deployment and catalogue. Keep brand-specific model/variant data, supplier relationships, pricing, warranty, serial-field policies, purchasing, sales and reporting correctly scoped; do not hardcode a single brand. Start with one showroom while preserving location IDs for future expansion.</w:t>
      </w:r>
    </w:p>
    <w:p>
      <w:pPr>
        <w:pStyle w:val="ListBullet"/>
        <w:spacing w:after="40"/>
      </w:pPr>
      <w:r>
        <w:t>Avoid direct vendor integrations until documented APIs, authorisation and maintenance ownership are confirmed.</w:t>
      </w:r>
    </w:p>
    <w:p>
      <w:pPr>
        <w:pStyle w:val="Heading2"/>
      </w:pPr>
      <w:r>
        <w:t>2. Recommended stack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5CD3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5CD3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Recommendation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5CD3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Rationale / notes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Web frontend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React + TypeScript + Vite, React Router, Tailwind CSS, accessible component primitives and TanStack Query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Single-repository SPA frontend with responsive staff screens, strict TypeScript, accessible components and a straightforward Vite development/build workflow.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API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Go (Golang) + Gin REST API (OpenAPI/Swagger)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Modular monolith with explicit handlers, request validation, middleware, services and testable business logic. Keep all stock/sales invariants in the Go API layer.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PostgreSQL (managed)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Transactions, constraints, relational integrity, reporting and stable stock/sales records.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Database access / migrations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pgx connection pool with reviewed versioned SQL migrations (golang-migrate or equivalent)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Explicit SQL access and repeatable deployments; critical constraints, transactions and indexes remain visible and testable.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Authentication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Server-side session or managed identity; secure HttpOnly cookies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Avoid browser localStorage for session tokens. Enforce CSRF/session protections.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File storage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Private S3-compatible object storage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PDI images, supplier bills and documents; use short-lived signed URLs after authorisation.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Background jobs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Queue/worker (add only if needed for alerts, imports or scheduled expiry)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Avoid making core sales depend on an async queue; scheduled tasks must be idempotent.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Hosting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Managed app hosting + managed PostgreSQL + private object storage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Simple operations, backups, environment separation and scalable path. Provider choice is a deployment decision.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Observability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Structured logs, error tracking, uptime checks, DB metrics and backup alerts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Diagnose failed imports, unexpected stock movements and release issues.</w:t>
            </w:r>
          </w:p>
        </w:tc>
      </w:tr>
    </w:tbl>
    <w:p>
      <w:pPr>
        <w:spacing w:after="20"/>
      </w:pPr>
    </w:p>
    <w:p>
      <w:r>
        <w:t>A modular monolith is preferred for the MVP. Do not introduce microservices, event streaming or a service mesh until usage and integration demands justify the operational overhead.</w:t>
      </w:r>
    </w:p>
    <w:p>
      <w:pPr>
        <w:pStyle w:val="Heading2"/>
      </w:pPr>
      <w:r>
        <w:t>3. Logical architecture</w:t>
      </w:r>
    </w:p>
    <w:p>
      <w:pPr>
        <w:keepLines/>
        <w:spacing w:before="60" w:after="140"/>
        <w:ind w:left="259" w:right="115"/>
        <w:shd w:fill="F2F4F7"/>
      </w:pPr>
      <w:r>
        <w:t>Staff Browser (desktop/tablet)</w:t>
        <w:br/>
        <w:t xml:space="preserve">        |</w:t>
        <w:br/>
        <w:t xml:space="preserve">        | HTTPS / secure session cookie</w:t>
        <w:br/>
        <w:t xml:space="preserve">        v</w:t>
        <w:br/>
        <w:t>React + Vite Web App</w:t>
        <w:br/>
        <w:t xml:space="preserve">  - Dashboard and reports</w:t>
        <w:br/>
        <w:t xml:space="preserve">  - Product / vehicle registry</w:t>
        <w:br/>
        <w:t xml:space="preserve">  - Purchasing / receiving / PDI</w:t>
        <w:br/>
        <w:t xml:space="preserve">  - Reservations / sales / delivery</w:t>
        <w:br/>
        <w:t xml:space="preserve">  - Admin / users / audit</w:t>
        <w:br/>
        <w:t xml:space="preserve">        |</w:t>
        <w:br/>
        <w:t xml:space="preserve">        | REST / JSON + validation</w:t>
        <w:br/>
        <w:t xml:space="preserve">        v</w:t>
        <w:br/>
        <w:t>Go + Gin API (modular monolith)</w:t>
        <w:br/>
        <w:t xml:space="preserve">  - Auth &amp; RBAC guards</w:t>
        <w:br/>
        <w:t xml:space="preserve">  - Catalogue module</w:t>
        <w:br/>
        <w:t xml:space="preserve">  - Suppliers &amp; purchasing module</w:t>
        <w:br/>
        <w:t xml:space="preserve">  - Inventory / stock ledger module</w:t>
        <w:br/>
        <w:t xml:space="preserve">  - Customers &amp; reservations module</w:t>
        <w:br/>
        <w:t xml:space="preserve">  - Sales / billing module</w:t>
        <w:br/>
        <w:t xml:space="preserve">  - Reporting / export module</w:t>
        <w:br/>
        <w:t xml:space="preserve">  - Audit / attachment module</w:t>
        <w:br/>
        <w:t xml:space="preserve">        |                   \</w:t>
        <w:br/>
        <w:t xml:space="preserve">        | ACID transactions   \ signed URL / metadata</w:t>
        <w:br/>
        <w:t xml:space="preserve">        v                     v</w:t>
        <w:br/>
        <w:t>Managed PostgreSQL      Private Object Storage</w:t>
        <w:br/>
        <w:t xml:space="preserve">        |</w:t>
        <w:br/>
        <w:t xml:space="preserve">        +--&gt; Backup / point-in-time recovery / monitoring</w:t>
        <w:br/>
        <w:br/>
        <w:t>Optional later: email/SMS provider, accounting software, manufacturer APIs,</w:t>
        <w:br/>
        <w:t>website lead integration, GST/e-invoice/e-way bill service (after approval).</w:t>
      </w:r>
    </w:p>
    <w:p>
      <w:pPr>
        <w:pStyle w:val="Heading2"/>
      </w:pPr>
      <w:r>
        <w:t>4. Domain boundaries / modules</w:t>
      </w:r>
    </w:p>
    <w:p>
      <w:pPr>
        <w:spacing w:after="40"/>
        <w:ind w:left="317" w:hanging="317"/>
      </w:pPr>
      <w:r>
        <w:t xml:space="preserve">1. </w:t>
      </w:r>
      <w:r>
        <w:rPr>
          <w:b/>
          <w:color w:val="101828"/>
        </w:rPr>
        <w:t>Identity &amp; access:</w:t>
      </w:r>
      <w:r>
        <w:t xml:space="preserve"> users, roles, permission keys, session invalidation, location scope.</w:t>
      </w:r>
    </w:p>
    <w:p>
      <w:pPr>
        <w:spacing w:after="40"/>
        <w:ind w:left="317" w:hanging="317"/>
      </w:pPr>
      <w:r>
        <w:t xml:space="preserve">2. </w:t>
      </w:r>
      <w:r>
        <w:rPr>
          <w:b/>
          <w:color w:val="101828"/>
        </w:rPr>
        <w:t>Catalogue:</w:t>
      </w:r>
      <w:r>
        <w:t xml:space="preserve"> brands, models, variants, colours, spec provenance, scheme/ownership options, approved prices and validity windows.</w:t>
      </w:r>
    </w:p>
    <w:p>
      <w:pPr>
        <w:spacing w:after="40"/>
        <w:ind w:left="317" w:hanging="317"/>
      </w:pPr>
      <w:r>
        <w:t xml:space="preserve">3. </w:t>
      </w:r>
      <w:r>
        <w:rPr>
          <w:b/>
          <w:color w:val="101828"/>
        </w:rPr>
        <w:t>Supplier &amp; procurement:</w:t>
      </w:r>
      <w:r>
        <w:t xml:space="preserve"> supplier profile, purchase orders, PO lines, receipt notes, received quantities, bill attachment and PDI disposition.</w:t>
      </w:r>
    </w:p>
    <w:p>
      <w:pPr>
        <w:spacing w:after="40"/>
        <w:ind w:left="317" w:hanging="317"/>
      </w:pPr>
      <w:r>
        <w:t xml:space="preserve">4. </w:t>
      </w:r>
      <w:r>
        <w:rPr>
          <w:b/>
          <w:color w:val="101828"/>
        </w:rPr>
        <w:t>Inventory:</w:t>
      </w:r>
      <w:r>
        <w:t xml:space="preserve"> individual vehicle units, parts SKUs, location, statuses, stock movement ledger, cycle counts and adjustment approvals.</w:t>
      </w:r>
    </w:p>
    <w:p>
      <w:pPr>
        <w:spacing w:after="40"/>
        <w:ind w:left="317" w:hanging="317"/>
      </w:pPr>
      <w:r>
        <w:t xml:space="preserve">5. </w:t>
      </w:r>
      <w:r>
        <w:rPr>
          <w:b/>
          <w:color w:val="101828"/>
        </w:rPr>
        <w:t>CRM-lite:</w:t>
      </w:r>
      <w:r>
        <w:t xml:space="preserve"> customer records, enquiries/test rides only if needed, quotation and reservations.</w:t>
      </w:r>
    </w:p>
    <w:p>
      <w:pPr>
        <w:spacing w:after="40"/>
        <w:ind w:left="317" w:hanging="317"/>
      </w:pPr>
      <w:r>
        <w:t xml:space="preserve">6. </w:t>
      </w:r>
      <w:r>
        <w:rPr>
          <w:b/>
          <w:color w:val="101828"/>
        </w:rPr>
        <w:t>Sales &amp; delivery:</w:t>
      </w:r>
      <w:r>
        <w:t xml:space="preserve"> order, unit allocation, payment receipts, discount approval, delivery checklist, invoice/receipt print record.</w:t>
      </w:r>
    </w:p>
    <w:p>
      <w:pPr>
        <w:spacing w:after="40"/>
        <w:ind w:left="317" w:hanging="317"/>
      </w:pPr>
      <w:r>
        <w:t xml:space="preserve">7. </w:t>
      </w:r>
      <w:r>
        <w:rPr>
          <w:b/>
          <w:color w:val="101828"/>
        </w:rPr>
        <w:t>Reporting:</w:t>
      </w:r>
      <w:r>
        <w:t xml:space="preserve"> derived dashboards, filtered reports and export jobs.</w:t>
      </w:r>
    </w:p>
    <w:p>
      <w:pPr>
        <w:spacing w:after="40"/>
        <w:ind w:left="317" w:hanging="317"/>
      </w:pPr>
      <w:r>
        <w:t xml:space="preserve">8. </w:t>
      </w:r>
      <w:r>
        <w:rPr>
          <w:b/>
          <w:color w:val="101828"/>
        </w:rPr>
        <w:t>Audit &amp; attachments:</w:t>
      </w:r>
      <w:r>
        <w:t xml:space="preserve"> append-only audit events, document metadata, authorised access and retention policy.</w:t>
      </w:r>
    </w:p>
    <w:p>
      <w:r>
        <w:t>Each module should own its business operations. Cross-module changes (for example finalising a sale and marking a vehicle sold) must execute in one database transaction or use a carefully designed idempotent workflow if an external system is involved.</w:t>
      </w:r>
    </w:p>
    <w:p>
      <w:pPr>
        <w:pStyle w:val="Heading2"/>
      </w:pPr>
      <w:r>
        <w:t>5. Data model (recommended core tables)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cantSplit/>
          <w:tblHeader w:val="true"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5CD3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5CD3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Important attributes / relationship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users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id, name, email/username, password/identity subject, active, last_login_at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roles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permissions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user_roles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role_permissions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RBAC grants; location scope may be separately modelled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locations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id, code, name, type, address, active; initial seed is one showroom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brands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id, name, lifecycle_status (PENDING_VERIFICATION / ACTIVE / ARCHIVED), authorisation_status, authorisation_reference, verified_at, approval owner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models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id, brand_id (required FK), name, internal_code, vehicle_type, active; enforce brand-scoped code uniqueness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variants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id, model_id (and thus brand), variant_code, battery_type/capacity, colour, specs JSON or typed columns, spec_source, spec_verified_at; brand-specific serial/warranty/scheme settings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price_lists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color w:val="175CD3"/>
                <w:sz w:val="16"/>
              </w:rPr>
              <w:t>price_list_items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variant/brand context, effective_from/to, price_type, amount, tax treatment reference, approval actor; keep price and discount history by brand/variant/scheme, never overwrite approved history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suppliers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t>legal name, contact, GSTIN if applicable, address, status, documents; supplier may supply one or more brands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purchase_orders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purchase_order_lines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supplier, dates, status, qty, agreed cost, currency, terms/reference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goods_receipts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goods_receipt_lines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 link, receipt date, received quantity, accepted/rejected quantity, attachments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vehicle_units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internal_unit_id, variant_id, chassis_number (unique), motor_serial, battery_serials, charger_serial, location_id, status, supplier_id, PO/GRN refs, cost, PDI fields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stock_items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SKU, name, category, tracking_mode, UOM, reorder_point, active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stock_item_balances</w:t>
            </w:r>
            <w:r>
              <w:rPr>
                <w:sz w:val="16"/>
              </w:rPr>
              <w:t xml:space="preserve"> (optional cache)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item/location and derived quantity; reconciled against ledger; do not use as sole truth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stock_movements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immutable event, unit_id or stock_item_id, qty delta, from/to location/status, reason, source reference, actor, time, idempotency key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stock_counts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stock_count_lines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stock_adjustments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observed count, variance, reason, approval, posted movement reference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customers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name, phone, email, address, state, GSTIN only when applicable, marketing consent/purpose fields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quotations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quotation_lines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customer, model/unit, effective price, discount approval, valid_until, status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reservations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unit_id, customer_id, expiry_at, advance amount/status, cancellation reason, state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sales_orders</w:t>
            </w:r>
            <w:r>
              <w:rPr>
                <w:sz w:val="16"/>
              </w:rPr>
              <w:t xml:space="preserve">, </w:t>
            </w:r>
            <w:r>
              <w:rPr>
                <w:rFonts w:ascii="Consolas" w:hAnsi="Consolas"/>
                <w:color w:val="175CD3"/>
                <w:sz w:val="16"/>
              </w:rPr>
              <w:t>sales_order_lines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customer, exact unit, approved commercial snapshot, status, totals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payment_receipts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order_id, amount, method, external reference, received_at, status, reversal reference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sales_documents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type, number, financial_year, series, immutable commercial/tax snapshot, file reference/status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delivery_checklists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required item keys, checked_by, checked_at, evidence/document reference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audit_events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actor, action, entity, entity_id, before/after diff or structured change summary, request ID, IP policy, timestamp</w:t>
            </w:r>
          </w:p>
        </w:tc>
      </w:tr>
      <w:tr>
        <w:trPr>
          <w:cantSplit/>
        </w:trPr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attachments</w:t>
            </w:r>
          </w:p>
        </w:tc>
        <w:tc>
          <w:tcPr>
            <w:tcW w:type="dxa" w:w="5083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owner entity, private object key, content type, size, checksum, uploader and access policy</w:t>
            </w:r>
          </w:p>
        </w:tc>
      </w:tr>
    </w:tbl>
    <w:p>
      <w:pPr>
        <w:spacing w:after="20"/>
      </w:pPr>
    </w:p>
    <w:p>
      <w:r>
        <w:t>Multi-brand data integrity: Add a brand_supplier_links junction table when suppliers can supply multiple brands. Store each relationship’s verification/authorisation status, effective dates, supporting document and verifier. Every query, export and report that includes catalogue or vehicle records must retain brand_id context and enforce the user’s permissions server-side. Use brand-scoped uniqueness for manufacturer model/variant codes where codes can overlap between brands; chassis/VIN remains globally unique across the showroom inventory.</w:t>
        <w:br/>
        <w:br/>
        <w:t>Serial data note: If one model can have multiple battery packs or replacement packs, store batteries in a separate battery_units table and link installation/removal history; do not pack multiple battery serials into an unvalidated text field. Use the simplest model that fits supplier documentation, but preserve traceability.</w:t>
      </w:r>
    </w:p>
    <w:p>
      <w:pPr>
        <w:pStyle w:val="Heading2"/>
      </w:pPr>
      <w:r>
        <w:t>6. Key state machines</w:t>
      </w:r>
    </w:p>
    <w:p>
      <w:pPr>
        <w:pStyle w:val="Heading3"/>
      </w:pPr>
      <w:r>
        <w:t>Vehicle lifecycle</w:t>
      </w:r>
    </w:p>
    <w:p>
      <w:pPr>
        <w:keepLines/>
        <w:spacing w:before="60" w:after="140"/>
        <w:ind w:left="259" w:right="115"/>
        <w:shd w:fill="F2F4F7"/>
      </w:pPr>
      <w:r>
        <w:rPr>
          <w:rFonts w:ascii="Consolas" w:hAnsi="Consolas"/>
          <w:color w:val="101828"/>
          <w:sz w:val="14"/>
        </w:rPr>
        <w:t>ORDERED -&gt; IN_TRANSIT -&gt; RECEIVED_PENDING_PDI</w:t>
        <w:br/>
        <w:t xml:space="preserve">                              |             |</w:t>
        <w:br/>
        <w:t xml:space="preserve">                              v             v</w:t>
        <w:br/>
        <w:t xml:space="preserve">                        QUALITY_HOLD     AVAILABLE &lt;-&gt; DISPLAY</w:t>
        <w:br/>
        <w:t xml:space="preserve">                              |             |</w:t>
        <w:br/>
        <w:t xml:space="preserve">                              v             v</w:t>
        <w:br/>
        <w:t xml:space="preserve">                         REJECTED       RESERVED -&gt; AVAILABLE (cancel/expire)</w:t>
        <w:br/>
        <w:t xml:space="preserve">                                            |</w:t>
        <w:br/>
        <w:t xml:space="preserve">                                            v</w:t>
        <w:br/>
        <w:t xml:space="preserve">                                       SOLD -&gt; DELIVERED</w:t>
        <w:br/>
        <w:br/>
        <w:t>Any physical unit needing inspection/repair may move to SERVICE_HOLD only via</w:t>
        <w:br/>
        <w:t>an authorised transition. Sold/delivered units are not returned to available</w:t>
        <w:br/>
        <w:t>without an explicit return/credit/inspection workflow and approvals.</w:t>
      </w:r>
    </w:p>
    <w:p>
      <w:pPr>
        <w:pStyle w:val="Heading3"/>
      </w:pPr>
      <w:r>
        <w:t>Purchase order lifecycle</w:t>
      </w:r>
    </w:p>
    <w:p>
      <w:r>
        <w:rPr>
          <w:rFonts w:ascii="Consolas" w:hAnsi="Consolas"/>
          <w:color w:val="175CD3"/>
          <w:sz w:val="17"/>
        </w:rPr>
        <w:t>DRAFT -&gt; SUBMITTED -&gt; APPROVED -&gt; PARTIALLY_RECEIVED -&gt; RECEIVED/CLOSED</w:t>
      </w:r>
      <w:r>
        <w:t xml:space="preserve"> with explicit </w:t>
      </w:r>
      <w:r>
        <w:rPr>
          <w:rFonts w:ascii="Consolas" w:hAnsi="Consolas"/>
          <w:color w:val="175CD3"/>
          <w:sz w:val="17"/>
        </w:rPr>
        <w:t>CANCELLED</w:t>
      </w:r>
      <w:r>
        <w:t xml:space="preserve"> state where allowed. Receipt quantities cannot exceed accepted PO remaining quantity without an authorised override and reason.</w:t>
      </w:r>
    </w:p>
    <w:p>
      <w:pPr>
        <w:pStyle w:val="Heading3"/>
      </w:pPr>
      <w:r>
        <w:t>Reservation / sales lifecycle</w:t>
      </w:r>
    </w:p>
    <w:p>
      <w:r>
        <w:rPr>
          <w:rFonts w:ascii="Consolas" w:hAnsi="Consolas"/>
          <w:color w:val="175CD3"/>
          <w:sz w:val="17"/>
        </w:rPr>
        <w:t>DRAFT_QUOTE -&gt; QUOTED -&gt; RESERVED -&gt; SALE_PENDING_APPROVAL -&gt; CONFIRMED -&gt; DELIVERED</w:t>
      </w:r>
      <w:r>
        <w:t>. Cancellation, expiry, refund and reversal must be explicit states/events. Avoid deleting completed records.</w:t>
      </w:r>
    </w:p>
    <w:p>
      <w:pPr>
        <w:pStyle w:val="Heading2"/>
      </w:pPr>
      <w:r>
        <w:t>7. API design conventions</w:t>
      </w:r>
    </w:p>
    <w:p>
      <w:pPr>
        <w:pStyle w:val="ListBullet"/>
        <w:spacing w:after="40"/>
      </w:pPr>
      <w:r>
        <w:t xml:space="preserve">Base path: </w:t>
      </w:r>
      <w:r>
        <w:rPr>
          <w:rFonts w:ascii="Consolas" w:hAnsi="Consolas"/>
          <w:color w:val="175CD3"/>
          <w:sz w:val="17"/>
        </w:rPr>
        <w:t>/api/v1</w:t>
      </w:r>
      <w:r>
        <w:t>.</w:t>
      </w:r>
    </w:p>
    <w:p>
      <w:pPr>
        <w:pStyle w:val="ListBullet"/>
        <w:spacing w:after="40"/>
      </w:pPr>
      <w:r>
        <w:t>JSON request/response, consistent error envelope (</w:t>
      </w:r>
      <w:r>
        <w:rPr>
          <w:rFonts w:ascii="Consolas" w:hAnsi="Consolas"/>
          <w:color w:val="175CD3"/>
          <w:sz w:val="17"/>
        </w:rPr>
        <w:t>code</w:t>
      </w:r>
      <w:r>
        <w:t xml:space="preserve">, </w:t>
      </w:r>
      <w:r>
        <w:rPr>
          <w:rFonts w:ascii="Consolas" w:hAnsi="Consolas"/>
          <w:color w:val="175CD3"/>
          <w:sz w:val="17"/>
        </w:rPr>
        <w:t>message</w:t>
      </w:r>
      <w:r>
        <w:t xml:space="preserve">, field errors, </w:t>
      </w:r>
      <w:r>
        <w:rPr>
          <w:rFonts w:ascii="Consolas" w:hAnsi="Consolas"/>
          <w:color w:val="175CD3"/>
          <w:sz w:val="17"/>
        </w:rPr>
        <w:t>requestId</w:t>
      </w:r>
      <w:r>
        <w:t>).</w:t>
      </w:r>
    </w:p>
    <w:p>
      <w:pPr>
        <w:pStyle w:val="ListBullet"/>
        <w:spacing w:after="40"/>
      </w:pPr>
      <w:r>
        <w:t>Pagination: cursor or page/limit with server maximum; stable sort required.</w:t>
      </w:r>
    </w:p>
    <w:p>
      <w:pPr>
        <w:pStyle w:val="ListBullet"/>
        <w:spacing w:after="40"/>
      </w:pPr>
      <w:r>
        <w:t>Filtering: query params for brand, model, variant, colour, status, location, receipt date and ageing.</w:t>
      </w:r>
    </w:p>
    <w:p>
      <w:pPr>
        <w:pStyle w:val="ListBullet"/>
        <w:spacing w:after="40"/>
      </w:pPr>
      <w:r>
        <w:t>Use idempotency keys for sale finalisation, receipt posting, payment capture/reversal and bulk imports.</w:t>
      </w:r>
    </w:p>
    <w:p>
      <w:pPr>
        <w:pStyle w:val="ListBullet"/>
        <w:spacing w:after="40"/>
      </w:pPr>
      <w:r>
        <w:t>Use optimistic concurrency (</w:t>
      </w:r>
      <w:r>
        <w:rPr>
          <w:rFonts w:ascii="Consolas" w:hAnsi="Consolas"/>
          <w:color w:val="175CD3"/>
          <w:sz w:val="17"/>
        </w:rPr>
        <w:t>version</w:t>
      </w:r>
      <w:r>
        <w:t xml:space="preserve"> or </w:t>
      </w:r>
      <w:r>
        <w:rPr>
          <w:rFonts w:ascii="Consolas" w:hAnsi="Consolas"/>
          <w:color w:val="175CD3"/>
          <w:sz w:val="17"/>
        </w:rPr>
        <w:t>updatedAt</w:t>
      </w:r>
      <w:r>
        <w:t>) for edits to reservations, units and POs.</w:t>
      </w:r>
    </w:p>
    <w:p>
      <w:pPr>
        <w:pStyle w:val="ListBullet"/>
        <w:spacing w:after="40"/>
      </w:pPr>
      <w:r>
        <w:t>OpenAPI contract committed with code; validation schemas are server-side source of truth.</w:t>
      </w:r>
    </w:p>
    <w:p>
      <w:pPr>
        <w:pStyle w:val="Heading3"/>
      </w:pPr>
      <w:r>
        <w:t>Endpoint sketch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cantSplit/>
          <w:tblHeader w:val="true"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5CD3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5CD3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Endpoint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175CD3"/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GET/POST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/api/v1/brands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List/create brands (write permission required)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GET/POST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/api/v1/models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Catalogue models and variants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/api/v1/vehicle-units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Search/filter individual vehicle records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/api/v1/purchase-orders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Create purchase order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/api/v1/goods-receipts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Create draft receipt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/api/v1/goods-receipts/:id/post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Validate and post receipt / stock movements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/api/v1/vehicle-units/:id/pdi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Record PDI outcome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/api/v1/reservations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Create reservation with unit lock/validation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/api/v1/reservations/:id/cancel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Cancel reservation with reason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/api/v1/sales-orders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Create sale draft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/api/v1/sales-orders/:id/finalise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Atomic stock/payment/approval checks, sale commit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/api/v1/stock-adjustments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Request adjustment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POST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/api/v1/stock-adjustments/:id/approve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Approval and ledger posting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/api/v1/reports/stock-summary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Current stock derived by model/status/location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/api/v1/reports/sales-summary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Sales totals by time/product/owner</w:t>
            </w:r>
          </w:p>
        </w:tc>
      </w:tr>
      <w:tr>
        <w:trPr>
          <w:cantSplit/>
        </w:trPr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GET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/>
                <w:color w:val="175CD3"/>
                <w:sz w:val="16"/>
              </w:rPr>
              <w:t>/api/v1/audit-events</w:t>
            </w:r>
          </w:p>
        </w:tc>
        <w:tc>
          <w:tcPr>
            <w:tcW w:type="dxa" w:w="3389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8FAFC"/>
            <w:tcBorders>
              <w:bottom w:val="single" w:sz="3" w:color="D0D5DD"/>
            </w:tcBorders>
          </w:tcPr>
          <w:p>
            <w:pPr>
              <w:spacing w:after="0" w:line="240" w:lineRule="auto"/>
            </w:pPr>
            <w:r>
              <w:rPr>
                <w:sz w:val="16"/>
              </w:rPr>
              <w:t>Permission-limited audit search</w:t>
            </w:r>
          </w:p>
        </w:tc>
      </w:tr>
    </w:tbl>
    <w:p>
      <w:pPr>
        <w:spacing w:after="20"/>
      </w:pPr>
    </w:p>
    <w:p>
      <w:r>
        <w:t>Brand-aware list/report endpoints accept validated brandId filters; all-brand totals are available only within the caller’s authorised scope. Provide a permissioned supplier-brand relationship workflow/API as part of catalogue governance. This is a contract sketch, not a final locked API. Refine after discovery and write OpenAPI definitions before frontend integration.</w:t>
      </w:r>
    </w:p>
    <w:p>
      <w:pPr>
        <w:pStyle w:val="Heading2"/>
      </w:pPr>
      <w:r>
        <w:t>8. Transaction and inventory consistency rules</w:t>
      </w:r>
    </w:p>
    <w:p>
      <w:pPr>
        <w:pStyle w:val="ListBullet"/>
        <w:spacing w:after="40"/>
      </w:pPr>
      <w:r>
        <w:t>A vehicle unit has at most one active reservation at a time. Enforce via transaction and/or database constraint.</w:t>
      </w:r>
    </w:p>
    <w:p>
      <w:pPr>
        <w:pStyle w:val="ListBullet"/>
        <w:spacing w:after="40"/>
      </w:pPr>
      <w:r>
        <w:t>Sale finalisation must lock/check the unit row, verify saleable status, create sale/document snapshot, post movement and set unit status in the same transaction.</w:t>
      </w:r>
    </w:p>
    <w:p>
      <w:pPr>
        <w:pStyle w:val="ListBullet"/>
        <w:spacing w:after="40"/>
      </w:pPr>
      <w:r>
        <w:t>Never calculate current stock solely from editable form fields. Use the vehicle registry plus posted movement ledger; parts balances may be cached but ledger reconciliation is mandatory.</w:t>
      </w:r>
    </w:p>
    <w:p>
      <w:pPr>
        <w:pStyle w:val="ListBullet"/>
        <w:spacing w:after="40"/>
      </w:pPr>
      <w:r>
        <w:t>Stock movement rows are append-only for normal app roles. Correct an error using reversal/correction events, not destructive edits.</w:t>
      </w:r>
    </w:p>
    <w:p>
      <w:pPr>
        <w:pStyle w:val="ListBullet"/>
        <w:spacing w:after="40"/>
      </w:pPr>
      <w:r>
        <w:t>Negative quantity is blocked for tracked stock unless an explicitly approved exceptional workflow exists (MVP recommendation: block it).</w:t>
      </w:r>
    </w:p>
    <w:p>
      <w:pPr>
        <w:pStyle w:val="ListBullet"/>
        <w:spacing w:after="40"/>
      </w:pPr>
      <w:r>
        <w:t>Imported rows are first staged and validated; commit only after preview/confirmation. Idempotency prevents repeated imports from duplicating stock.</w:t>
      </w:r>
    </w:p>
    <w:p>
      <w:pPr>
        <w:pStyle w:val="Heading2"/>
      </w:pPr>
      <w:r>
        <w:t>9. Security and privacy</w:t>
      </w:r>
    </w:p>
    <w:p>
      <w:pPr>
        <w:pStyle w:val="ListBullet"/>
        <w:spacing w:after="40"/>
      </w:pPr>
      <w:r>
        <w:t>RBAC enforcement in API guards, not just UI. Deny by default.</w:t>
      </w:r>
    </w:p>
    <w:p>
      <w:pPr>
        <w:pStyle w:val="ListBullet"/>
        <w:spacing w:after="40"/>
      </w:pPr>
      <w:r>
        <w:t>Secure cookies, short session lifetime appropriate to staff use, CSRF protection, rate limiting and session revocation.</w:t>
      </w:r>
    </w:p>
    <w:p>
      <w:pPr>
        <w:pStyle w:val="ListBullet"/>
        <w:spacing w:after="40"/>
      </w:pPr>
      <w:r>
        <w:t xml:space="preserve">Do not store authentication tokens in </w:t>
      </w:r>
      <w:r>
        <w:rPr>
          <w:rFonts w:ascii="Consolas" w:hAnsi="Consolas"/>
          <w:color w:val="175CD3"/>
          <w:sz w:val="17"/>
        </w:rPr>
        <w:t>localStorage</w:t>
      </w:r>
      <w:r>
        <w:t>. Do not include sensitive customer data in logs or analytics.</w:t>
      </w:r>
    </w:p>
    <w:p>
      <w:pPr>
        <w:pStyle w:val="ListBullet"/>
        <w:spacing w:after="40"/>
      </w:pPr>
      <w:r>
        <w:t>Private file bucket, MIME/size validation, malware scanning if available, short-lived signed links and authorised download checks.</w:t>
      </w:r>
    </w:p>
    <w:p>
      <w:pPr>
        <w:pStyle w:val="ListBullet"/>
        <w:spacing w:after="40"/>
      </w:pPr>
      <w:r>
        <w:t>Apply least privilege to exports; record who exported sensitive reports.</w:t>
      </w:r>
    </w:p>
    <w:p>
      <w:pPr>
        <w:pStyle w:val="ListBullet"/>
        <w:spacing w:after="40"/>
      </w:pPr>
      <w:r>
        <w:t>Secrets managed by deployment platform, distinct dev/staging/production environments, encrypted connections and managed DB encryption at rest.</w:t>
      </w:r>
    </w:p>
    <w:p>
      <w:pPr>
        <w:pStyle w:val="ListBullet"/>
        <w:spacing w:after="40"/>
      </w:pPr>
      <w:r>
        <w:t>Define backup retention, RPO/RTO with client. Suggested starting target: daily backups, 30-day retention, RPO &lt;= 24 hours and RTO &lt;= 8 business hours, subject to hosting capabilities and owner approval.</w:t>
      </w:r>
    </w:p>
    <w:p>
      <w:pPr>
        <w:pStyle w:val="Heading2"/>
      </w:pPr>
      <w:r>
        <w:t>10. Testing strategy</w:t>
      </w:r>
    </w:p>
    <w:p>
      <w:pPr>
        <w:pStyle w:val="ListBullet"/>
        <w:spacing w:after="40"/>
      </w:pPr>
      <w:r>
        <w:t>Unit tests for price snapshots, status transitions, permissions and validation rules.</w:t>
      </w:r>
    </w:p>
    <w:p>
      <w:pPr>
        <w:pStyle w:val="ListBullet"/>
        <w:spacing w:after="40"/>
      </w:pPr>
      <w:r>
        <w:t>Database integration tests for duplicate chassis, reservation collisions, transaction rollback and idempotency.</w:t>
      </w:r>
    </w:p>
    <w:p>
      <w:pPr>
        <w:pStyle w:val="ListBullet"/>
        <w:spacing w:after="40"/>
      </w:pPr>
      <w:r>
        <w:t>API contract tests for role and location restrictions.</w:t>
      </w:r>
    </w:p>
    <w:p>
      <w:pPr>
        <w:pStyle w:val="ListBullet"/>
        <w:spacing w:after="40"/>
      </w:pPr>
      <w:r>
        <w:t>End-to-end tests: PO -&gt; receipt -&gt; PDI pass -&gt; available -&gt; reserve -&gt; sale -&gt; delivery; PDI fail; cancelled booking/refund; stock adjustment approval; duplicate import.</w:t>
      </w:r>
    </w:p>
    <w:p>
      <w:pPr>
        <w:pStyle w:val="ListBullet"/>
        <w:spacing w:after="40"/>
      </w:pPr>
      <w:r>
        <w:t>Security tests: IDOR, privilege escalation, unauthorised attachment downloads, CSRF/session behaviour, rate limiting and export permissions.</w:t>
      </w:r>
    </w:p>
    <w:p>
      <w:pPr>
        <w:pStyle w:val="ListBullet"/>
        <w:spacing w:after="40"/>
      </w:pPr>
      <w:r>
        <w:t>Reconciliation tests: movements vs current vehicle statuses and parts-ledger balances.</w:t>
      </w:r>
    </w:p>
    <w:p>
      <w:pPr>
        <w:pStyle w:val="ListBullet"/>
        <w:spacing w:after="40"/>
      </w:pPr>
      <w:r>
        <w:t>Restore test: restore a backup into non-production and verify record counts and audit continuity.</w:t>
      </w:r>
    </w:p>
    <w:p>
      <w:pPr>
        <w:pStyle w:val="Heading2"/>
      </w:pPr>
      <w:r>
        <w:t>11. Deployment and operations</w:t>
      </w:r>
    </w:p>
    <w:p>
      <w:pPr>
        <w:pStyle w:val="ListBullet"/>
        <w:spacing w:after="40"/>
      </w:pPr>
      <w:r>
        <w:t>Environments: local, staging and production with isolated databases/storage.</w:t>
      </w:r>
    </w:p>
    <w:p>
      <w:pPr>
        <w:pStyle w:val="ListBullet"/>
        <w:spacing w:after="40"/>
      </w:pPr>
      <w:r>
        <w:t>CI: lint, type-check, unit/integration tests, build, migration validation and dependency/security scan.</w:t>
      </w:r>
    </w:p>
    <w:p>
      <w:pPr>
        <w:pStyle w:val="ListBullet"/>
        <w:spacing w:after="40"/>
      </w:pPr>
      <w:r>
        <w:t>Production release: backup -&gt; migration dry-run where supported -&gt; deployment -&gt; smoke checks -&gt; monitor; rollback steps documented.</w:t>
      </w:r>
    </w:p>
    <w:p>
      <w:pPr>
        <w:pStyle w:val="ListBullet"/>
        <w:spacing w:after="40"/>
      </w:pPr>
      <w:r>
        <w:t>Do not run destructive migrations against production without a verified backup and explicit approval.</w:t>
      </w:r>
    </w:p>
    <w:p>
      <w:pPr>
        <w:pStyle w:val="ListBullet"/>
        <w:spacing w:after="40"/>
      </w:pPr>
      <w:r>
        <w:t>Seed client-confirmed role names (Owner, Inventory Manager, Sales Executive, Accountant, Viewer) and the three client-confirmed brand master records idempotently. Keep fine-grained permission grants pending owner sign-off. Use only sample data in non-production; production stock comes from a verified, signed-off import.</w:t>
      </w:r>
    </w:p>
    <w:p>
      <w:pPr>
        <w:pStyle w:val="ListBullet"/>
        <w:spacing w:after="40"/>
      </w:pPr>
      <w:r>
        <w:t>Monitor failed login spikes, import errors, sale-finalisation failures, background expiry jobs and backup status.</w:t>
      </w:r>
    </w:p>
    <w:p>
      <w:pPr>
        <w:pStyle w:val="Heading2"/>
      </w:pPr>
      <w:r>
        <w:t>12. Decisions requiring sign-off</w:t>
      </w:r>
    </w:p>
    <w:p>
      <w:pPr>
        <w:spacing w:after="40"/>
        <w:ind w:left="317" w:hanging="317"/>
      </w:pPr>
      <w:r>
        <w:t>1. Confirm deployment provider, API host and database region.</w:t>
      </w:r>
    </w:p>
    <w:p>
      <w:pPr>
        <w:spacing w:after="40"/>
        <w:ind w:left="317" w:hanging="317"/>
      </w:pPr>
      <w:r>
        <w:t>2. Decide whether billing documents are legally issued by this app or by external accounting software.</w:t>
      </w:r>
    </w:p>
    <w:p>
      <w:pPr>
        <w:spacing w:after="40"/>
        <w:ind w:left="317" w:hanging="317"/>
      </w:pPr>
      <w:r>
        <w:t>3. Approve whether motor/battery/charger serials are mandatory and whether battery swaps need historical component links.</w:t>
      </w:r>
    </w:p>
    <w:p>
      <w:pPr>
        <w:spacing w:after="40"/>
        <w:ind w:left="317" w:hanging="317"/>
      </w:pPr>
      <w:r>
        <w:t>4. Approve location hierarchy and who can view/cross-transfer inventory.</w:t>
      </w:r>
    </w:p>
    <w:p>
      <w:pPr>
        <w:spacing w:after="40"/>
        <w:ind w:left="317" w:hanging="317"/>
      </w:pPr>
      <w:r>
        <w:t>5. Confirm BaaS modelling depth and whether only a label is needed in MVP.</w:t>
      </w:r>
    </w:p>
    <w:p>
      <w:pPr>
        <w:spacing w:after="40"/>
        <w:ind w:left="317" w:hanging="317"/>
      </w:pPr>
      <w:r>
        <w:t>6. Confirm backup/RPO/RTO target and document retention policy.</w:t>
      </w:r>
    </w:p>
    <w:p>
      <w:pPr>
        <w:pStyle w:val="Heading2"/>
      </w:pPr>
      <w:r>
        <w:t>13. Reference inputs</w:t>
      </w:r>
    </w:p>
    <w:p>
      <w:r>
        <w:t>Catalogue and business assumptions are based on Maa Ambey Enterprises https://maa-ambey-enterprisesev.vercel.app/, Lectrix EV https://www.lectrixev.com/, Ceeon India https://ceeonindia.co.in/, CBIC invoice rules https://cbic-gst.gov.in/gst-invoice-rules.html and NIC E-Way Bill portal https://docs.ewaybillgst.gov.in/. See Research Brief for specific findings and caveats.</w:t>
      </w:r>
    </w:p>
    <w:p>
      <w:r>
        <w:br w:type="page"/>
      </w:r>
    </w:p>
    <w:p>
      <w:pPr>
        <w:pStyle w:val="Heading1"/>
      </w:pPr>
      <w:r>
        <w:t>14. Confirmed implementation stack and client configuration</w:t>
      </w:r>
    </w:p>
    <w:p>
      <w:pPr/>
      <w:r>
        <w:t>The business architecture stays a modular monolith with one shared multi-brand application. The implementation stack is now explicitly React + TypeScript + Vite for the frontend, Go + Gin for the REST API, PostgreSQL accessed with pgx, and versioned SQL migrations. Frontend and backend must remain in one Git repository.</w:t>
      </w:r>
    </w:p>
    <w:p>
      <w:pPr>
        <w:pStyle w:val="Heading2"/>
      </w:pPr>
      <w:r>
        <w:t>Repository and runtime boundaries</w:t>
      </w:r>
    </w:p>
    <w:p>
      <w:pPr>
        <w:pStyle w:val="ListBullet"/>
      </w:pPr>
      <w:r>
        <w:t>Use /frontend and /backend directories in one repository, with common root documentation, Docker Compose, Makefile and validation commands. Do not create separate frontend/backend repositories.</w:t>
      </w:r>
    </w:p>
    <w:p>
      <w:pPr>
        <w:pStyle w:val="ListBullet"/>
      </w:pPr>
      <w:r>
        <w:t>Frontend calls the actual Go API using an environment-based API URL. Never place private secrets or the PostgreSQL connection string in Vite-exposed variables.</w:t>
      </w:r>
    </w:p>
    <w:p>
      <w:pPr>
        <w:pStyle w:val="ListBullet"/>
      </w:pPr>
      <w:r>
        <w:t>Use explicit SQL through pgx; do not introduce an ORM or switch away from the confirmed Go + React stack. Use versioned migrations for schema changes and tests for critical uniqueness/transaction constraints.</w:t>
      </w:r>
    </w:p>
    <w:p>
      <w:pPr>
        <w:pStyle w:val="Heading2"/>
      </w:pPr>
      <w:r>
        <w:t>Client-confirmed configuration</w:t>
      </w:r>
    </w:p>
    <w:p>
      <w:pPr>
        <w:pStyle w:val="ListBullet"/>
      </w:pPr>
      <w:r>
        <w:t>Seed the initial brand records for Lectrix EV, Ceeon India and Ujagar Electric, and keep the brand model extensible for future brands. Brand lifecycle status and evidence-based purchase/sales authorisation must remain separate.</w:t>
      </w:r>
    </w:p>
    <w:p>
      <w:pPr>
        <w:pStyle w:val="ListBullet"/>
      </w:pPr>
      <w:r>
        <w:t>The five initial role names are Owner, Inventory Manager, Sales Executive, Accountant and Viewer. Fine-grained permission assignments and approval thresholds require owner sign-off.</w:t>
      </w:r>
    </w:p>
    <w:p>
      <w:pPr>
        <w:pStyle w:val="ListBullet"/>
      </w:pPr>
      <w:r>
        <w:t>The client confirms legal name, GST details and showroom address exist, and that GST and income-tax filings are performed. Exact values and accountant-approved invoice configuration still need to be collected. Do not implement return filing in this MVP.</w:t>
      </w:r>
    </w:p>
    <w:p>
      <w:pPr>
        <w:pStyle w:val="ListBullet"/>
      </w:pPr>
      <w:r>
        <w:t>Opening-stock template and delivery checklist are confirmed needs. Actual stock data, reconciliation sign-off, and mandatory-versus-conditional delivery fields remain pending.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979" w:right="1037" w:bottom="936" w:left="1037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67085"/>
        <w:sz w:val="15"/>
      </w:rPr>
      <w:t xml:space="preserve">02 System Architecture  •  Draft v1.2  •  Page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175CD3"/>
      </w:pBdr>
    </w:pPr>
    <w:r>
      <w:rPr>
        <w:rFonts w:ascii="Aptos" w:hAnsi="Aptos"/>
        <w:b/>
        <w:color w:val="175CD3"/>
        <w:sz w:val="15"/>
      </w:rPr>
      <w:t>MAA AMBEY ENTERPRISES  |  INVENTORY SYSTEM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344054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182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5CD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B8A6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0182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System Architecture</dc:title>
  <dc:subject>Inventory Management System project documentation for Maa Ambey Enterprises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