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3B7D" w14:textId="77777777" w:rsidR="00256823" w:rsidRPr="00F163AD" w:rsidRDefault="00256823" w:rsidP="00F163AD">
      <w:pPr>
        <w:rPr>
          <w:rFonts w:ascii="Calibri" w:hAnsi="Calibri" w:cs="Calibri"/>
          <w:b/>
          <w:bCs/>
          <w:sz w:val="32"/>
          <w:szCs w:val="32"/>
        </w:rPr>
      </w:pPr>
      <w:r w:rsidRPr="00F163AD">
        <w:rPr>
          <w:rFonts w:ascii="Calibri" w:hAnsi="Calibri" w:cs="Calibri"/>
          <w:b/>
          <w:bCs/>
          <w:sz w:val="32"/>
          <w:szCs w:val="32"/>
        </w:rPr>
        <w:t>Título</w:t>
      </w:r>
      <w:r>
        <w:rPr>
          <w:rFonts w:ascii="Calibri" w:hAnsi="Calibri" w:cs="Calibri"/>
          <w:b/>
          <w:bCs/>
          <w:sz w:val="32"/>
          <w:szCs w:val="32"/>
        </w:rPr>
        <w:t xml:space="preserve"> Español</w:t>
      </w:r>
      <w:r w:rsidRPr="00F163AD">
        <w:rPr>
          <w:rFonts w:ascii="Calibri" w:hAnsi="Calibri" w:cs="Calibri"/>
          <w:b/>
          <w:bCs/>
          <w:sz w:val="32"/>
          <w:szCs w:val="32"/>
        </w:rPr>
        <w:t>: Diástasis de los rectos abdominales en el posparto: relación con sexualidad y estado nutricional.</w:t>
      </w:r>
    </w:p>
    <w:p w14:paraId="1BDB3B7E" w14:textId="77777777" w:rsidR="00256823" w:rsidRPr="000F55C7" w:rsidRDefault="00256823" w:rsidP="000F55C7">
      <w:pPr>
        <w:rPr>
          <w:rFonts w:ascii="Calibri" w:hAnsi="Calibri" w:cs="Calibri"/>
          <w:b/>
          <w:bCs/>
          <w:sz w:val="32"/>
          <w:szCs w:val="32"/>
          <w:lang w:val="en-US"/>
        </w:rPr>
      </w:pPr>
      <w:proofErr w:type="spellStart"/>
      <w:r w:rsidRPr="000F55C7">
        <w:rPr>
          <w:rFonts w:ascii="Calibri" w:hAnsi="Calibri" w:cs="Calibri"/>
          <w:b/>
          <w:bCs/>
          <w:sz w:val="32"/>
          <w:szCs w:val="32"/>
          <w:lang w:val="en-US"/>
        </w:rPr>
        <w:t>Título</w:t>
      </w:r>
      <w:proofErr w:type="spellEnd"/>
      <w:r w:rsidRPr="000F55C7">
        <w:rPr>
          <w:rFonts w:ascii="Calibri" w:hAnsi="Calibri" w:cs="Calibri"/>
          <w:b/>
          <w:bCs/>
          <w:sz w:val="32"/>
          <w:szCs w:val="32"/>
          <w:lang w:val="en-US"/>
        </w:rPr>
        <w:t xml:space="preserve"> Inglés: Diastasis of the rectus abdominis muscles and sexuality in postpartum women.</w:t>
      </w:r>
    </w:p>
    <w:p w14:paraId="09AA7C02" w14:textId="77777777" w:rsidR="00494E69" w:rsidRDefault="00256823" w:rsidP="00F163AD">
      <w:pPr>
        <w:rPr>
          <w:rFonts w:ascii="Calibri" w:hAnsi="Calibri" w:cs="Calibri"/>
          <w:b/>
          <w:bCs/>
        </w:rPr>
      </w:pPr>
      <w:r w:rsidRPr="00F163AD">
        <w:rPr>
          <w:rFonts w:ascii="Calibri" w:hAnsi="Calibri" w:cs="Calibri"/>
          <w:b/>
          <w:bCs/>
        </w:rPr>
        <w:t xml:space="preserve">Autores: </w:t>
      </w:r>
    </w:p>
    <w:p w14:paraId="1BDB3B7F" w14:textId="560DDE8D" w:rsidR="00256823" w:rsidRPr="00F4365C" w:rsidRDefault="00256823" w:rsidP="00F163AD">
      <w:pPr>
        <w:rPr>
          <w:rFonts w:ascii="Calibri" w:hAnsi="Calibri" w:cs="Calibri"/>
          <w:b/>
          <w:bCs/>
          <w:sz w:val="20"/>
          <w:szCs w:val="20"/>
        </w:rPr>
      </w:pPr>
      <w:proofErr w:type="spellStart"/>
      <w:r w:rsidRPr="00F4365C">
        <w:rPr>
          <w:rFonts w:ascii="Calibri" w:hAnsi="Calibri" w:cs="Calibri"/>
          <w:b/>
          <w:bCs/>
          <w:sz w:val="20"/>
          <w:szCs w:val="20"/>
        </w:rPr>
        <w:t>Jusselit</w:t>
      </w:r>
      <w:proofErr w:type="spellEnd"/>
      <w:r w:rsidRPr="00F4365C">
        <w:rPr>
          <w:rFonts w:ascii="Calibri" w:hAnsi="Calibri" w:cs="Calibri"/>
          <w:b/>
          <w:bCs/>
          <w:sz w:val="20"/>
          <w:szCs w:val="20"/>
        </w:rPr>
        <w:t xml:space="preserve"> T. Estrada</w:t>
      </w:r>
      <w:r w:rsidR="00494E69" w:rsidRPr="00F4365C">
        <w:rPr>
          <w:rFonts w:ascii="Calibri" w:hAnsi="Calibri" w:cs="Calibri"/>
          <w:b/>
          <w:bCs/>
          <w:sz w:val="20"/>
          <w:szCs w:val="20"/>
          <w:vertAlign w:val="superscript"/>
        </w:rPr>
        <w:t>*</w:t>
      </w:r>
    </w:p>
    <w:p w14:paraId="721B4BF8" w14:textId="2C2EDC6E" w:rsidR="00494E69" w:rsidRDefault="00494E69" w:rsidP="00F163AD">
      <w:pPr>
        <w:rPr>
          <w:rFonts w:ascii="Calibri" w:hAnsi="Calibri" w:cs="Calibri"/>
          <w:sz w:val="20"/>
          <w:szCs w:val="20"/>
        </w:rPr>
      </w:pPr>
      <w:r w:rsidRPr="00F163AD">
        <w:rPr>
          <w:rFonts w:ascii="Calibri" w:hAnsi="Calibri" w:cs="Calibri"/>
          <w:sz w:val="20"/>
          <w:szCs w:val="20"/>
        </w:rPr>
        <w:t>Carrera de Obstetricia y Matronería. Facultad de Ciencias para el Cuidado de la Salud.  Universidad San Sebastián, Concepción, Chile.</w:t>
      </w:r>
    </w:p>
    <w:p w14:paraId="309633E4" w14:textId="1E2D2640" w:rsidR="00494E69" w:rsidRPr="00F163AD" w:rsidRDefault="00494E69" w:rsidP="00494E69">
      <w:pPr>
        <w:jc w:val="both"/>
        <w:rPr>
          <w:rFonts w:ascii="Calibri" w:hAnsi="Calibri" w:cs="Calibri"/>
          <w:sz w:val="20"/>
          <w:szCs w:val="20"/>
        </w:rPr>
      </w:pPr>
      <w:r w:rsidRPr="00F163AD">
        <w:rPr>
          <w:rFonts w:ascii="Calibri" w:hAnsi="Calibri" w:cs="Calibri"/>
          <w:sz w:val="20"/>
          <w:szCs w:val="20"/>
        </w:rPr>
        <w:t>Doctorado en Ciencias Morfológicas, Facultad de Medicina. Universidad de la Frontera, Temuco, Chile.</w:t>
      </w:r>
    </w:p>
    <w:p w14:paraId="03ED625C" w14:textId="77777777" w:rsidR="00F4365C" w:rsidRDefault="00F4365C" w:rsidP="00F4365C">
      <w:pPr>
        <w:pStyle w:val="Ningnestilodeprrafo"/>
      </w:pPr>
      <w:r>
        <w:rPr>
          <w:rFonts w:ascii="Calibri" w:hAnsi="Calibri" w:cs="Calibri"/>
          <w:sz w:val="20"/>
          <w:szCs w:val="20"/>
        </w:rPr>
        <w:t xml:space="preserve">ORCID: </w:t>
      </w:r>
      <w:r>
        <w:t>https://orcid.org/0000-0002-0721-965X</w:t>
      </w:r>
    </w:p>
    <w:p w14:paraId="1F3230EA" w14:textId="44E3109B" w:rsidR="00494E69" w:rsidRDefault="00494E69" w:rsidP="00F163AD">
      <w:pPr>
        <w:rPr>
          <w:rFonts w:ascii="Calibri" w:hAnsi="Calibri" w:cs="Calibri"/>
          <w:sz w:val="20"/>
          <w:szCs w:val="20"/>
        </w:rPr>
      </w:pPr>
    </w:p>
    <w:p w14:paraId="727144CF" w14:textId="177F4D09" w:rsidR="00494E69" w:rsidRPr="00F4365C" w:rsidRDefault="00494E69" w:rsidP="00494E69">
      <w:pPr>
        <w:rPr>
          <w:rFonts w:ascii="Calibri" w:hAnsi="Calibri" w:cs="Calibri"/>
          <w:b/>
          <w:bCs/>
          <w:sz w:val="20"/>
          <w:szCs w:val="20"/>
        </w:rPr>
      </w:pPr>
      <w:r w:rsidRPr="00F4365C">
        <w:rPr>
          <w:rFonts w:ascii="Calibri" w:hAnsi="Calibri" w:cs="Calibri"/>
          <w:b/>
          <w:bCs/>
          <w:sz w:val="20"/>
          <w:szCs w:val="20"/>
        </w:rPr>
        <w:t xml:space="preserve">Judith T. </w:t>
      </w:r>
      <w:proofErr w:type="spellStart"/>
      <w:r w:rsidRPr="00F4365C">
        <w:rPr>
          <w:rFonts w:ascii="Calibri" w:hAnsi="Calibri" w:cs="Calibri"/>
          <w:b/>
          <w:bCs/>
          <w:sz w:val="20"/>
          <w:szCs w:val="20"/>
        </w:rPr>
        <w:t>Ochar</w:t>
      </w:r>
      <w:proofErr w:type="spellEnd"/>
    </w:p>
    <w:p w14:paraId="1BDB3B80" w14:textId="55A69364" w:rsidR="00256823" w:rsidRDefault="00256823" w:rsidP="00494E69">
      <w:pPr>
        <w:rPr>
          <w:rFonts w:ascii="Calibri" w:hAnsi="Calibri" w:cs="Calibri"/>
          <w:sz w:val="20"/>
          <w:szCs w:val="20"/>
        </w:rPr>
      </w:pPr>
      <w:r w:rsidRPr="00F163AD">
        <w:rPr>
          <w:rFonts w:ascii="Calibri" w:hAnsi="Calibri" w:cs="Calibri"/>
          <w:sz w:val="20"/>
          <w:szCs w:val="20"/>
        </w:rPr>
        <w:t>Carrera de Obstetricia y Matronería. Facultad de Ciencias para el Cuidado de la Salud.  Universidad San Sebastián, Concepción, Chile.</w:t>
      </w:r>
    </w:p>
    <w:p w14:paraId="578DB084" w14:textId="3968EEB3" w:rsidR="001B3BDF" w:rsidRPr="00F4365C" w:rsidRDefault="001B3BDF" w:rsidP="001B3BDF">
      <w:pPr>
        <w:rPr>
          <w:rFonts w:ascii="Calibri" w:hAnsi="Calibri" w:cs="Calibri"/>
          <w:b/>
          <w:bCs/>
          <w:sz w:val="20"/>
          <w:szCs w:val="20"/>
        </w:rPr>
      </w:pPr>
      <w:r w:rsidRPr="00F4365C">
        <w:rPr>
          <w:rFonts w:ascii="Calibri" w:hAnsi="Calibri" w:cs="Calibri"/>
          <w:b/>
          <w:bCs/>
          <w:sz w:val="20"/>
          <w:szCs w:val="20"/>
        </w:rPr>
        <w:t>Catalina A. Salas</w:t>
      </w:r>
    </w:p>
    <w:p w14:paraId="71B9A4E5" w14:textId="77777777" w:rsidR="001B3BDF" w:rsidRPr="00F163AD" w:rsidRDefault="001B3BDF" w:rsidP="001B3BDF">
      <w:pPr>
        <w:rPr>
          <w:rFonts w:ascii="Calibri" w:hAnsi="Calibri" w:cs="Calibri"/>
          <w:sz w:val="20"/>
          <w:szCs w:val="20"/>
        </w:rPr>
      </w:pPr>
      <w:r w:rsidRPr="00F163AD">
        <w:rPr>
          <w:rFonts w:ascii="Calibri" w:hAnsi="Calibri" w:cs="Calibri"/>
          <w:sz w:val="20"/>
          <w:szCs w:val="20"/>
        </w:rPr>
        <w:t>Carrera de Obstetricia y Matronería. Facultad de Ciencias para el Cuidado de la Salud.  Universidad San Sebastián, Concepción, Chile.</w:t>
      </w:r>
    </w:p>
    <w:p w14:paraId="099A2C03" w14:textId="7D70CB9A" w:rsidR="001B3BDF" w:rsidRPr="00F4365C" w:rsidRDefault="001B3BDF" w:rsidP="001B3BDF">
      <w:pPr>
        <w:rPr>
          <w:rFonts w:ascii="Calibri" w:hAnsi="Calibri" w:cs="Calibri"/>
          <w:b/>
          <w:bCs/>
          <w:sz w:val="20"/>
          <w:szCs w:val="20"/>
        </w:rPr>
      </w:pPr>
      <w:r w:rsidRPr="00F4365C">
        <w:rPr>
          <w:rFonts w:ascii="Calibri" w:hAnsi="Calibri" w:cs="Calibri"/>
          <w:b/>
          <w:bCs/>
          <w:sz w:val="20"/>
          <w:szCs w:val="20"/>
        </w:rPr>
        <w:t>Camila B. Guzmán</w:t>
      </w:r>
    </w:p>
    <w:p w14:paraId="7A97208A" w14:textId="77777777" w:rsidR="001B3BDF" w:rsidRPr="00F163AD" w:rsidRDefault="001B3BDF" w:rsidP="001B3BDF">
      <w:pPr>
        <w:rPr>
          <w:rFonts w:ascii="Calibri" w:hAnsi="Calibri" w:cs="Calibri"/>
          <w:sz w:val="20"/>
          <w:szCs w:val="20"/>
        </w:rPr>
      </w:pPr>
      <w:r w:rsidRPr="00F163AD">
        <w:rPr>
          <w:rFonts w:ascii="Calibri" w:hAnsi="Calibri" w:cs="Calibri"/>
          <w:sz w:val="20"/>
          <w:szCs w:val="20"/>
        </w:rPr>
        <w:t>Carrera de Obstetricia y Matronería. Facultad de Ciencias para el Cuidado de la Salud.  Universidad San Sebastián, Concepción, Chile.</w:t>
      </w:r>
    </w:p>
    <w:p w14:paraId="6B3FC848" w14:textId="4B3B87EE" w:rsidR="001B3BDF" w:rsidRPr="00F4365C" w:rsidRDefault="001B3BDF" w:rsidP="001B3BDF">
      <w:pPr>
        <w:rPr>
          <w:rFonts w:ascii="Calibri" w:hAnsi="Calibri" w:cs="Calibri"/>
          <w:b/>
          <w:bCs/>
          <w:sz w:val="20"/>
          <w:szCs w:val="20"/>
        </w:rPr>
      </w:pPr>
      <w:r w:rsidRPr="00F4365C">
        <w:rPr>
          <w:rFonts w:ascii="Calibri" w:hAnsi="Calibri" w:cs="Calibri"/>
          <w:b/>
          <w:bCs/>
          <w:sz w:val="20"/>
          <w:szCs w:val="20"/>
        </w:rPr>
        <w:t>Fabiola I. Rubilar</w:t>
      </w:r>
    </w:p>
    <w:p w14:paraId="4C3F39B8" w14:textId="3DF64751" w:rsidR="00494E69" w:rsidRDefault="001B3BDF" w:rsidP="00F163AD">
      <w:pPr>
        <w:rPr>
          <w:rFonts w:ascii="Calibri" w:hAnsi="Calibri" w:cs="Calibri"/>
          <w:sz w:val="20"/>
          <w:szCs w:val="20"/>
        </w:rPr>
      </w:pPr>
      <w:r w:rsidRPr="00F163AD">
        <w:rPr>
          <w:rFonts w:ascii="Calibri" w:hAnsi="Calibri" w:cs="Calibri"/>
          <w:sz w:val="20"/>
          <w:szCs w:val="20"/>
        </w:rPr>
        <w:t>Carrera de Obstetricia y Matronería. Facultad de Ciencias para el Cuidado de la Salud.  Universidad San Sebastián, Concepción, Chile.</w:t>
      </w:r>
    </w:p>
    <w:p w14:paraId="1BDB3B82" w14:textId="236747EE" w:rsidR="00256823" w:rsidRDefault="00256823" w:rsidP="00F163AD">
      <w:pPr>
        <w:rPr>
          <w:rFonts w:ascii="Calibri" w:hAnsi="Calibri" w:cs="Calibri"/>
          <w:sz w:val="20"/>
          <w:szCs w:val="20"/>
          <w:lang w:val="en-US"/>
        </w:rPr>
      </w:pPr>
      <w:r w:rsidRPr="00F4365C">
        <w:rPr>
          <w:rFonts w:ascii="Calibri" w:hAnsi="Calibri" w:cs="Calibri"/>
          <w:b/>
          <w:bCs/>
          <w:sz w:val="20"/>
          <w:szCs w:val="20"/>
        </w:rPr>
        <w:t xml:space="preserve">*Correspondencia </w:t>
      </w:r>
      <w:proofErr w:type="spellStart"/>
      <w:r w:rsidRPr="00F4365C">
        <w:rPr>
          <w:rFonts w:ascii="Calibri" w:hAnsi="Calibri" w:cs="Calibri"/>
          <w:b/>
          <w:bCs/>
          <w:sz w:val="20"/>
          <w:szCs w:val="20"/>
        </w:rPr>
        <w:t>Jusselit</w:t>
      </w:r>
      <w:proofErr w:type="spellEnd"/>
      <w:r w:rsidRPr="00F4365C">
        <w:rPr>
          <w:rFonts w:ascii="Calibri" w:hAnsi="Calibri" w:cs="Calibri"/>
          <w:b/>
          <w:bCs/>
          <w:sz w:val="20"/>
          <w:szCs w:val="20"/>
        </w:rPr>
        <w:t xml:space="preserve"> Estrada. Código postal 4080871. </w:t>
      </w:r>
      <w:r w:rsidRPr="00F4365C">
        <w:rPr>
          <w:rFonts w:ascii="Calibri" w:hAnsi="Calibri" w:cs="Calibri"/>
          <w:b/>
          <w:bCs/>
          <w:sz w:val="20"/>
          <w:szCs w:val="20"/>
          <w:lang w:val="en-US"/>
        </w:rPr>
        <w:t xml:space="preserve">Email: </w:t>
      </w:r>
      <w:hyperlink r:id="rId10" w:history="1">
        <w:r w:rsidR="00955115" w:rsidRPr="00F4365C">
          <w:rPr>
            <w:rStyle w:val="Hipervnculo"/>
            <w:rFonts w:ascii="Calibri" w:hAnsi="Calibri" w:cs="Calibri"/>
            <w:b/>
            <w:bCs/>
            <w:sz w:val="20"/>
            <w:szCs w:val="20"/>
            <w:lang w:val="en-US"/>
          </w:rPr>
          <w:t>jusselit.estrada@uss.cl</w:t>
        </w:r>
      </w:hyperlink>
      <w:r w:rsidRPr="00F163AD">
        <w:rPr>
          <w:rFonts w:ascii="Calibri" w:hAnsi="Calibri" w:cs="Calibri"/>
          <w:sz w:val="20"/>
          <w:szCs w:val="20"/>
          <w:lang w:val="en-US"/>
        </w:rPr>
        <w:t>.</w:t>
      </w:r>
    </w:p>
    <w:p w14:paraId="75E257C3" w14:textId="77777777" w:rsidR="00135EA4" w:rsidRDefault="00135EA4" w:rsidP="00F163AD">
      <w:pPr>
        <w:rPr>
          <w:rFonts w:ascii="Calibri" w:hAnsi="Calibri" w:cs="Calibri"/>
          <w:b/>
          <w:bCs/>
          <w:lang w:val="en-US"/>
        </w:rPr>
      </w:pPr>
    </w:p>
    <w:p w14:paraId="2F5DD33C" w14:textId="3679B35A" w:rsidR="00955115" w:rsidRPr="00135EA4" w:rsidRDefault="00955115" w:rsidP="00F163AD">
      <w:pPr>
        <w:rPr>
          <w:rFonts w:ascii="Calibri" w:hAnsi="Calibri" w:cs="Calibri"/>
          <w:b/>
          <w:bCs/>
          <w:lang w:val="en-US"/>
        </w:rPr>
      </w:pPr>
      <w:r w:rsidRPr="00135EA4">
        <w:rPr>
          <w:rFonts w:ascii="Calibri" w:hAnsi="Calibri" w:cs="Calibri"/>
          <w:b/>
          <w:bCs/>
          <w:lang w:val="en-US"/>
        </w:rPr>
        <w:t>Envío: 2</w:t>
      </w:r>
      <w:r w:rsidR="00135EA4" w:rsidRPr="00135EA4">
        <w:rPr>
          <w:rFonts w:ascii="Calibri" w:hAnsi="Calibri" w:cs="Calibri"/>
          <w:b/>
          <w:bCs/>
          <w:lang w:val="en-US"/>
        </w:rPr>
        <w:t>9/05/2024</w:t>
      </w:r>
      <w:r w:rsidR="00135EA4" w:rsidRPr="00135EA4">
        <w:rPr>
          <w:rFonts w:ascii="Calibri" w:hAnsi="Calibri" w:cs="Calibri"/>
          <w:b/>
          <w:bCs/>
          <w:lang w:val="en-US"/>
        </w:rPr>
        <w:br/>
      </w:r>
      <w:proofErr w:type="spellStart"/>
      <w:r w:rsidR="00135EA4" w:rsidRPr="00135EA4">
        <w:rPr>
          <w:rFonts w:ascii="Calibri" w:hAnsi="Calibri" w:cs="Calibri"/>
          <w:b/>
          <w:bCs/>
          <w:lang w:val="en-US"/>
        </w:rPr>
        <w:t>Aceptado</w:t>
      </w:r>
      <w:proofErr w:type="spellEnd"/>
      <w:r w:rsidR="00135EA4" w:rsidRPr="00135EA4">
        <w:rPr>
          <w:rFonts w:ascii="Calibri" w:hAnsi="Calibri" w:cs="Calibri"/>
          <w:b/>
          <w:bCs/>
          <w:lang w:val="en-US"/>
        </w:rPr>
        <w:t>: 07/10/2025</w:t>
      </w:r>
    </w:p>
    <w:p w14:paraId="41535F3E" w14:textId="77777777" w:rsidR="00135EA4" w:rsidRDefault="00135EA4" w:rsidP="00E57ACF">
      <w:pPr>
        <w:spacing w:line="360" w:lineRule="auto"/>
        <w:jc w:val="both"/>
        <w:rPr>
          <w:rFonts w:ascii="Calibri" w:hAnsi="Calibri" w:cs="Calibri"/>
          <w:b/>
          <w:bCs/>
          <w:sz w:val="28"/>
          <w:szCs w:val="28"/>
        </w:rPr>
      </w:pPr>
    </w:p>
    <w:p w14:paraId="49C397AA" w14:textId="77777777" w:rsidR="00A40A0C" w:rsidRDefault="00A40A0C" w:rsidP="00E57ACF">
      <w:pPr>
        <w:spacing w:line="360" w:lineRule="auto"/>
        <w:jc w:val="both"/>
        <w:rPr>
          <w:rFonts w:ascii="Calibri" w:hAnsi="Calibri" w:cs="Calibri"/>
          <w:b/>
          <w:bCs/>
          <w:sz w:val="28"/>
          <w:szCs w:val="28"/>
        </w:rPr>
      </w:pPr>
    </w:p>
    <w:p w14:paraId="1BDB3B83" w14:textId="6BA23B23" w:rsidR="00256823" w:rsidRPr="00F163AD" w:rsidRDefault="00256823" w:rsidP="00E57ACF">
      <w:pPr>
        <w:spacing w:line="360" w:lineRule="auto"/>
        <w:jc w:val="both"/>
        <w:rPr>
          <w:rFonts w:ascii="Calibri" w:hAnsi="Calibri" w:cs="Calibri"/>
          <w:b/>
          <w:bCs/>
          <w:sz w:val="28"/>
          <w:szCs w:val="28"/>
        </w:rPr>
      </w:pPr>
      <w:r w:rsidRPr="00F163AD">
        <w:rPr>
          <w:rFonts w:ascii="Calibri" w:hAnsi="Calibri" w:cs="Calibri"/>
          <w:b/>
          <w:bCs/>
          <w:sz w:val="28"/>
          <w:szCs w:val="28"/>
        </w:rPr>
        <w:lastRenderedPageBreak/>
        <w:t xml:space="preserve">RESUMEN </w:t>
      </w:r>
    </w:p>
    <w:p w14:paraId="1BDB3B84" w14:textId="77777777" w:rsidR="00256823" w:rsidRPr="00F163AD" w:rsidRDefault="00256823" w:rsidP="00E57ACF">
      <w:pPr>
        <w:spacing w:line="360" w:lineRule="auto"/>
        <w:jc w:val="both"/>
        <w:rPr>
          <w:rFonts w:ascii="Calibri" w:hAnsi="Calibri" w:cs="Calibri"/>
          <w:b/>
          <w:bCs/>
        </w:rPr>
      </w:pPr>
      <w:r w:rsidRPr="00F163AD">
        <w:rPr>
          <w:rFonts w:ascii="Calibri" w:hAnsi="Calibri" w:cs="Calibri"/>
          <w:b/>
          <w:bCs/>
        </w:rPr>
        <w:t xml:space="preserve">Introducción: </w:t>
      </w:r>
      <w:r w:rsidRPr="00F163AD">
        <w:rPr>
          <w:rFonts w:ascii="Calibri" w:hAnsi="Calibri" w:cs="Calibri"/>
        </w:rPr>
        <w:t>durante la gestación se separan los músculos rectos del abdomen, fenómeno denominado diástasis abdominal.</w:t>
      </w:r>
    </w:p>
    <w:p w14:paraId="1BDB3B85" w14:textId="77777777" w:rsidR="00256823" w:rsidRPr="00F163AD" w:rsidRDefault="00256823" w:rsidP="00E57ACF">
      <w:pPr>
        <w:spacing w:line="360" w:lineRule="auto"/>
        <w:jc w:val="both"/>
        <w:rPr>
          <w:rFonts w:ascii="Calibri" w:hAnsi="Calibri" w:cs="Calibri"/>
        </w:rPr>
      </w:pPr>
      <w:r w:rsidRPr="00F163AD">
        <w:rPr>
          <w:rFonts w:ascii="Calibri" w:hAnsi="Calibri" w:cs="Calibri"/>
          <w:b/>
        </w:rPr>
        <w:t>Objetivo</w:t>
      </w:r>
      <w:r w:rsidRPr="00F163AD">
        <w:rPr>
          <w:rFonts w:ascii="Calibri" w:hAnsi="Calibri" w:cs="Calibri"/>
          <w:b/>
          <w:bCs/>
        </w:rPr>
        <w:t>:</w:t>
      </w:r>
      <w:r w:rsidRPr="00F163AD">
        <w:rPr>
          <w:rFonts w:ascii="Calibri" w:hAnsi="Calibri" w:cs="Calibri"/>
          <w:b/>
        </w:rPr>
        <w:t xml:space="preserve"> </w:t>
      </w:r>
      <w:r w:rsidRPr="00F163AD">
        <w:rPr>
          <w:rFonts w:ascii="Calibri" w:hAnsi="Calibri" w:cs="Calibri"/>
        </w:rPr>
        <w:t>relacionar la presencia de diástasis de rectos abdominales (DRA) con la función sexual femenina en el posparto y el estado nutricional.</w:t>
      </w:r>
    </w:p>
    <w:p w14:paraId="1BDB3B86" w14:textId="77777777" w:rsidR="00256823" w:rsidRPr="00F163AD" w:rsidRDefault="00256823" w:rsidP="00E57ACF">
      <w:pPr>
        <w:spacing w:line="360" w:lineRule="auto"/>
        <w:jc w:val="both"/>
        <w:rPr>
          <w:rFonts w:ascii="Calibri" w:hAnsi="Calibri" w:cs="Calibri"/>
        </w:rPr>
      </w:pPr>
      <w:r w:rsidRPr="00F163AD">
        <w:rPr>
          <w:rFonts w:ascii="Calibri" w:hAnsi="Calibri" w:cs="Calibri"/>
          <w:b/>
          <w:shd w:val="clear" w:color="auto" w:fill="FFFFFF"/>
        </w:rPr>
        <w:t>Material y Método</w:t>
      </w:r>
      <w:r w:rsidRPr="00F163AD">
        <w:rPr>
          <w:rFonts w:ascii="Calibri" w:hAnsi="Calibri" w:cs="Calibri"/>
          <w:b/>
          <w:bCs/>
          <w:shd w:val="clear" w:color="auto" w:fill="FFFFFF"/>
        </w:rPr>
        <w:t>:</w:t>
      </w:r>
      <w:r w:rsidRPr="00F163AD">
        <w:rPr>
          <w:rFonts w:ascii="Calibri" w:hAnsi="Calibri" w:cs="Calibri"/>
          <w:b/>
          <w:shd w:val="clear" w:color="auto" w:fill="FFFFFF"/>
        </w:rPr>
        <w:t xml:space="preserve"> </w:t>
      </w:r>
      <w:r w:rsidRPr="00F163AD">
        <w:rPr>
          <w:rFonts w:ascii="Calibri" w:hAnsi="Calibri" w:cs="Calibri"/>
        </w:rPr>
        <w:t>estudio correlacional de corte transversal en una muestra de 99 mujeres mayores de 18 años en control, en la provincia de Arauco, hasta seis meses postparto. Se diseñó un cuestionario para recolectar los datos</w:t>
      </w:r>
      <w:r w:rsidRPr="00F163AD">
        <w:rPr>
          <w:rFonts w:ascii="Calibri" w:eastAsia="Times New Roman" w:hAnsi="Calibri" w:cs="Calibri"/>
          <w:color w:val="000000" w:themeColor="text1"/>
        </w:rPr>
        <w:t xml:space="preserve"> demográficos y obstétricos y se utilizó la </w:t>
      </w:r>
      <w:r w:rsidRPr="00F163AD">
        <w:rPr>
          <w:rFonts w:ascii="Calibri" w:eastAsia="Times New Roman" w:hAnsi="Calibri" w:cs="Calibri"/>
        </w:rPr>
        <w:t xml:space="preserve">técnica de palpación de los músculos rectos abdominales. </w:t>
      </w:r>
      <w:r w:rsidRPr="00F163AD">
        <w:rPr>
          <w:rFonts w:ascii="Calibri" w:hAnsi="Calibri" w:cs="Calibri"/>
        </w:rPr>
        <w:t>Por último, se aplicó la encuesta IFSF. Se excluyeron las mujeres con pérdida reproductiva durante la gestación, con contraindicación de actividad física y con discapacidad motora</w:t>
      </w:r>
    </w:p>
    <w:p w14:paraId="1BDB3B87" w14:textId="77777777" w:rsidR="00256823" w:rsidRPr="00F163AD" w:rsidRDefault="00256823" w:rsidP="00E57ACF">
      <w:pPr>
        <w:spacing w:line="360" w:lineRule="auto"/>
        <w:jc w:val="both"/>
        <w:rPr>
          <w:rFonts w:ascii="Calibri" w:hAnsi="Calibri" w:cs="Calibri"/>
        </w:rPr>
      </w:pPr>
      <w:r w:rsidRPr="00F163AD">
        <w:rPr>
          <w:rFonts w:ascii="Calibri" w:hAnsi="Calibri" w:cs="Calibri"/>
          <w:b/>
          <w:bCs/>
          <w:shd w:val="clear" w:color="auto" w:fill="FFFFFF"/>
        </w:rPr>
        <w:t xml:space="preserve">Resultados: </w:t>
      </w:r>
      <w:r w:rsidRPr="00F163AD">
        <w:rPr>
          <w:rFonts w:ascii="Calibri" w:hAnsi="Calibri" w:cs="Calibri"/>
          <w:shd w:val="clear" w:color="auto" w:fill="FFFFFF"/>
        </w:rPr>
        <w:t>l</w:t>
      </w:r>
      <w:r w:rsidRPr="00F163AD">
        <w:rPr>
          <w:rFonts w:ascii="Calibri" w:hAnsi="Calibri" w:cs="Calibri"/>
        </w:rPr>
        <w:t>a diástasis supraumbilical y umbilical fueron de 1,9 cm y 1,63 cm a nivel infraumbilical, respectivamente. En cuanto al funcionamiento sexual, el dominio de satisfacción tuvo un puntaje de 5,3, seguido de la lubricación con 4,9. El puntaje del IFSF fue 27,5. Se halló una relación estadísticamente significativa entre el dominio del dolor y la medición de la diástasis, así como también entre el dominio del dolor y la satisfacción sexual. El 78,7 % de las pacientes tenía mal nutrición por exceso y no hubo relación significativa entre DRA y el estado nutricional.</w:t>
      </w:r>
    </w:p>
    <w:p w14:paraId="1BDB3B88" w14:textId="77777777" w:rsidR="00256823" w:rsidRPr="00F163AD" w:rsidRDefault="00256823" w:rsidP="00E57ACF">
      <w:pPr>
        <w:spacing w:line="360" w:lineRule="auto"/>
        <w:jc w:val="both"/>
        <w:rPr>
          <w:rFonts w:ascii="Calibri" w:hAnsi="Calibri" w:cs="Calibri"/>
        </w:rPr>
      </w:pPr>
      <w:r w:rsidRPr="00F163AD">
        <w:rPr>
          <w:rFonts w:ascii="Calibri" w:hAnsi="Calibri" w:cs="Calibri"/>
          <w:b/>
          <w:bCs/>
          <w:shd w:val="clear" w:color="auto" w:fill="FFFFFF"/>
        </w:rPr>
        <w:t xml:space="preserve">Conclusiones: </w:t>
      </w:r>
      <w:r w:rsidRPr="00F163AD">
        <w:rPr>
          <w:rFonts w:ascii="Calibri" w:hAnsi="Calibri" w:cs="Calibri"/>
          <w:shd w:val="clear" w:color="auto" w:fill="FFFFFF"/>
        </w:rPr>
        <w:t>l</w:t>
      </w:r>
      <w:r w:rsidRPr="00F163AD">
        <w:rPr>
          <w:rFonts w:ascii="Calibri" w:hAnsi="Calibri" w:cs="Calibri"/>
        </w:rPr>
        <w:t xml:space="preserve">a detección de DRA mediante palpación es una modalidad de bajo costo, útil en el posparto, posible de implementar para evaluar el funcionamiento sexual durante estos controles y que posibilita educar precozmente a las usuarias.  </w:t>
      </w:r>
    </w:p>
    <w:p w14:paraId="1BDB3B89" w14:textId="77777777" w:rsidR="00256823" w:rsidRPr="00F163AD" w:rsidRDefault="00256823" w:rsidP="00E57ACF">
      <w:pPr>
        <w:spacing w:line="360" w:lineRule="auto"/>
        <w:jc w:val="both"/>
        <w:rPr>
          <w:rFonts w:ascii="Calibri" w:hAnsi="Calibri" w:cs="Calibri"/>
          <w:bCs/>
          <w:shd w:val="clear" w:color="auto" w:fill="FFFFFF"/>
        </w:rPr>
      </w:pPr>
      <w:r w:rsidRPr="00F163AD">
        <w:rPr>
          <w:rFonts w:ascii="Calibri" w:hAnsi="Calibri" w:cs="Calibri"/>
          <w:b/>
          <w:shd w:val="clear" w:color="auto" w:fill="FFFFFF"/>
        </w:rPr>
        <w:t xml:space="preserve">Palabras clave: </w:t>
      </w:r>
      <w:r w:rsidRPr="00F163AD">
        <w:rPr>
          <w:rFonts w:ascii="Calibri" w:hAnsi="Calibri" w:cs="Calibri"/>
          <w:bCs/>
          <w:shd w:val="clear" w:color="auto" w:fill="FFFFFF"/>
        </w:rPr>
        <w:t>período posparto, sexualidad, diástasis muscular, abdomen, estado nutricional.</w:t>
      </w:r>
    </w:p>
    <w:p w14:paraId="1BDB3B8A" w14:textId="77777777" w:rsidR="00256823" w:rsidRPr="00F163AD" w:rsidRDefault="00256823" w:rsidP="00A85DFA">
      <w:pPr>
        <w:jc w:val="both"/>
        <w:rPr>
          <w:rFonts w:ascii="Calibri" w:eastAsiaTheme="majorEastAsia" w:hAnsi="Calibri" w:cs="Calibri"/>
          <w:b/>
          <w:bCs/>
          <w:sz w:val="28"/>
          <w:szCs w:val="28"/>
          <w:lang w:val="en-US" w:eastAsia="es-CL"/>
        </w:rPr>
      </w:pPr>
      <w:r w:rsidRPr="00F163AD">
        <w:rPr>
          <w:rFonts w:ascii="Calibri" w:eastAsiaTheme="majorEastAsia" w:hAnsi="Calibri" w:cs="Calibri"/>
          <w:b/>
          <w:bCs/>
          <w:sz w:val="28"/>
          <w:szCs w:val="28"/>
          <w:lang w:val="en-US" w:eastAsia="es-CL"/>
        </w:rPr>
        <w:t>ABSTRACT</w:t>
      </w:r>
    </w:p>
    <w:p w14:paraId="1BDB3B8B" w14:textId="77777777" w:rsidR="00256823" w:rsidRPr="00F163AD" w:rsidRDefault="00256823" w:rsidP="006077C8">
      <w:pPr>
        <w:spacing w:line="360" w:lineRule="auto"/>
        <w:jc w:val="both"/>
        <w:rPr>
          <w:rFonts w:ascii="Calibri" w:eastAsiaTheme="majorEastAsia" w:hAnsi="Calibri" w:cs="Calibri"/>
          <w:bCs/>
          <w:lang w:val="en-US" w:eastAsia="es-CL"/>
        </w:rPr>
      </w:pPr>
      <w:r w:rsidRPr="00F163AD">
        <w:rPr>
          <w:rFonts w:ascii="Calibri" w:eastAsiaTheme="majorEastAsia" w:hAnsi="Calibri" w:cs="Calibri"/>
          <w:b/>
          <w:kern w:val="0"/>
          <w:lang w:val="en-US" w:eastAsia="es-CL"/>
          <w14:ligatures w14:val="none"/>
        </w:rPr>
        <w:t>Introduction</w:t>
      </w:r>
      <w:r w:rsidRPr="00F163AD">
        <w:rPr>
          <w:rFonts w:ascii="Calibri" w:eastAsiaTheme="majorEastAsia" w:hAnsi="Calibri" w:cs="Calibri"/>
          <w:bCs/>
          <w:lang w:val="en-US" w:eastAsia="es-CL"/>
        </w:rPr>
        <w:t>: during pregnancy, the rectus abdominis muscles separate, a condition known as abdominal diastasis.</w:t>
      </w:r>
    </w:p>
    <w:p w14:paraId="1BDB3B8C" w14:textId="77777777" w:rsidR="00256823" w:rsidRPr="00F163AD" w:rsidRDefault="00256823" w:rsidP="00904276">
      <w:pPr>
        <w:spacing w:line="360" w:lineRule="auto"/>
        <w:jc w:val="both"/>
        <w:rPr>
          <w:rFonts w:ascii="Calibri" w:eastAsiaTheme="majorEastAsia" w:hAnsi="Calibri" w:cs="Calibri"/>
          <w:bCs/>
          <w:lang w:val="en-US" w:eastAsia="es-CL"/>
        </w:rPr>
      </w:pPr>
      <w:r w:rsidRPr="00F163AD">
        <w:rPr>
          <w:rFonts w:ascii="Calibri" w:eastAsiaTheme="majorEastAsia" w:hAnsi="Calibri" w:cs="Calibri"/>
          <w:b/>
          <w:lang w:val="en-US" w:eastAsia="es-CL"/>
        </w:rPr>
        <w:lastRenderedPageBreak/>
        <w:t>Objective:</w:t>
      </w:r>
      <w:r w:rsidRPr="00F163AD">
        <w:rPr>
          <w:rFonts w:ascii="Calibri" w:eastAsiaTheme="majorEastAsia" w:hAnsi="Calibri" w:cs="Calibri"/>
          <w:bCs/>
          <w:lang w:val="en-US" w:eastAsia="es-CL"/>
        </w:rPr>
        <w:t> to relate the presence of abdominal rectus diastasis (DRA) with female sexual function in the postpartum period and nutritional status.</w:t>
      </w:r>
    </w:p>
    <w:p w14:paraId="1BDB3B8D" w14:textId="77777777" w:rsidR="00256823" w:rsidRPr="00F163AD" w:rsidRDefault="00256823" w:rsidP="00F425CC">
      <w:pPr>
        <w:spacing w:line="360" w:lineRule="auto"/>
        <w:jc w:val="both"/>
        <w:rPr>
          <w:rFonts w:ascii="Calibri" w:eastAsiaTheme="majorEastAsia" w:hAnsi="Calibri" w:cs="Calibri"/>
          <w:bCs/>
          <w:lang w:val="en-US" w:eastAsia="es-CL"/>
        </w:rPr>
      </w:pPr>
      <w:r w:rsidRPr="00F163AD">
        <w:rPr>
          <w:rFonts w:ascii="Calibri" w:eastAsiaTheme="majorEastAsia" w:hAnsi="Calibri" w:cs="Calibri"/>
          <w:b/>
          <w:lang w:val="en-US" w:eastAsia="es-CL"/>
        </w:rPr>
        <w:t>Materials and Methods:</w:t>
      </w:r>
      <w:r w:rsidRPr="00F163AD">
        <w:rPr>
          <w:rFonts w:ascii="Calibri" w:eastAsiaTheme="majorEastAsia" w:hAnsi="Calibri" w:cs="Calibri"/>
          <w:bCs/>
          <w:lang w:val="en-US" w:eastAsia="es-CL"/>
        </w:rPr>
        <w:t> q cross-sectional correlational study was conducted with a sample of 99 women over 18 years of age, followed up in the province of Arauco up to 6 months postpartum. A questionnaire was designed to collect demographic and obstetric data, and the palpation technique was used to assess the abdominal rectus muscles. The IFSF survey was also administered. Women with reproductive loss during pregnancy, contraindications for physical activity, and those with motor disabilities were excluded.</w:t>
      </w:r>
    </w:p>
    <w:p w14:paraId="1BDB3B8E" w14:textId="77777777" w:rsidR="00256823" w:rsidRPr="00F163AD" w:rsidRDefault="00256823" w:rsidP="00B819DA">
      <w:pPr>
        <w:spacing w:line="360" w:lineRule="auto"/>
        <w:jc w:val="both"/>
        <w:rPr>
          <w:rFonts w:ascii="Calibri" w:eastAsiaTheme="majorEastAsia" w:hAnsi="Calibri" w:cs="Calibri"/>
          <w:bCs/>
          <w:lang w:val="en-US" w:eastAsia="es-CL"/>
        </w:rPr>
      </w:pPr>
      <w:r w:rsidRPr="00F163AD">
        <w:rPr>
          <w:rFonts w:ascii="Calibri" w:eastAsiaTheme="majorEastAsia" w:hAnsi="Calibri" w:cs="Calibri"/>
          <w:b/>
          <w:bCs/>
          <w:lang w:val="en-US" w:eastAsia="es-CL"/>
        </w:rPr>
        <w:t>Results:</w:t>
      </w:r>
      <w:r w:rsidRPr="00F163AD">
        <w:rPr>
          <w:rFonts w:ascii="Calibri" w:eastAsiaTheme="majorEastAsia" w:hAnsi="Calibri" w:cs="Calibri"/>
          <w:bCs/>
          <w:lang w:val="en-US" w:eastAsia="es-CL"/>
        </w:rPr>
        <w:t> the supraumbilical and umbilical diastasis measured 1.9 cm and 1.63 cm at the infraumbilical level, respectively. Regarding sexual function, the satisfaction domain scored 5.3, followed by lubrication with a score of 4.9. The IFSF score was 27.5. A statistically significant relationship was found between the pain domain and the measurement of diastasis, as well as between sexual satisfaction. 78.7% of the patients were found to be overweight nutrition, and there was no significant relationship between DRA and nutritional status.</w:t>
      </w:r>
    </w:p>
    <w:p w14:paraId="1BDB3B8F" w14:textId="77777777" w:rsidR="00256823" w:rsidRPr="00F163AD" w:rsidRDefault="00256823" w:rsidP="00B819DA">
      <w:pPr>
        <w:spacing w:line="360" w:lineRule="auto"/>
        <w:jc w:val="both"/>
        <w:rPr>
          <w:rFonts w:ascii="Calibri" w:eastAsiaTheme="majorEastAsia" w:hAnsi="Calibri" w:cs="Calibri"/>
          <w:bCs/>
          <w:lang w:val="en-US" w:eastAsia="es-CL"/>
        </w:rPr>
      </w:pPr>
      <w:r w:rsidRPr="00F163AD">
        <w:rPr>
          <w:rFonts w:ascii="Calibri" w:eastAsiaTheme="majorEastAsia" w:hAnsi="Calibri" w:cs="Calibri"/>
          <w:b/>
          <w:bCs/>
          <w:lang w:val="en-US" w:eastAsia="es-CL"/>
        </w:rPr>
        <w:t>Conclusions:</w:t>
      </w:r>
      <w:r w:rsidRPr="00F163AD">
        <w:rPr>
          <w:rFonts w:ascii="Calibri" w:eastAsiaTheme="majorEastAsia" w:hAnsi="Calibri" w:cs="Calibri"/>
          <w:bCs/>
          <w:lang w:val="en-US" w:eastAsia="es-CL"/>
        </w:rPr>
        <w:t> detection of DRA through palpation is a low-cost modality that is useful in the postpartum period. Implementing and evaluating sexual function during these follow-ups will allow for early education of the users.</w:t>
      </w:r>
    </w:p>
    <w:p w14:paraId="1BDB3B90" w14:textId="77777777" w:rsidR="00256823" w:rsidRPr="00F163AD" w:rsidRDefault="00256823" w:rsidP="00B44632">
      <w:pPr>
        <w:jc w:val="both"/>
        <w:rPr>
          <w:rFonts w:ascii="Calibri" w:eastAsiaTheme="majorEastAsia" w:hAnsi="Calibri" w:cs="Calibri"/>
          <w:lang w:val="en-US" w:eastAsia="es-CL"/>
        </w:rPr>
      </w:pPr>
      <w:r w:rsidRPr="00F163AD">
        <w:rPr>
          <w:rFonts w:ascii="Calibri" w:eastAsiaTheme="majorEastAsia" w:hAnsi="Calibri" w:cs="Calibri"/>
          <w:b/>
          <w:bCs/>
          <w:lang w:val="en-US" w:eastAsia="es-CL"/>
        </w:rPr>
        <w:t>Keywords: </w:t>
      </w:r>
      <w:r w:rsidRPr="00F163AD">
        <w:rPr>
          <w:rFonts w:ascii="Calibri" w:eastAsiaTheme="majorEastAsia" w:hAnsi="Calibri" w:cs="Calibri"/>
          <w:lang w:val="en-US" w:eastAsia="es-CL"/>
        </w:rPr>
        <w:t>postpartum period, sexuality, muscular diastasis, abdomen, nutritional status.</w:t>
      </w:r>
    </w:p>
    <w:p w14:paraId="1BDB3B91" w14:textId="77777777" w:rsidR="00256823" w:rsidRPr="000F55C7" w:rsidRDefault="00256823" w:rsidP="00A40A0C">
      <w:pPr>
        <w:pStyle w:val="Ttulo1"/>
      </w:pPr>
      <w:r w:rsidRPr="000F55C7">
        <w:t>INTRODUCCIÓN</w:t>
      </w:r>
    </w:p>
    <w:p w14:paraId="1BDB3B92" w14:textId="77777777" w:rsidR="00256823" w:rsidRPr="00F163AD" w:rsidRDefault="00256823" w:rsidP="00BB730E">
      <w:pPr>
        <w:spacing w:line="360" w:lineRule="auto"/>
        <w:jc w:val="both"/>
        <w:rPr>
          <w:rFonts w:ascii="Calibri" w:hAnsi="Calibri" w:cs="Calibri"/>
        </w:rPr>
      </w:pPr>
      <w:r w:rsidRPr="00F163AD">
        <w:rPr>
          <w:rFonts w:ascii="Calibri" w:hAnsi="Calibri" w:cs="Calibri"/>
        </w:rPr>
        <w:t>La gestación es un proceso que conlleva numerosos cambios, que incluyen adaptaciones tanto físicas como psicológicas. Entre las adaptaciones físicas se encuentra la separación de los músculos rectos del abdomen</w:t>
      </w:r>
      <w:r w:rsidRPr="00F163AD">
        <w:rPr>
          <w:rFonts w:ascii="Calibri" w:hAnsi="Calibri" w:cs="Calibri"/>
          <w:vertAlign w:val="superscript"/>
        </w:rPr>
        <w:t>1</w:t>
      </w:r>
      <w:r w:rsidRPr="00F163AD">
        <w:rPr>
          <w:rFonts w:ascii="Calibri" w:hAnsi="Calibri" w:cs="Calibri"/>
        </w:rPr>
        <w:t>, que tienen su origen en la sínfisis y la cresta del pubis, e insertan en el proceso xifoides y en los cartílagos costales, del quinto al séptimo</w:t>
      </w:r>
      <w:r w:rsidRPr="00F163AD">
        <w:rPr>
          <w:rFonts w:ascii="Calibri" w:hAnsi="Calibri" w:cs="Calibri"/>
          <w:vertAlign w:val="superscript"/>
        </w:rPr>
        <w:t>2</w:t>
      </w:r>
      <w:r w:rsidRPr="00F163AD">
        <w:rPr>
          <w:rFonts w:ascii="Calibri" w:hAnsi="Calibri" w:cs="Calibri"/>
        </w:rPr>
        <w:t>. El crecimiento del útero y la regulación de las hormonas propias del embarazo determinan la separación de estos músculos en la línea media del abdomen, conocida como línea alba, fenómeno denominado diástasis</w:t>
      </w:r>
      <w:r w:rsidRPr="00F163AD">
        <w:rPr>
          <w:rFonts w:ascii="Calibri" w:hAnsi="Calibri" w:cs="Calibri"/>
          <w:vertAlign w:val="superscript"/>
        </w:rPr>
        <w:t>3</w:t>
      </w:r>
      <w:r w:rsidRPr="00F163AD">
        <w:rPr>
          <w:rFonts w:ascii="Calibri" w:hAnsi="Calibri" w:cs="Calibri"/>
        </w:rPr>
        <w:t xml:space="preserve"> (acrónimo DRA: diástasis de los músculos rectos del abdomen). </w:t>
      </w:r>
    </w:p>
    <w:p w14:paraId="1BDB3B93" w14:textId="77777777" w:rsidR="00256823" w:rsidRPr="00F163AD" w:rsidRDefault="00256823" w:rsidP="00BB730E">
      <w:pPr>
        <w:spacing w:line="360" w:lineRule="auto"/>
        <w:jc w:val="both"/>
        <w:rPr>
          <w:rFonts w:ascii="Calibri" w:hAnsi="Calibri" w:cs="Calibri"/>
        </w:rPr>
      </w:pPr>
      <w:r w:rsidRPr="00F163AD">
        <w:rPr>
          <w:rFonts w:ascii="Calibri" w:hAnsi="Calibri" w:cs="Calibri"/>
        </w:rPr>
        <w:lastRenderedPageBreak/>
        <w:t>Esta zona está constituida también por la fusión de la aponeurosis de los músculos oblicuos y transversos, lo que provoca un ensanchamiento y adelgazamiento de la línea alba</w:t>
      </w:r>
      <w:r w:rsidRPr="00F163AD">
        <w:rPr>
          <w:rFonts w:ascii="Calibri" w:hAnsi="Calibri" w:cs="Calibri"/>
          <w:vertAlign w:val="superscript"/>
        </w:rPr>
        <w:t>1</w:t>
      </w:r>
      <w:r w:rsidRPr="00F163AD">
        <w:rPr>
          <w:rFonts w:ascii="Calibri" w:hAnsi="Calibri" w:cs="Calibri"/>
        </w:rPr>
        <w:t>. Además de la gestación, existen otros factores que pueden desencadenar la diástasis, tales como el aumento de peso, la hiperlaxitud articular, el alto índice de masa corporal, la falta de ejercicio antes y durante el embarazo</w:t>
      </w:r>
      <w:r w:rsidRPr="00F163AD">
        <w:rPr>
          <w:rFonts w:ascii="Calibri" w:hAnsi="Calibri" w:cs="Calibri"/>
          <w:vertAlign w:val="superscript"/>
        </w:rPr>
        <w:t>4,5</w:t>
      </w:r>
      <w:r w:rsidRPr="00F163AD">
        <w:rPr>
          <w:rFonts w:ascii="Calibri" w:hAnsi="Calibri" w:cs="Calibri"/>
        </w:rPr>
        <w:t>, la multiparidad, la tos crónica, la constipación crónica y la obesidad</w:t>
      </w:r>
      <w:r w:rsidRPr="00F163AD">
        <w:rPr>
          <w:rFonts w:ascii="Calibri" w:hAnsi="Calibri" w:cs="Calibri"/>
          <w:vertAlign w:val="superscript"/>
        </w:rPr>
        <w:t>6</w:t>
      </w:r>
      <w:r w:rsidRPr="00F163AD">
        <w:rPr>
          <w:rFonts w:ascii="Calibri" w:hAnsi="Calibri" w:cs="Calibri"/>
        </w:rPr>
        <w:t>.</w:t>
      </w:r>
    </w:p>
    <w:p w14:paraId="1BDB3B94" w14:textId="77777777" w:rsidR="00256823" w:rsidRPr="00F163AD" w:rsidRDefault="00256823" w:rsidP="00BB730E">
      <w:pPr>
        <w:spacing w:line="360" w:lineRule="auto"/>
        <w:jc w:val="both"/>
        <w:rPr>
          <w:rFonts w:ascii="Calibri" w:hAnsi="Calibri" w:cs="Calibri"/>
        </w:rPr>
      </w:pPr>
      <w:r w:rsidRPr="00F163AD">
        <w:rPr>
          <w:rFonts w:ascii="Calibri" w:hAnsi="Calibri" w:cs="Calibri"/>
        </w:rPr>
        <w:t>Actualmente, se considera que una medición es patológica cuando supera los 2,5 cm</w:t>
      </w:r>
      <w:r w:rsidRPr="00F163AD">
        <w:rPr>
          <w:rFonts w:ascii="Calibri" w:hAnsi="Calibri" w:cs="Calibri"/>
          <w:vertAlign w:val="superscript"/>
        </w:rPr>
        <w:t>6</w:t>
      </w:r>
      <w:r w:rsidRPr="00F163AD">
        <w:rPr>
          <w:rFonts w:ascii="Calibri" w:hAnsi="Calibri" w:cs="Calibri"/>
        </w:rPr>
        <w:t xml:space="preserve"> en cualquier zona de la línea alba. Sin embargo, no existe consenso sobre los puntos de corte para el diagnostico</w:t>
      </w:r>
      <w:r w:rsidRPr="00F163AD">
        <w:rPr>
          <w:rFonts w:ascii="Calibri" w:hAnsi="Calibri" w:cs="Calibri"/>
          <w:vertAlign w:val="superscript"/>
        </w:rPr>
        <w:t>1</w:t>
      </w:r>
      <w:r w:rsidRPr="00F163AD">
        <w:rPr>
          <w:rFonts w:ascii="Calibri" w:hAnsi="Calibri" w:cs="Calibri"/>
        </w:rPr>
        <w:t>. Algunos investigadores consideran que la DRA es fisiológica cuando se encuentra entre 1,6 a 2,0 cm debajo del ombligo</w:t>
      </w:r>
      <w:r w:rsidRPr="00F163AD">
        <w:rPr>
          <w:rFonts w:ascii="Calibri" w:hAnsi="Calibri" w:cs="Calibri"/>
          <w:vertAlign w:val="superscript"/>
        </w:rPr>
        <w:t>1,6</w:t>
      </w:r>
      <w:r w:rsidRPr="00F163AD">
        <w:rPr>
          <w:rFonts w:ascii="Calibri" w:hAnsi="Calibri" w:cs="Calibri"/>
        </w:rPr>
        <w:t>. Además, existe una disyuntiva sobre el lugar de la línea media donde se debe realizar la medición, así como posibles diferencias relacionadas con factores demográficos y antropométricos de los sujetos</w:t>
      </w:r>
      <w:r w:rsidRPr="00F163AD">
        <w:rPr>
          <w:rFonts w:ascii="Calibri" w:hAnsi="Calibri" w:cs="Calibri"/>
          <w:vertAlign w:val="superscript"/>
        </w:rPr>
        <w:t>1,7</w:t>
      </w:r>
      <w:r w:rsidRPr="00F163AD">
        <w:rPr>
          <w:rFonts w:ascii="Calibri" w:hAnsi="Calibri" w:cs="Calibri"/>
        </w:rPr>
        <w:t xml:space="preserve">. </w:t>
      </w:r>
    </w:p>
    <w:p w14:paraId="1BDB3B95" w14:textId="77777777" w:rsidR="00256823" w:rsidRPr="00F163AD" w:rsidRDefault="00256823" w:rsidP="00BB730E">
      <w:pPr>
        <w:spacing w:line="360" w:lineRule="auto"/>
        <w:jc w:val="both"/>
        <w:rPr>
          <w:rFonts w:ascii="Calibri" w:hAnsi="Calibri" w:cs="Calibri"/>
        </w:rPr>
      </w:pPr>
      <w:r w:rsidRPr="00F163AD">
        <w:rPr>
          <w:rFonts w:ascii="Calibri" w:hAnsi="Calibri" w:cs="Calibri"/>
        </w:rPr>
        <w:t xml:space="preserve">La separación </w:t>
      </w:r>
      <w:r w:rsidRPr="00F163AD">
        <w:rPr>
          <w:rFonts w:ascii="Calibri" w:hAnsi="Calibri" w:cs="Calibri"/>
        </w:rPr>
        <w:tab/>
        <w:t xml:space="preserve">de los músculos abdominales desencadena hipotonía en estos y en los músculos del piso pélvico, lo que afecta directamente en su funcionalidad al provocar un desplazamiento de los vectores de presión dentro de la cavidad abdominal. </w:t>
      </w:r>
    </w:p>
    <w:p w14:paraId="1BDB3B96" w14:textId="77777777" w:rsidR="00256823" w:rsidRPr="00F163AD" w:rsidRDefault="00256823" w:rsidP="00BB730E">
      <w:pPr>
        <w:spacing w:line="360" w:lineRule="auto"/>
        <w:jc w:val="both"/>
        <w:rPr>
          <w:rFonts w:ascii="Calibri" w:hAnsi="Calibri" w:cs="Calibri"/>
        </w:rPr>
      </w:pPr>
      <w:r w:rsidRPr="00F163AD">
        <w:rPr>
          <w:rFonts w:ascii="Calibri" w:hAnsi="Calibri" w:cs="Calibri"/>
        </w:rPr>
        <w:t>Cabe recordar que los músculos abdominales y los del suelo pélvico confluyen en la línea pectínea de la sínfisis del pubis</w:t>
      </w:r>
      <w:r w:rsidRPr="00F163AD">
        <w:rPr>
          <w:rFonts w:ascii="Calibri" w:hAnsi="Calibri" w:cs="Calibri"/>
          <w:vertAlign w:val="superscript"/>
        </w:rPr>
        <w:t>2</w:t>
      </w:r>
      <w:r w:rsidRPr="00F163AD">
        <w:rPr>
          <w:rFonts w:ascii="Calibri" w:hAnsi="Calibri" w:cs="Calibri"/>
        </w:rPr>
        <w:t>. La hipotonía genera una pérdida de capacidad de sostén de los órganos, lo que puede provocar consecuencias tales como: dolor abdominal, dolor lumbar y disfunciones propias del suelo pélvico, como incontinencia urinaria o fecal, prolapso genital y dolor pélvico</w:t>
      </w:r>
      <w:r w:rsidRPr="00F163AD">
        <w:rPr>
          <w:rFonts w:ascii="Calibri" w:hAnsi="Calibri" w:cs="Calibri"/>
          <w:vertAlign w:val="superscript"/>
        </w:rPr>
        <w:t>8,9,10</w:t>
      </w:r>
      <w:r w:rsidRPr="00F163AD">
        <w:rPr>
          <w:rFonts w:ascii="Calibri" w:hAnsi="Calibri" w:cs="Calibri"/>
        </w:rPr>
        <w:t>. Estos efectos pueden persistir durante años, afectando la calidad de vida de muchas mujeres</w:t>
      </w:r>
      <w:r w:rsidRPr="00F163AD">
        <w:rPr>
          <w:rFonts w:ascii="Calibri" w:hAnsi="Calibri" w:cs="Calibri"/>
          <w:vertAlign w:val="superscript"/>
        </w:rPr>
        <w:t>11</w:t>
      </w:r>
      <w:r w:rsidRPr="00F163AD">
        <w:rPr>
          <w:rFonts w:ascii="Calibri" w:hAnsi="Calibri" w:cs="Calibri"/>
        </w:rPr>
        <w:t xml:space="preserve">. </w:t>
      </w:r>
    </w:p>
    <w:p w14:paraId="1BDB3B97" w14:textId="77777777" w:rsidR="00256823" w:rsidRPr="00F163AD" w:rsidRDefault="00256823" w:rsidP="00BB730E">
      <w:pPr>
        <w:spacing w:line="360" w:lineRule="auto"/>
        <w:jc w:val="both"/>
        <w:rPr>
          <w:rFonts w:ascii="Calibri" w:hAnsi="Calibri" w:cs="Calibri"/>
        </w:rPr>
      </w:pPr>
      <w:r w:rsidRPr="00F163AD">
        <w:rPr>
          <w:rFonts w:ascii="Calibri" w:hAnsi="Calibri" w:cs="Calibri"/>
        </w:rPr>
        <w:t xml:space="preserve">En mayo de 2013, durante el Congreso de la Sociedad Europea de Hernia en Gdansk (Polonia), se originó el acrónimo PPAWIS (Post-Partum Abdominal Wall </w:t>
      </w:r>
      <w:proofErr w:type="spellStart"/>
      <w:r w:rsidRPr="00F163AD">
        <w:rPr>
          <w:rFonts w:ascii="Calibri" w:hAnsi="Calibri" w:cs="Calibri"/>
        </w:rPr>
        <w:t>Insufficiency</w:t>
      </w:r>
      <w:proofErr w:type="spellEnd"/>
      <w:r w:rsidRPr="00F163AD">
        <w:rPr>
          <w:rFonts w:ascii="Calibri" w:hAnsi="Calibri" w:cs="Calibri"/>
        </w:rPr>
        <w:t xml:space="preserve"> Síndrome) para referirse a la insuficiencia de la pared abdominal posparto. Este concepto abarca todos los síntomas, incluyendo la laxitud general de la pared abdominal anterior junto con la diástasis de los músculos rectos del abdomen, así como un exceso de piel y panículo, lo que tiene importantes repercusiones en el contorno general del abdomen. La </w:t>
      </w:r>
      <w:r w:rsidRPr="00F163AD">
        <w:rPr>
          <w:rFonts w:ascii="Calibri" w:hAnsi="Calibri" w:cs="Calibri"/>
        </w:rPr>
        <w:lastRenderedPageBreak/>
        <w:t>inestabilidad resultante del tronco se asocia con dolor lumbar y dolor de cadera, síntomas que a menudo se presentan después del embarazo</w:t>
      </w:r>
      <w:r w:rsidRPr="00F163AD">
        <w:rPr>
          <w:rFonts w:ascii="Calibri" w:hAnsi="Calibri" w:cs="Calibri"/>
          <w:vertAlign w:val="superscript"/>
        </w:rPr>
        <w:t>12</w:t>
      </w:r>
      <w:r w:rsidRPr="00F163AD">
        <w:rPr>
          <w:rFonts w:ascii="Calibri" w:hAnsi="Calibri" w:cs="Calibri"/>
        </w:rPr>
        <w:t>.</w:t>
      </w:r>
    </w:p>
    <w:p w14:paraId="1BDB3B98" w14:textId="77777777" w:rsidR="00256823" w:rsidRPr="00F163AD" w:rsidRDefault="00256823" w:rsidP="00BB730E">
      <w:pPr>
        <w:spacing w:line="360" w:lineRule="auto"/>
        <w:jc w:val="both"/>
        <w:rPr>
          <w:rFonts w:ascii="Calibri" w:hAnsi="Calibri" w:cs="Calibri"/>
        </w:rPr>
      </w:pPr>
      <w:r w:rsidRPr="00F163AD">
        <w:rPr>
          <w:rFonts w:ascii="Calibri" w:hAnsi="Calibri" w:cs="Calibri"/>
        </w:rPr>
        <w:t>Para el estudio de esta condición se recomienda la ecografía abdominal, que mide de manera milimétrica la línea alba y se considera un método muy fiable</w:t>
      </w:r>
      <w:r w:rsidRPr="00F163AD">
        <w:rPr>
          <w:rFonts w:ascii="Calibri" w:hAnsi="Calibri" w:cs="Calibri"/>
          <w:vertAlign w:val="superscript"/>
        </w:rPr>
        <w:t>13</w:t>
      </w:r>
      <w:r w:rsidRPr="00F163AD">
        <w:rPr>
          <w:rFonts w:ascii="Calibri" w:hAnsi="Calibri" w:cs="Calibri"/>
        </w:rPr>
        <w:t xml:space="preserve">. También se utiliza la palpación abdominal, que no implica costos y -aunque la medición no es exacta- permite detectar la patología, especialmente si es realizada por un operador experimentado en la técnica, lo que contribuye a obtener resultados precisos y confiables.  </w:t>
      </w:r>
    </w:p>
    <w:p w14:paraId="1BDB3B99" w14:textId="77777777" w:rsidR="00256823" w:rsidRPr="00F163AD" w:rsidRDefault="00256823" w:rsidP="00BB730E">
      <w:pPr>
        <w:spacing w:line="360" w:lineRule="auto"/>
        <w:jc w:val="both"/>
        <w:rPr>
          <w:rFonts w:ascii="Calibri" w:hAnsi="Calibri" w:cs="Calibri"/>
        </w:rPr>
      </w:pPr>
      <w:r w:rsidRPr="00F163AD">
        <w:rPr>
          <w:rFonts w:ascii="Calibri" w:hAnsi="Calibri" w:cs="Calibri"/>
        </w:rPr>
        <w:t>La técnica consiste en ubicar las yemas del dedo índice y medio a nivel supraumbilical, umbilical e infraumbilical, invitando a la usuaria a realizar una flexión anterior de la cabeza y cuello. Esta evaluación debe llevarse a cabo en los distintos niveles de la línea alba, ya que la medición anormal puede variar por debajo del ombligo en comparación con la parte superior</w:t>
      </w:r>
      <w:r w:rsidRPr="00F163AD">
        <w:rPr>
          <w:rFonts w:ascii="Calibri" w:hAnsi="Calibri" w:cs="Calibri"/>
          <w:vertAlign w:val="superscript"/>
        </w:rPr>
        <w:t>14,15</w:t>
      </w:r>
      <w:r w:rsidRPr="00F163AD">
        <w:rPr>
          <w:rFonts w:ascii="Calibri" w:hAnsi="Calibri" w:cs="Calibri"/>
        </w:rPr>
        <w:t>. La clasificación más utilizada en la evaluación clínica considera: normal si es menor de 2,5 cm, leve entre 2,5 y 3,5 cm, moderado de 3,5 a 5,0 cm y severo si es mayor a 5,0 cm en cualquier zona</w:t>
      </w:r>
      <w:r w:rsidRPr="00F163AD">
        <w:rPr>
          <w:rFonts w:ascii="Calibri" w:hAnsi="Calibri" w:cs="Calibri"/>
          <w:vertAlign w:val="superscript"/>
        </w:rPr>
        <w:t>6</w:t>
      </w:r>
      <w:r w:rsidRPr="00F163AD">
        <w:rPr>
          <w:rFonts w:ascii="Calibri" w:hAnsi="Calibri" w:cs="Calibri"/>
        </w:rPr>
        <w:t>. Esta estandarización se ha realizado en mujeres europeas. Lamentablemente, no existen curvas en poblaciones con características similares a las chilenas.</w:t>
      </w:r>
    </w:p>
    <w:p w14:paraId="1BDB3B9A" w14:textId="77777777" w:rsidR="00256823" w:rsidRPr="00F163AD" w:rsidRDefault="00256823" w:rsidP="00BB730E">
      <w:pPr>
        <w:spacing w:line="360" w:lineRule="auto"/>
        <w:jc w:val="both"/>
        <w:rPr>
          <w:rFonts w:ascii="Calibri" w:hAnsi="Calibri" w:cs="Calibri"/>
        </w:rPr>
      </w:pPr>
      <w:r w:rsidRPr="00F163AD">
        <w:rPr>
          <w:rFonts w:ascii="Calibri" w:hAnsi="Calibri" w:cs="Calibri"/>
        </w:rPr>
        <w:t>Otros cambios que ocurren durante la gestación y en el postparto incluyen alteraciones en la respuesta sexual, como la disminución de la libido y variaciones en la lubricación</w:t>
      </w:r>
      <w:r w:rsidRPr="00F163AD">
        <w:rPr>
          <w:rFonts w:ascii="Calibri" w:hAnsi="Calibri" w:cs="Calibri"/>
          <w:vertAlign w:val="superscript"/>
        </w:rPr>
        <w:t>16</w:t>
      </w:r>
      <w:r w:rsidRPr="00F163AD">
        <w:rPr>
          <w:rFonts w:ascii="Calibri" w:hAnsi="Calibri" w:cs="Calibri"/>
        </w:rPr>
        <w:t>. Asimismo, las demandas de cuidado del recién nacido y las adaptaciones físicas y hormonales en el postparto pueden desencadenar la disminución de la lubricación y del deseo sexual, incluso provocando dispareunia en algunos casos</w:t>
      </w:r>
      <w:r w:rsidRPr="00F163AD">
        <w:rPr>
          <w:rFonts w:ascii="Calibri" w:hAnsi="Calibri" w:cs="Calibri"/>
          <w:vertAlign w:val="superscript"/>
        </w:rPr>
        <w:t>17,18</w:t>
      </w:r>
      <w:r w:rsidRPr="00F163AD">
        <w:rPr>
          <w:rFonts w:ascii="Calibri" w:hAnsi="Calibri" w:cs="Calibri"/>
        </w:rPr>
        <w:t>.</w:t>
      </w:r>
    </w:p>
    <w:p w14:paraId="1BDB3B9B" w14:textId="77777777" w:rsidR="00256823" w:rsidRPr="00F163AD" w:rsidRDefault="00256823" w:rsidP="00BB730E">
      <w:pPr>
        <w:spacing w:line="360" w:lineRule="auto"/>
        <w:jc w:val="both"/>
        <w:rPr>
          <w:rFonts w:ascii="Calibri" w:hAnsi="Calibri" w:cs="Calibri"/>
        </w:rPr>
      </w:pPr>
      <w:r w:rsidRPr="00F163AD">
        <w:rPr>
          <w:rFonts w:ascii="Calibri" w:hAnsi="Calibri" w:cs="Calibri"/>
        </w:rPr>
        <w:t>Existe escasa evidencia sobre la insuficiencia de la pared abdominal y sus efectos en la satisfacción sexual femenina. Un estudio realizado en Polonia encontró que el 59,5 %, de las mujeres (n=200) que padecía PPAWIS reportaban problemas en su vida sexual</w:t>
      </w:r>
      <w:r w:rsidRPr="00F163AD">
        <w:rPr>
          <w:rFonts w:ascii="Calibri" w:hAnsi="Calibri" w:cs="Calibri"/>
          <w:vertAlign w:val="superscript"/>
        </w:rPr>
        <w:t>12</w:t>
      </w:r>
      <w:r w:rsidRPr="00F163AD">
        <w:rPr>
          <w:rFonts w:ascii="Calibri" w:hAnsi="Calibri" w:cs="Calibri"/>
        </w:rPr>
        <w:t xml:space="preserve">, pero no detalla el tipo de disfunción sexual asociada.  En Latinoamérica, en tanto, la información sobre la diástasis de los músculos rectos abdominales y su impacto en el funcionamiento sexual en el posparto es limitada. </w:t>
      </w:r>
    </w:p>
    <w:p w14:paraId="1BDB3B9C" w14:textId="77777777" w:rsidR="00256823" w:rsidRPr="00F163AD" w:rsidRDefault="00256823" w:rsidP="00BB730E">
      <w:pPr>
        <w:spacing w:line="360" w:lineRule="auto"/>
        <w:jc w:val="both"/>
        <w:rPr>
          <w:rFonts w:ascii="Calibri" w:hAnsi="Calibri" w:cs="Calibri"/>
        </w:rPr>
      </w:pPr>
      <w:r w:rsidRPr="00F163AD">
        <w:rPr>
          <w:rFonts w:ascii="Calibri" w:hAnsi="Calibri" w:cs="Calibri"/>
        </w:rPr>
        <w:lastRenderedPageBreak/>
        <w:t>El objetivo de este estudio fue determinar la DRA a través de la palpación manual, dado que el acceso a ecografía abdominal es difícil, optándose por un método que pueda replicarse en los distintos centros de salud. Además, se evaluó el "Índice de Función Sexual Femenina" (IFSF) en el postparto. Finalmente, se relacionaron ambas dimensiones y sus respectivos dominios, proporcionando información valiosa para diseñar estrategias de prevención de patologías y promoción de la salud pélvica femenina.</w:t>
      </w:r>
    </w:p>
    <w:p w14:paraId="1BDB3B9D" w14:textId="77777777" w:rsidR="00256823" w:rsidRPr="00A40A0C" w:rsidRDefault="00256823" w:rsidP="00A40A0C">
      <w:pPr>
        <w:pStyle w:val="Ttulo1"/>
      </w:pPr>
      <w:r w:rsidRPr="00A40A0C">
        <w:t>MATERIAL Y MÉTODO</w:t>
      </w:r>
    </w:p>
    <w:p w14:paraId="1BDB3B9E" w14:textId="77777777" w:rsidR="00256823" w:rsidRPr="00F163AD" w:rsidRDefault="00256823" w:rsidP="00BB730E">
      <w:pPr>
        <w:spacing w:line="360" w:lineRule="auto"/>
        <w:jc w:val="both"/>
        <w:rPr>
          <w:rFonts w:ascii="Calibri" w:hAnsi="Calibri" w:cs="Calibri"/>
        </w:rPr>
      </w:pPr>
      <w:r w:rsidRPr="00F163AD">
        <w:rPr>
          <w:rFonts w:ascii="Calibri" w:hAnsi="Calibri" w:cs="Calibri"/>
        </w:rPr>
        <w:t xml:space="preserve">Esta investigación se abordó mediante un estudio correlacional de corte transversal, realizado en una muestra de 99 mujeres de un total de 180 ingresadas en control de planificación familiar en los centros de salud familiar de la provincia de Arauco. Se incluyeron mujeres hasta el sexto mes de postparto, mediante un muestreo no probabilístico y consecutivo. Los criterios de inclusión fueron: mujeres sin antecedente de hernia umbilical, o de cirugías abdominales y que tuvieran más de 18 años. Todas debían firmar previamente un consentimiento informado. Se excluyeron del estudio a las mujeres con pérdida reproductiva durante la gestación o con contraindicación para la actividad física y aquellas con discapacidad motora. La investigación fue aprobada por el Comité de Ética del Servicio de Salud de Arauco y del Hospital Dr. Rafael </w:t>
      </w:r>
      <w:proofErr w:type="spellStart"/>
      <w:r w:rsidRPr="00F163AD">
        <w:rPr>
          <w:rFonts w:ascii="Calibri" w:hAnsi="Calibri" w:cs="Calibri"/>
        </w:rPr>
        <w:t>Avaria</w:t>
      </w:r>
      <w:proofErr w:type="spellEnd"/>
      <w:r w:rsidRPr="00F163AD">
        <w:rPr>
          <w:rFonts w:ascii="Calibri" w:hAnsi="Calibri" w:cs="Calibri"/>
        </w:rPr>
        <w:t xml:space="preserve"> de Curanilahue.</w:t>
      </w:r>
    </w:p>
    <w:p w14:paraId="1BDB3B9F" w14:textId="77777777" w:rsidR="00256823" w:rsidRPr="00F163AD" w:rsidRDefault="00256823" w:rsidP="00BB730E">
      <w:pPr>
        <w:spacing w:line="360" w:lineRule="auto"/>
        <w:jc w:val="both"/>
        <w:rPr>
          <w:rFonts w:ascii="Calibri" w:hAnsi="Calibri" w:cs="Calibri"/>
        </w:rPr>
      </w:pPr>
      <w:r w:rsidRPr="00F163AD">
        <w:rPr>
          <w:rFonts w:ascii="Calibri" w:hAnsi="Calibri" w:cs="Calibri"/>
        </w:rPr>
        <w:t>Se diseñó un cuestionario para la recolección de datos</w:t>
      </w:r>
      <w:r w:rsidRPr="00F163AD">
        <w:rPr>
          <w:rFonts w:ascii="Calibri" w:eastAsia="Times New Roman" w:hAnsi="Calibri" w:cs="Calibri"/>
        </w:rPr>
        <w:t xml:space="preserve"> demográficos y obstétricos</w:t>
      </w:r>
      <w:r w:rsidRPr="00F163AD">
        <w:rPr>
          <w:rFonts w:ascii="Calibri" w:hAnsi="Calibri" w:cs="Calibri"/>
        </w:rPr>
        <w:t xml:space="preserve">, que incluyó: </w:t>
      </w:r>
      <w:r w:rsidRPr="00F163AD">
        <w:rPr>
          <w:rFonts w:ascii="Calibri" w:eastAsia="Times New Roman" w:hAnsi="Calibri" w:cs="Calibri"/>
        </w:rPr>
        <w:t xml:space="preserve">edad, peso, índice de masa corporal (IMC), paridad y presencia o ausencia de pareja actual. </w:t>
      </w:r>
    </w:p>
    <w:p w14:paraId="1BDB3BA0" w14:textId="77777777" w:rsidR="00256823" w:rsidRPr="00F163AD" w:rsidRDefault="00256823" w:rsidP="00BB730E">
      <w:pPr>
        <w:spacing w:line="360" w:lineRule="auto"/>
        <w:jc w:val="both"/>
        <w:rPr>
          <w:rFonts w:ascii="Calibri" w:eastAsia="Times New Roman" w:hAnsi="Calibri" w:cs="Calibri"/>
        </w:rPr>
      </w:pPr>
      <w:r w:rsidRPr="00F163AD">
        <w:rPr>
          <w:rFonts w:ascii="Calibri" w:eastAsia="Times New Roman" w:hAnsi="Calibri" w:cs="Calibri"/>
        </w:rPr>
        <w:t>Para obtener los valores de la medición de la DRA supraumbilical, umbilical e infraumbilical se utilizó la técnica de palpación, que consiste en palpar el abdomen de la usuaria recorriendo la línea media (Fig.1). Para ejecutar la técnica, la usuaria debe estar en posición supina, en reposo sobre la camilla, con las piernas flexionadas y los pies juntos en un ángulo de 90°, con los brazos apoyados a lo largo del cuerpo</w:t>
      </w:r>
      <w:r w:rsidRPr="00F163AD">
        <w:rPr>
          <w:rFonts w:ascii="Calibri" w:eastAsia="Times New Roman" w:hAnsi="Calibri" w:cs="Calibri"/>
          <w:vertAlign w:val="superscript"/>
        </w:rPr>
        <w:t>13</w:t>
      </w:r>
      <w:r w:rsidRPr="00F163AD">
        <w:rPr>
          <w:rFonts w:ascii="Calibri" w:eastAsia="Times New Roman" w:hAnsi="Calibri" w:cs="Calibri"/>
        </w:rPr>
        <w:t xml:space="preserve">. Luego, se le solicita que realice una contracción abdominal en posición supina, flexione su cabeza, levante los hombros de la camilla y lleve las manos a las rodillas. </w:t>
      </w:r>
    </w:p>
    <w:p w14:paraId="1BDB3BA1" w14:textId="77777777" w:rsidR="00256823" w:rsidRPr="00F163AD" w:rsidRDefault="00256823" w:rsidP="00BB730E">
      <w:pPr>
        <w:spacing w:line="360" w:lineRule="auto"/>
        <w:jc w:val="both"/>
        <w:rPr>
          <w:rFonts w:ascii="Calibri" w:hAnsi="Calibri" w:cs="Calibri"/>
        </w:rPr>
      </w:pPr>
      <w:r w:rsidRPr="00F163AD">
        <w:rPr>
          <w:rFonts w:ascii="Calibri" w:eastAsia="Times New Roman" w:hAnsi="Calibri" w:cs="Calibri"/>
        </w:rPr>
        <w:lastRenderedPageBreak/>
        <w:t xml:space="preserve">El evaluador se ubica a nivel supraumbilical, presionando ligeramente con las yemas de los dedos de forma vertical sobre la línea alba de la usuaria, de modo que el ancho de los dedos puede ajustarse a la distancia entre los bordes internos de los músculos rectos abdominales </w:t>
      </w:r>
      <w:r w:rsidRPr="00F163AD">
        <w:rPr>
          <w:rFonts w:ascii="Calibri" w:hAnsi="Calibri" w:cs="Calibri"/>
        </w:rPr>
        <w:t>(Fig.2)</w:t>
      </w:r>
      <w:r w:rsidRPr="00F163AD">
        <w:rPr>
          <w:rFonts w:ascii="Calibri" w:eastAsia="Times New Roman" w:hAnsi="Calibri" w:cs="Calibri"/>
        </w:rPr>
        <w:t xml:space="preserve">. Este procedimiento se repite a nivel umbilical e infraumbilical. Finalmente, para valorar el grado </w:t>
      </w:r>
      <w:r w:rsidRPr="00F163AD">
        <w:rPr>
          <w:rFonts w:ascii="Calibri" w:hAnsi="Calibri" w:cs="Calibri"/>
        </w:rPr>
        <w:t xml:space="preserve">de diástasis, el evaluador localiza el centro del ombligo como referencia y ubica la yema del dedo índice y medio en los músculos rectos abdominales. Luego, se invita a la paciente a realizar una flexión anterior de la cabeza y el cuello, lo que provoca un aumento de la presión intraabdominal, permitiendo así la palpación y la identificación de los músculos rectos abdominales. </w:t>
      </w:r>
    </w:p>
    <w:p w14:paraId="1BDB3BA2" w14:textId="77777777" w:rsidR="00256823" w:rsidRPr="00F163AD" w:rsidRDefault="00256823" w:rsidP="00BB730E">
      <w:pPr>
        <w:spacing w:line="360" w:lineRule="auto"/>
        <w:jc w:val="both"/>
        <w:rPr>
          <w:rFonts w:ascii="Calibri" w:hAnsi="Calibri" w:cs="Calibri"/>
        </w:rPr>
      </w:pPr>
      <w:r w:rsidRPr="00F163AD">
        <w:rPr>
          <w:rFonts w:ascii="Calibri" w:hAnsi="Calibri" w:cs="Calibri"/>
        </w:rPr>
        <w:t>Previo a la medición, se midió el ancho de los dedos, como referencia en cada medición, y se utilizó un bajalenguas graduado para colocar el dedo y cuantificar la medición (Fig.3).</w:t>
      </w:r>
      <w:r w:rsidRPr="00F163AD">
        <w:rPr>
          <w:rFonts w:ascii="Calibri" w:hAnsi="Calibri" w:cs="Calibri"/>
          <w:b/>
        </w:rPr>
        <w:t xml:space="preserve"> </w:t>
      </w:r>
    </w:p>
    <w:p w14:paraId="1BDB3BA3" w14:textId="77777777" w:rsidR="00256823" w:rsidRPr="00F163AD" w:rsidRDefault="00256823" w:rsidP="00BB730E">
      <w:pPr>
        <w:spacing w:line="360" w:lineRule="auto"/>
        <w:jc w:val="both"/>
        <w:rPr>
          <w:rFonts w:ascii="Calibri" w:hAnsi="Calibri" w:cs="Calibri"/>
          <w:b/>
          <w:u w:val="single"/>
        </w:rPr>
      </w:pPr>
      <w:r w:rsidRPr="00F163AD">
        <w:rPr>
          <w:rFonts w:ascii="Calibri" w:hAnsi="Calibri" w:cs="Calibri"/>
        </w:rPr>
        <w:t>Por último, se aplicó la encuesta de Índice de Función Sexual Femenina (IFSF) desarrollado por Rosen y cols</w:t>
      </w:r>
      <w:r w:rsidRPr="00F163AD">
        <w:rPr>
          <w:rFonts w:ascii="Calibri" w:hAnsi="Calibri" w:cs="Calibri"/>
          <w:vertAlign w:val="superscript"/>
        </w:rPr>
        <w:t>19</w:t>
      </w:r>
      <w:r w:rsidRPr="00F163AD">
        <w:rPr>
          <w:rFonts w:ascii="Calibri" w:hAnsi="Calibri" w:cs="Calibri"/>
        </w:rPr>
        <w:t xml:space="preserve"> y validado en Chile</w:t>
      </w:r>
      <w:r w:rsidRPr="00F163AD">
        <w:rPr>
          <w:rFonts w:ascii="Calibri" w:hAnsi="Calibri" w:cs="Calibri"/>
          <w:vertAlign w:val="superscript"/>
        </w:rPr>
        <w:t>20</w:t>
      </w:r>
      <w:r w:rsidRPr="00F163AD">
        <w:rPr>
          <w:rFonts w:ascii="Calibri" w:hAnsi="Calibri" w:cs="Calibri"/>
        </w:rPr>
        <w:t xml:space="preserve">. El cuestionario consta de 19 preguntas agrupadas en seis dominios: deseo, excitación, lubricación, orgasmo, satisfacción y dolor. Cada pregunta presentó cinco o seis opciones, a las cuales se les asigna un puntaje que varía de 0 a 5. El puntaje de cada dominio se multiplica por un factor, y el resultado final es la suma aritmética de los dominios. A mayor puntaje, mejor el funcionamiento sexual, existiendo un puntaje de corte de </w:t>
      </w:r>
      <w:r w:rsidRPr="00F163AD">
        <w:rPr>
          <w:rFonts w:ascii="Calibri" w:eastAsia="Times New Roman" w:hAnsi="Calibri" w:cs="Calibri"/>
        </w:rPr>
        <w:t>26. Un puntaje menor o igual a este valor indica un riesgo de disfunción sexual</w:t>
      </w:r>
      <w:r w:rsidRPr="00F163AD">
        <w:rPr>
          <w:rFonts w:ascii="Calibri" w:eastAsia="Times New Roman" w:hAnsi="Calibri" w:cs="Calibri"/>
          <w:vertAlign w:val="superscript"/>
        </w:rPr>
        <w:t>19, 21</w:t>
      </w:r>
      <w:r w:rsidRPr="00F163AD">
        <w:rPr>
          <w:rFonts w:ascii="Calibri" w:eastAsia="Times New Roman" w:hAnsi="Calibri" w:cs="Calibri"/>
        </w:rPr>
        <w:t>. Este instrumento se aplica únicamente a mujeres que han tenido actividad sexual en las últimas cuatro semanas. Si no cumplían ese criterio, no era posible evaluar.</w:t>
      </w:r>
    </w:p>
    <w:p w14:paraId="1BDB3BA4" w14:textId="77777777" w:rsidR="00256823" w:rsidRPr="00F163AD" w:rsidRDefault="00256823" w:rsidP="00BB730E">
      <w:pPr>
        <w:spacing w:line="360" w:lineRule="auto"/>
        <w:jc w:val="both"/>
        <w:rPr>
          <w:rFonts w:ascii="Calibri" w:hAnsi="Calibri" w:cs="Calibri"/>
        </w:rPr>
      </w:pPr>
      <w:r w:rsidRPr="00F163AD">
        <w:rPr>
          <w:rFonts w:ascii="Calibri" w:hAnsi="Calibri" w:cs="Calibri"/>
        </w:rPr>
        <w:t xml:space="preserve">El análisis estadístico fue </w:t>
      </w:r>
      <w:proofErr w:type="spellStart"/>
      <w:r w:rsidRPr="00F163AD">
        <w:rPr>
          <w:rFonts w:ascii="Calibri" w:hAnsi="Calibri" w:cs="Calibri"/>
        </w:rPr>
        <w:t>univariado</w:t>
      </w:r>
      <w:proofErr w:type="spellEnd"/>
      <w:r w:rsidRPr="00F163AD">
        <w:rPr>
          <w:rFonts w:ascii="Calibri" w:hAnsi="Calibri" w:cs="Calibri"/>
        </w:rPr>
        <w:t xml:space="preserve"> y bivariado para correlacionar las variables cuantitativas, utilizando la prueba no paramétrica de </w:t>
      </w:r>
      <w:proofErr w:type="spellStart"/>
      <w:r w:rsidRPr="00F163AD">
        <w:rPr>
          <w:rFonts w:ascii="Calibri" w:hAnsi="Calibri" w:cs="Calibri"/>
        </w:rPr>
        <w:t>Sperman</w:t>
      </w:r>
      <w:proofErr w:type="spellEnd"/>
      <w:r w:rsidRPr="00F163AD">
        <w:rPr>
          <w:rFonts w:ascii="Calibri" w:hAnsi="Calibri" w:cs="Calibri"/>
        </w:rPr>
        <w:t xml:space="preserve">, dado que las variables no presentaron distribución normal. Para las diferencias en las mediciones de diástasis según el IMC, se empleó la prueba de </w:t>
      </w:r>
      <w:proofErr w:type="spellStart"/>
      <w:r w:rsidRPr="00F163AD">
        <w:rPr>
          <w:rFonts w:ascii="Calibri" w:hAnsi="Calibri" w:cs="Calibri"/>
        </w:rPr>
        <w:t>Kruskall</w:t>
      </w:r>
      <w:proofErr w:type="spellEnd"/>
      <w:r w:rsidRPr="00F163AD">
        <w:rPr>
          <w:rFonts w:ascii="Calibri" w:hAnsi="Calibri" w:cs="Calibri"/>
        </w:rPr>
        <w:t xml:space="preserve"> – Wallis, y para el análisis entre la medición de la diástasis y el tipo de parto, se utilizó la prueba no paramétrica de Wilcoxon- Mann Whitney.</w:t>
      </w:r>
    </w:p>
    <w:p w14:paraId="1BDB3BA5" w14:textId="77777777" w:rsidR="00256823" w:rsidRPr="00F163AD" w:rsidRDefault="00256823" w:rsidP="00BB730E">
      <w:pPr>
        <w:spacing w:line="360" w:lineRule="auto"/>
        <w:jc w:val="both"/>
        <w:rPr>
          <w:rFonts w:ascii="Calibri" w:hAnsi="Calibri" w:cs="Calibri"/>
        </w:rPr>
      </w:pPr>
      <w:r w:rsidRPr="00F163AD">
        <w:rPr>
          <w:rFonts w:ascii="Calibri" w:hAnsi="Calibri" w:cs="Calibri"/>
        </w:rPr>
        <w:t xml:space="preserve">Los datos se tabularon en una planilla de Excel y se analizaron con el software estadístico Stata V.14. El nivel de significancia utilizado para todas las pruebas fue de un a=0,05. Por </w:t>
      </w:r>
      <w:r w:rsidRPr="00F163AD">
        <w:rPr>
          <w:rFonts w:ascii="Calibri" w:hAnsi="Calibri" w:cs="Calibri"/>
        </w:rPr>
        <w:lastRenderedPageBreak/>
        <w:t>último, para resguardar la confidencialidad de los datos, los resultados se registraron de manera codificada, asegurando la anonimidad de las pacientes.</w:t>
      </w:r>
    </w:p>
    <w:p w14:paraId="1BDB3BA6" w14:textId="77777777" w:rsidR="00256823" w:rsidRPr="00F163AD" w:rsidRDefault="00256823" w:rsidP="00A40A0C">
      <w:pPr>
        <w:pStyle w:val="Ttulo1"/>
      </w:pPr>
      <w:r w:rsidRPr="00F163AD">
        <w:t>RESULTADOS</w:t>
      </w:r>
    </w:p>
    <w:p w14:paraId="1BDB3BA7" w14:textId="77777777" w:rsidR="00256823" w:rsidRPr="00F163AD" w:rsidRDefault="00256823" w:rsidP="00BB730E">
      <w:pPr>
        <w:spacing w:line="360" w:lineRule="auto"/>
        <w:jc w:val="both"/>
        <w:rPr>
          <w:rFonts w:ascii="Calibri" w:hAnsi="Calibri" w:cs="Calibri"/>
        </w:rPr>
      </w:pPr>
      <w:r w:rsidRPr="00F163AD">
        <w:rPr>
          <w:rFonts w:ascii="Calibri" w:hAnsi="Calibri" w:cs="Calibri"/>
        </w:rPr>
        <w:t xml:space="preserve">La muestra estuvo conformada por 99 usuarias, con una edad promedio de 29±6 años (Min 18-Máx. 41). Se determinó el estado nutricional y el tipo de parto de las participantes. En cuanto al estado nutricional, se encontró que el 34,3 % (n=34) presentaron sobrepeso y el 44,4 % (n=44) obesidad, con un aumento de peso promedio durante la gestación de 8,7 kg (Min 5- </w:t>
      </w:r>
      <w:proofErr w:type="spellStart"/>
      <w:r w:rsidRPr="00F163AD">
        <w:rPr>
          <w:rFonts w:ascii="Calibri" w:hAnsi="Calibri" w:cs="Calibri"/>
        </w:rPr>
        <w:t>Máx</w:t>
      </w:r>
      <w:proofErr w:type="spellEnd"/>
      <w:r w:rsidRPr="00F163AD">
        <w:rPr>
          <w:rFonts w:ascii="Calibri" w:hAnsi="Calibri" w:cs="Calibri"/>
        </w:rPr>
        <w:t xml:space="preserve"> 24). Respecto al tipo de parto, se observó que el 52,5 % (n=52) tuvo cesárea. Además, se relacionaron el tipo de parto y el estado nutricional con la medición de la diástasis abdominal, obteniendo un nivel de significancia mayor a 0,05. Ver Tabla I y II.</w:t>
      </w:r>
    </w:p>
    <w:p w14:paraId="1BDB3BA8" w14:textId="77777777" w:rsidR="00256823" w:rsidRPr="00F163AD" w:rsidRDefault="00256823" w:rsidP="00BB730E">
      <w:pPr>
        <w:spacing w:line="360" w:lineRule="auto"/>
        <w:jc w:val="both"/>
        <w:rPr>
          <w:rFonts w:ascii="Calibri" w:hAnsi="Calibri" w:cs="Calibri"/>
        </w:rPr>
      </w:pPr>
      <w:r w:rsidRPr="00F163AD">
        <w:rPr>
          <w:rFonts w:ascii="Calibri" w:hAnsi="Calibri" w:cs="Calibri"/>
        </w:rPr>
        <w:t xml:space="preserve">En las mediciones de la diástasis abdominal, se observó que la medición supraumbilical tuvo un promedio de 1,92±0,79 cm, a nivel umbilical también fue de 1,92±0,79 cm, mientras que, a nivel infraumbilical, el promedio de la diástasis fue de 1,63±0,76 cm. Ver Tabla III. </w:t>
      </w:r>
    </w:p>
    <w:p w14:paraId="1BDB3BA9" w14:textId="77777777" w:rsidR="00256823" w:rsidRPr="00F163AD" w:rsidRDefault="00256823" w:rsidP="00BB730E">
      <w:pPr>
        <w:spacing w:line="360" w:lineRule="auto"/>
        <w:jc w:val="both"/>
        <w:rPr>
          <w:rFonts w:ascii="Calibri" w:hAnsi="Calibri" w:cs="Calibri"/>
        </w:rPr>
      </w:pPr>
      <w:r w:rsidRPr="00F163AD">
        <w:rPr>
          <w:rFonts w:ascii="Calibri" w:hAnsi="Calibri" w:cs="Calibri"/>
        </w:rPr>
        <w:t>La investigación determinó la actividad sexual de las mujeres en el postparto parto, revelando que el 72,7 % de las participantes había mantenido actividad sexual en las últimas cuatro semanas. Dentro de los dominios evaluados, la satisfacción sexual tuvo un promedio de 5,3</w:t>
      </w:r>
      <w:r w:rsidRPr="00F163AD">
        <w:rPr>
          <w:rFonts w:ascii="Calibri" w:eastAsia="Symbol" w:hAnsi="Calibri" w:cs="Calibri"/>
        </w:rPr>
        <w:t>±</w:t>
      </w:r>
      <w:r w:rsidRPr="00F163AD">
        <w:rPr>
          <w:rFonts w:ascii="Calibri" w:hAnsi="Calibri" w:cs="Calibri"/>
        </w:rPr>
        <w:t>0,9 y la lubricación un promedio de 4,9</w:t>
      </w:r>
      <w:r w:rsidRPr="00F163AD">
        <w:rPr>
          <w:rFonts w:ascii="Calibri" w:eastAsia="Symbol" w:hAnsi="Calibri" w:cs="Calibri"/>
        </w:rPr>
        <w:t>±</w:t>
      </w:r>
      <w:r w:rsidRPr="00F163AD">
        <w:rPr>
          <w:rFonts w:ascii="Calibri" w:hAnsi="Calibri" w:cs="Calibri"/>
        </w:rPr>
        <w:t>1,1. El puntaje del Índice de la función sexual femenina fue de 27,5</w:t>
      </w:r>
      <w:r w:rsidRPr="00F163AD">
        <w:rPr>
          <w:rFonts w:ascii="Calibri" w:eastAsia="Symbol" w:hAnsi="Calibri" w:cs="Calibri"/>
        </w:rPr>
        <w:t>±</w:t>
      </w:r>
      <w:r w:rsidRPr="00F163AD">
        <w:rPr>
          <w:rFonts w:ascii="Calibri" w:hAnsi="Calibri" w:cs="Calibri"/>
        </w:rPr>
        <w:t>4 aplicable al 72,7 % de la muestra, ya que el 27,3 % no había tenido actividad sexual después del parto. Los detalles se presentan en la Tabla IV.</w:t>
      </w:r>
    </w:p>
    <w:p w14:paraId="1BDB3BAA" w14:textId="77777777" w:rsidR="00256823" w:rsidRPr="00F163AD" w:rsidRDefault="00256823" w:rsidP="00BB730E">
      <w:pPr>
        <w:spacing w:line="360" w:lineRule="auto"/>
        <w:jc w:val="both"/>
        <w:rPr>
          <w:rFonts w:ascii="Calibri" w:hAnsi="Calibri" w:cs="Calibri"/>
        </w:rPr>
      </w:pPr>
      <w:r w:rsidRPr="00F163AD">
        <w:rPr>
          <w:rFonts w:ascii="Calibri" w:hAnsi="Calibri" w:cs="Calibri"/>
        </w:rPr>
        <w:t>Al correlacionar las mediciones de diástasis con los dominios y puntaje del Índice de Función Sexual Femenina, se encontraron correlaciones con p-valores estadísticamente significativos. En particular, se identificó una correlación significativa entre la medición de diástasis a nivel umbilical y el dominio dolor, con un p-valor de 0,0496 y un coeficiente de correlación positivo de 0,2523. Además, se encontró una correlación estadísticamente significativa entre la medición de diástasis a nivel infraumbilical y el dominio satisfacción, con un p-valor 0,0216 y un coeficiente de correlación negativo (inverso) de -0,2704. Ver Tabla V.</w:t>
      </w:r>
    </w:p>
    <w:p w14:paraId="1BDB3BAB" w14:textId="77777777" w:rsidR="00256823" w:rsidRPr="00A40A0C" w:rsidRDefault="00256823" w:rsidP="00A40A0C">
      <w:pPr>
        <w:pStyle w:val="Ttulo1"/>
      </w:pPr>
      <w:r w:rsidRPr="00A40A0C">
        <w:lastRenderedPageBreak/>
        <w:t>DISCUSIÓN</w:t>
      </w:r>
    </w:p>
    <w:p w14:paraId="1BDB3BAC" w14:textId="77777777" w:rsidR="00256823" w:rsidRPr="00F163AD" w:rsidRDefault="00256823" w:rsidP="00BB730E">
      <w:pPr>
        <w:spacing w:line="360" w:lineRule="auto"/>
        <w:jc w:val="both"/>
        <w:rPr>
          <w:rFonts w:ascii="Calibri" w:eastAsia="Times" w:hAnsi="Calibri" w:cs="Calibri"/>
        </w:rPr>
      </w:pPr>
      <w:r w:rsidRPr="00F163AD">
        <w:rPr>
          <w:rFonts w:ascii="Calibri" w:eastAsia="Times" w:hAnsi="Calibri" w:cs="Calibri"/>
        </w:rPr>
        <w:t>Se determinó el tipo de parto, predominando la vía cesárea con un 52,5 %, lo que supera la tasa a nivel nacional que indica un 47,7 %</w:t>
      </w:r>
      <w:r w:rsidRPr="00F163AD">
        <w:rPr>
          <w:rFonts w:ascii="Calibri" w:eastAsia="Times" w:hAnsi="Calibri" w:cs="Calibri"/>
          <w:vertAlign w:val="superscript"/>
        </w:rPr>
        <w:t>22</w:t>
      </w:r>
      <w:r w:rsidRPr="00F163AD">
        <w:rPr>
          <w:rFonts w:ascii="Calibri" w:eastAsia="Times" w:hAnsi="Calibri" w:cs="Calibri"/>
        </w:rPr>
        <w:t>. Esta variable no se relacionó con la medición de la diástasis abdominal, lo que</w:t>
      </w:r>
      <w:r w:rsidRPr="00F163AD">
        <w:rPr>
          <w:rFonts w:ascii="Calibri" w:eastAsia="Times New Roman" w:hAnsi="Calibri" w:cs="Calibri"/>
        </w:rPr>
        <w:t xml:space="preserve"> difiere de un estudio realizado en mujeres de China, donde se </w:t>
      </w:r>
      <w:r w:rsidRPr="00F163AD">
        <w:rPr>
          <w:rFonts w:ascii="Calibri" w:eastAsia="Times" w:hAnsi="Calibri" w:cs="Calibri"/>
        </w:rPr>
        <w:t>encontró que aquellas que se habían sometido a una cesárea presentaban más riesgo de padecer diástasis de rectos abdominales (DRA) posparto</w:t>
      </w:r>
      <w:r w:rsidRPr="00F163AD">
        <w:rPr>
          <w:rFonts w:ascii="Calibri" w:eastAsia="Times" w:hAnsi="Calibri" w:cs="Calibri"/>
          <w:vertAlign w:val="superscript"/>
        </w:rPr>
        <w:t>9,10</w:t>
      </w:r>
      <w:r w:rsidRPr="00F163AD">
        <w:rPr>
          <w:rFonts w:ascii="Calibri" w:eastAsia="Times" w:hAnsi="Calibri" w:cs="Calibri"/>
        </w:rPr>
        <w:t xml:space="preserve">. En contraposición, se observó que la diástasis de los rectos abdominales no difiere en relación con el peso </w:t>
      </w:r>
      <w:r w:rsidRPr="00F163AD">
        <w:rPr>
          <w:rFonts w:ascii="Calibri" w:eastAsia="Times New Roman" w:hAnsi="Calibri" w:cs="Calibri"/>
        </w:rPr>
        <w:t>ni con el aumento de peso durante la gestación</w:t>
      </w:r>
      <w:r w:rsidRPr="00F163AD">
        <w:rPr>
          <w:rFonts w:ascii="Calibri" w:eastAsia="Times" w:hAnsi="Calibri" w:cs="Calibri"/>
        </w:rPr>
        <w:t xml:space="preserve">. En nuestro estudio, se describe que el 78,7 % de las participantes tiene sobrepeso y obesidad, lo que se pensaba que podría ser un factor para desarrollar diástasis abdominal. Sin embargo, la relación entre ambas variables no fue significativa, al igual que en la población china, coincidiendo que ambas poblaciones tienen una altura similar. </w:t>
      </w:r>
    </w:p>
    <w:p w14:paraId="1BDB3BAD" w14:textId="77777777" w:rsidR="00256823" w:rsidRPr="00F163AD" w:rsidRDefault="00256823" w:rsidP="00BB730E">
      <w:pPr>
        <w:spacing w:line="360" w:lineRule="auto"/>
        <w:jc w:val="both"/>
        <w:rPr>
          <w:rFonts w:ascii="Calibri" w:eastAsia="Times New Roman" w:hAnsi="Calibri" w:cs="Calibri"/>
        </w:rPr>
      </w:pPr>
      <w:r w:rsidRPr="00F163AD">
        <w:rPr>
          <w:rFonts w:ascii="Calibri" w:eastAsia="Times" w:hAnsi="Calibri" w:cs="Calibri"/>
        </w:rPr>
        <w:t>La clasificación de la medición de diástasis abdominal sigue siendo un desafío. Se ha descrito que una medición anormal debería considerarse un valor superior a 2,0 o 2,5 cm, estimación concluida en la valoración de la población de Canadá, Noruega y Polonia, cuyas mujeres presentaban características antropométricas muy dispares a las de la población chilena</w:t>
      </w:r>
      <w:r w:rsidRPr="00F163AD">
        <w:rPr>
          <w:rFonts w:ascii="Calibri" w:eastAsia="Times" w:hAnsi="Calibri" w:cs="Calibri"/>
          <w:vertAlign w:val="superscript"/>
        </w:rPr>
        <w:t>1,6,7,23</w:t>
      </w:r>
      <w:r w:rsidRPr="00F163AD">
        <w:rPr>
          <w:rFonts w:ascii="Calibri" w:eastAsia="Times" w:hAnsi="Calibri" w:cs="Calibri"/>
        </w:rPr>
        <w:t xml:space="preserve">. Esto puede explicar la discordancia en estos resultados, ya que en nuestro estudio la medición promedio de la </w:t>
      </w:r>
      <w:r w:rsidRPr="00F163AD">
        <w:rPr>
          <w:rFonts w:ascii="Calibri" w:eastAsia="Times New Roman" w:hAnsi="Calibri" w:cs="Calibri"/>
        </w:rPr>
        <w:t>diástasis</w:t>
      </w:r>
      <w:r w:rsidRPr="00F163AD">
        <w:rPr>
          <w:rFonts w:ascii="Calibri" w:eastAsia="Times" w:hAnsi="Calibri" w:cs="Calibri"/>
        </w:rPr>
        <w:t xml:space="preserve"> supra y umbilical fue de 1,92 cm, mientras que el promedio del </w:t>
      </w:r>
      <w:r w:rsidRPr="00F163AD">
        <w:rPr>
          <w:rFonts w:ascii="Calibri" w:eastAsia="Times New Roman" w:hAnsi="Calibri" w:cs="Calibri"/>
        </w:rPr>
        <w:t xml:space="preserve">nivel infraumbilical fue de 1,63 cm. </w:t>
      </w:r>
    </w:p>
    <w:p w14:paraId="1BDB3BAE" w14:textId="77777777" w:rsidR="00256823" w:rsidRPr="00F163AD" w:rsidRDefault="00256823" w:rsidP="00BB730E">
      <w:pPr>
        <w:spacing w:line="360" w:lineRule="auto"/>
        <w:jc w:val="both"/>
        <w:rPr>
          <w:rFonts w:ascii="Calibri" w:hAnsi="Calibri" w:cs="Calibri"/>
        </w:rPr>
      </w:pPr>
      <w:r w:rsidRPr="00F163AD">
        <w:rPr>
          <w:rFonts w:ascii="Calibri" w:eastAsia="Times" w:hAnsi="Calibri" w:cs="Calibri"/>
        </w:rPr>
        <w:t>El índice de función sexual en el postparto se ha estudiado en mujeres de diversas regiones, coincidiendo en que, tras el parto, se observa un deterioro en la función sexual femenina. Este deterioro se ha evaluado mediante el instrumento FSFI, donde se indica que las puntuaciones medias del FSFI están debajo del puntaje crítico de 26,55</w:t>
      </w:r>
      <w:r w:rsidRPr="00F163AD">
        <w:rPr>
          <w:rFonts w:ascii="Calibri" w:eastAsia="Times" w:hAnsi="Calibri" w:cs="Calibri"/>
          <w:vertAlign w:val="superscript"/>
        </w:rPr>
        <w:t>24,25</w:t>
      </w:r>
      <w:r w:rsidRPr="00F163AD">
        <w:rPr>
          <w:rFonts w:ascii="Calibri" w:eastAsia="Times" w:hAnsi="Calibri" w:cs="Calibri"/>
          <w:vertAlign w:val="subscript"/>
        </w:rPr>
        <w:t>.</w:t>
      </w:r>
      <w:r w:rsidRPr="00F163AD">
        <w:rPr>
          <w:rFonts w:ascii="Calibri" w:eastAsia="Times" w:hAnsi="Calibri" w:cs="Calibri"/>
          <w:vertAlign w:val="superscript"/>
        </w:rPr>
        <w:t xml:space="preserve"> </w:t>
      </w:r>
      <w:r w:rsidRPr="00F163AD">
        <w:rPr>
          <w:rFonts w:ascii="Calibri" w:eastAsia="Times" w:hAnsi="Calibri" w:cs="Calibri"/>
        </w:rPr>
        <w:t xml:space="preserve">Lo que es muy similar a nuestro estudio con un </w:t>
      </w:r>
      <w:r w:rsidRPr="00F163AD">
        <w:rPr>
          <w:rFonts w:ascii="Calibri" w:hAnsi="Calibri" w:cs="Calibri"/>
        </w:rPr>
        <w:t>27,5</w:t>
      </w:r>
      <w:r w:rsidRPr="00F163AD">
        <w:rPr>
          <w:rFonts w:ascii="Calibri" w:eastAsia="Symbol" w:hAnsi="Calibri" w:cs="Calibri"/>
        </w:rPr>
        <w:t>±</w:t>
      </w:r>
      <w:r w:rsidRPr="00F163AD">
        <w:rPr>
          <w:rFonts w:ascii="Calibri" w:hAnsi="Calibri" w:cs="Calibri"/>
        </w:rPr>
        <w:t>4 de puntaje en el índice de función femenina, con el dominio de mayor compromiso en el deseo y dolor, lo cual coincide con la literatura.</w:t>
      </w:r>
      <w:r w:rsidRPr="00F163AD">
        <w:rPr>
          <w:rFonts w:ascii="Calibri" w:hAnsi="Calibri" w:cs="Calibri"/>
          <w:vertAlign w:val="superscript"/>
        </w:rPr>
        <w:t>16,17,18.</w:t>
      </w:r>
      <w:r w:rsidRPr="00F163AD">
        <w:rPr>
          <w:rFonts w:ascii="Calibri" w:hAnsi="Calibri" w:cs="Calibri"/>
        </w:rPr>
        <w:t xml:space="preserve"> </w:t>
      </w:r>
    </w:p>
    <w:p w14:paraId="1BDB3BAF" w14:textId="77777777" w:rsidR="00256823" w:rsidRPr="00F163AD" w:rsidRDefault="00256823" w:rsidP="00BB730E">
      <w:pPr>
        <w:spacing w:line="360" w:lineRule="auto"/>
        <w:jc w:val="both"/>
        <w:rPr>
          <w:rFonts w:ascii="Calibri" w:eastAsia="Times" w:hAnsi="Calibri" w:cs="Calibri"/>
        </w:rPr>
      </w:pPr>
      <w:r w:rsidRPr="00F163AD">
        <w:rPr>
          <w:rFonts w:ascii="Calibri" w:hAnsi="Calibri" w:cs="Calibri"/>
        </w:rPr>
        <w:t xml:space="preserve">Cabe destacar que, </w:t>
      </w:r>
      <w:r w:rsidRPr="00F163AD">
        <w:rPr>
          <w:rFonts w:ascii="Calibri" w:eastAsia="Times New Roman" w:hAnsi="Calibri" w:cs="Calibri"/>
        </w:rPr>
        <w:t>a pesar de estas alteraciones</w:t>
      </w:r>
      <w:r w:rsidRPr="00F163AD">
        <w:rPr>
          <w:rFonts w:ascii="Calibri" w:hAnsi="Calibri" w:cs="Calibri"/>
        </w:rPr>
        <w:t xml:space="preserve">, el dominio de la satisfacción sexual se mantiene relativamente alto, lo que se puede explicarse a través del modelo de </w:t>
      </w:r>
      <w:proofErr w:type="spellStart"/>
      <w:r w:rsidRPr="00F163AD">
        <w:rPr>
          <w:rFonts w:ascii="Calibri" w:hAnsi="Calibri" w:cs="Calibri"/>
        </w:rPr>
        <w:t>Basson</w:t>
      </w:r>
      <w:proofErr w:type="spellEnd"/>
      <w:r w:rsidRPr="00F163AD">
        <w:rPr>
          <w:rFonts w:ascii="Calibri" w:hAnsi="Calibri" w:cs="Calibri"/>
        </w:rPr>
        <w:t xml:space="preserve">, que sugiere que la motivación de la mujer para tener relaciones sexuales es fundamental para </w:t>
      </w:r>
      <w:r w:rsidRPr="00F163AD">
        <w:rPr>
          <w:rFonts w:ascii="Calibri" w:hAnsi="Calibri" w:cs="Calibri"/>
        </w:rPr>
        <w:lastRenderedPageBreak/>
        <w:t>su percepción de la respuesta sexual</w:t>
      </w:r>
      <w:r w:rsidRPr="00F163AD">
        <w:rPr>
          <w:rFonts w:ascii="Calibri" w:hAnsi="Calibri" w:cs="Calibri"/>
          <w:vertAlign w:val="superscript"/>
        </w:rPr>
        <w:t>26</w:t>
      </w:r>
      <w:r w:rsidRPr="00F163AD">
        <w:rPr>
          <w:rFonts w:ascii="Calibri" w:eastAsia="Times" w:hAnsi="Calibri" w:cs="Calibri"/>
        </w:rPr>
        <w:t>.  Además, en nuestro estudio relacionamos el índice de función sexual femenina con la diástasis abdominal, dado que los músculos rectos abdominales influyen en el funcionamiento del piso pélvico</w:t>
      </w:r>
      <w:r w:rsidRPr="00F163AD">
        <w:rPr>
          <w:rFonts w:ascii="Calibri" w:eastAsia="Times" w:hAnsi="Calibri" w:cs="Calibri"/>
          <w:vertAlign w:val="superscript"/>
        </w:rPr>
        <w:t>27</w:t>
      </w:r>
      <w:r w:rsidRPr="00F163AD">
        <w:rPr>
          <w:rFonts w:ascii="Calibri" w:eastAsia="Times" w:hAnsi="Calibri" w:cs="Calibri"/>
        </w:rPr>
        <w:t xml:space="preserve">. Encontramos una relación estadísticamente significativa entre el índice de función sexual femenina y el dominio del dolor, aunque este hallazgo se sitúa cerca de </w:t>
      </w:r>
      <w:r w:rsidRPr="00F163AD">
        <w:rPr>
          <w:rFonts w:ascii="Calibri" w:eastAsia="Times New Roman" w:hAnsi="Calibri" w:cs="Calibri"/>
        </w:rPr>
        <w:t xml:space="preserve">la incertidumbre, lo que indica la necesidad de ser cautelosos al interpretar estos datos. </w:t>
      </w:r>
    </w:p>
    <w:p w14:paraId="1BDB3BB0" w14:textId="77777777" w:rsidR="00256823" w:rsidRPr="00F163AD" w:rsidRDefault="00256823" w:rsidP="00BB730E">
      <w:pPr>
        <w:spacing w:line="360" w:lineRule="auto"/>
        <w:jc w:val="both"/>
        <w:rPr>
          <w:rFonts w:ascii="Calibri" w:eastAsia="Times New Roman" w:hAnsi="Calibri" w:cs="Calibri"/>
        </w:rPr>
      </w:pPr>
      <w:r w:rsidRPr="00F163AD">
        <w:rPr>
          <w:rFonts w:ascii="Calibri" w:eastAsia="Times New Roman" w:hAnsi="Calibri" w:cs="Calibri"/>
        </w:rPr>
        <w:t xml:space="preserve">También se analizó el dominio de la satisfacción sexual, mostrando </w:t>
      </w:r>
      <w:r w:rsidRPr="00F163AD">
        <w:rPr>
          <w:rFonts w:ascii="Calibri" w:eastAsia="Times" w:hAnsi="Calibri" w:cs="Calibri"/>
        </w:rPr>
        <w:t>una relación inversa estadísticamente significativa con</w:t>
      </w:r>
      <w:r w:rsidRPr="00F163AD">
        <w:rPr>
          <w:rFonts w:ascii="Calibri" w:eastAsia="Times New Roman" w:hAnsi="Calibri" w:cs="Calibri"/>
        </w:rPr>
        <w:t xml:space="preserve"> la diástasis abdominal y un coeficiente de correlación negativo. Esto es relevante, ya que sugiere que la satisfacción sexual está estrechamente relacionada con el grado de diástasis de los músculos rectos abdominales, lo que podría ser considerado en el control postparto. L</w:t>
      </w:r>
      <w:r w:rsidRPr="00F163AD">
        <w:rPr>
          <w:rFonts w:ascii="Calibri" w:eastAsia="Times" w:hAnsi="Calibri" w:cs="Calibri"/>
        </w:rPr>
        <w:t xml:space="preserve">amentablemente, no contamos con parámetros para relacionar estos resultados con otros estudios, dado que no se han explorado estas variables en conjunto. No obstante, se ha investigado la función sexual y los resultados postratamiento quirúrgico de la diástasis de los rectos abdominales, encontrando que las mujeres que se sometieron a </w:t>
      </w:r>
      <w:r w:rsidRPr="00F163AD">
        <w:rPr>
          <w:rFonts w:ascii="Calibri" w:eastAsia="Times New Roman" w:hAnsi="Calibri" w:cs="Calibri"/>
        </w:rPr>
        <w:t>corrección quirúrgica experimentaron una mejora estadísticamente significativa en su función sexual</w:t>
      </w:r>
      <w:r w:rsidRPr="00F163AD">
        <w:rPr>
          <w:rFonts w:ascii="Calibri" w:eastAsia="Times New Roman" w:hAnsi="Calibri" w:cs="Calibri"/>
          <w:vertAlign w:val="superscript"/>
        </w:rPr>
        <w:t>12</w:t>
      </w:r>
      <w:r w:rsidRPr="00F163AD">
        <w:rPr>
          <w:rFonts w:ascii="Calibri" w:eastAsia="Times New Roman" w:hAnsi="Calibri" w:cs="Calibri"/>
        </w:rPr>
        <w:t>. Esto refuerza la necesidad de investigar estas variables, ya que el ejercicio del suelo pélvico podría mejorar la función sexual, siendo una estrategia valiosa para abordar la disfunción muscular</w:t>
      </w:r>
      <w:r w:rsidRPr="00F163AD">
        <w:rPr>
          <w:rFonts w:ascii="Calibri" w:eastAsia="Times New Roman" w:hAnsi="Calibri" w:cs="Calibri"/>
          <w:vertAlign w:val="superscript"/>
        </w:rPr>
        <w:t>27</w:t>
      </w:r>
      <w:r w:rsidRPr="00F163AD">
        <w:rPr>
          <w:rFonts w:ascii="Calibri" w:eastAsia="Times New Roman" w:hAnsi="Calibri" w:cs="Calibri"/>
        </w:rPr>
        <w:t>.</w:t>
      </w:r>
    </w:p>
    <w:p w14:paraId="1BDB3BB1" w14:textId="77777777" w:rsidR="00256823" w:rsidRPr="00F163AD" w:rsidRDefault="00256823" w:rsidP="00A40A0C">
      <w:pPr>
        <w:pStyle w:val="Ttulo1"/>
      </w:pPr>
      <w:r w:rsidRPr="00F163AD">
        <w:t>CONCLUSIÓN</w:t>
      </w:r>
    </w:p>
    <w:p w14:paraId="1BDB3BB2" w14:textId="77777777" w:rsidR="00256823" w:rsidRPr="00F163AD" w:rsidRDefault="00256823" w:rsidP="00BB730E">
      <w:pPr>
        <w:shd w:val="clear" w:color="auto" w:fill="FFFFFF" w:themeFill="background1"/>
        <w:spacing w:line="360" w:lineRule="auto"/>
        <w:jc w:val="both"/>
        <w:rPr>
          <w:rFonts w:ascii="Calibri" w:eastAsia="Times New Roman" w:hAnsi="Calibri" w:cs="Calibri"/>
        </w:rPr>
      </w:pPr>
      <w:r w:rsidRPr="00F163AD">
        <w:rPr>
          <w:rFonts w:ascii="Calibri" w:eastAsia="Times New Roman" w:hAnsi="Calibri" w:cs="Calibri"/>
        </w:rPr>
        <w:t>La mayor parte de la muestra en este estudio presenta una mala nutrición por exceso y la modalidad de parto que predominó fue la cesárea. Aunque estas variables no mostraron relación con la DRA se recomienda seguir investigando en estos factores de riesgo y sus efectos en la salud pélvica y sexual de la mujer, especialmente en Latinoamérica, ya que los escasos estudios están en su mayoría en población europea. Dicha población presenta diferencias biológicas y socioculturales que podrían estar relacionadas con la diástasis de los rectos abdominales y la función sexual femenina.</w:t>
      </w:r>
    </w:p>
    <w:p w14:paraId="1BDB3BB3" w14:textId="77777777" w:rsidR="00256823" w:rsidRPr="00F163AD" w:rsidRDefault="00256823" w:rsidP="00BB730E">
      <w:pPr>
        <w:shd w:val="clear" w:color="auto" w:fill="FFFFFF" w:themeFill="background1"/>
        <w:spacing w:line="360" w:lineRule="auto"/>
        <w:jc w:val="both"/>
        <w:rPr>
          <w:rFonts w:ascii="Calibri" w:eastAsia="Times New Roman" w:hAnsi="Calibri" w:cs="Calibri"/>
        </w:rPr>
      </w:pPr>
      <w:r w:rsidRPr="00F163AD">
        <w:rPr>
          <w:rFonts w:ascii="Calibri" w:eastAsia="Times New Roman" w:hAnsi="Calibri" w:cs="Calibri"/>
        </w:rPr>
        <w:t xml:space="preserve">Si bien la medición a través de la palpación con los dedos es una técnica sencilla, es fundamental que sea realizada por un profesional capacitado. La palpación es una </w:t>
      </w:r>
      <w:r w:rsidRPr="00F163AD">
        <w:rPr>
          <w:rFonts w:ascii="Calibri" w:eastAsia="Times New Roman" w:hAnsi="Calibri" w:cs="Calibri"/>
        </w:rPr>
        <w:lastRenderedPageBreak/>
        <w:t>modalidad de bajo costo que, aunque no supera la evaluación por ultrasonografía, puede ser una excelente forma de detección precoz y masiva en los controles postparto.</w:t>
      </w:r>
    </w:p>
    <w:p w14:paraId="1BDB3BB4" w14:textId="77777777" w:rsidR="00256823" w:rsidRPr="00F163AD" w:rsidRDefault="00256823" w:rsidP="00BB730E">
      <w:pPr>
        <w:shd w:val="clear" w:color="auto" w:fill="FFFFFF" w:themeFill="background1"/>
        <w:spacing w:line="360" w:lineRule="auto"/>
        <w:jc w:val="both"/>
        <w:rPr>
          <w:rFonts w:ascii="Calibri" w:eastAsia="Times New Roman" w:hAnsi="Calibri" w:cs="Calibri"/>
        </w:rPr>
      </w:pPr>
      <w:r w:rsidRPr="00F163AD">
        <w:rPr>
          <w:rFonts w:ascii="Calibri" w:eastAsia="Times New Roman" w:hAnsi="Calibri" w:cs="Calibri"/>
        </w:rPr>
        <w:t>Un hallazgo innovador en este estudio es la evaluación de la función sexual femenina. Los resultados de cada dominio coinciden con lo descrito en la literatura, que indica cambios en el funcionamiento sexual femenino. Sin embargo, no existe una relación documentada entre esta condición y la diástasis de los rectos abdominales. En nuestro estudio, encontramos una relación estadística significativa entre el funcionamiento sexual femenino y la diástasis abdominal, especialmente en el dominio de la satisfacción. La DRA podría comprometer estos dominios, generando una insatisfacción en las mujeres en postparto. Debido a la multicausalidad de la satisfacción sexual, invitamos a otros investigadores a explorar estas condiciones, ya que los efectos de la diástasis abdominal de los rectos aún no están completamente dilucidados.</w:t>
      </w:r>
    </w:p>
    <w:p w14:paraId="1BDB3BB7" w14:textId="41221799" w:rsidR="00256823" w:rsidRPr="00A40A0C" w:rsidRDefault="00256823" w:rsidP="00BB730E">
      <w:pPr>
        <w:shd w:val="clear" w:color="auto" w:fill="FFFFFF" w:themeFill="background1"/>
        <w:spacing w:line="360" w:lineRule="auto"/>
        <w:jc w:val="both"/>
        <w:rPr>
          <w:rFonts w:ascii="Calibri" w:eastAsia="Times New Roman" w:hAnsi="Calibri" w:cs="Calibri"/>
        </w:rPr>
      </w:pPr>
      <w:r w:rsidRPr="00F163AD">
        <w:rPr>
          <w:rFonts w:ascii="Calibri" w:eastAsia="Times New Roman" w:hAnsi="Calibri" w:cs="Calibri"/>
        </w:rPr>
        <w:t>Una limitación de nuestro estudio es que no se conocía la función sexual previa a la gestación o durante este periodo, información que sería valiosa para comparar las diferencias en cada etapa y los cambios que presenta la mujer. También sería importante incluir en la evaluación los antecedentes de partos anteriores y el peso fetal. No obstante, nuestros resultados destacan la importancia de evaluar el funcionamiento sexual en el posparto, así como la posibilidad de detectar la diástasis de los rectos abdominales de manera precoz. Educar a nuestras usuarias sobre el ejercicio preconcepcional y postparto, así como mantener un estilo de vida saludable, podrían ser factores clave para mejorar la calidad de vida ginecológica de las mujeres. Además, se sugiere ampliar los estudios sobre esta temática a mujeres en otras etapas, como la perimenopausia y la menopausia.</w:t>
      </w:r>
    </w:p>
    <w:p w14:paraId="1BDB3BB8" w14:textId="77777777" w:rsidR="00256823" w:rsidRPr="00F163AD" w:rsidRDefault="00256823" w:rsidP="00A40A0C">
      <w:pPr>
        <w:pStyle w:val="Ttulo1"/>
      </w:pPr>
      <w:r w:rsidRPr="00F163AD">
        <w:t xml:space="preserve">AGRADECIMIENTOS </w:t>
      </w:r>
    </w:p>
    <w:p w14:paraId="1BDB3BB9" w14:textId="77777777" w:rsidR="00256823" w:rsidRDefault="00256823" w:rsidP="00BB730E">
      <w:pPr>
        <w:shd w:val="clear" w:color="auto" w:fill="FFFFFF" w:themeFill="background1"/>
        <w:spacing w:line="360" w:lineRule="auto"/>
        <w:jc w:val="both"/>
        <w:rPr>
          <w:rFonts w:ascii="Calibri" w:eastAsia="Times New Roman" w:hAnsi="Calibri" w:cs="Calibri"/>
        </w:rPr>
      </w:pPr>
      <w:r w:rsidRPr="00F163AD">
        <w:rPr>
          <w:rFonts w:ascii="Calibri" w:eastAsia="Times New Roman" w:hAnsi="Calibri" w:cs="Calibri"/>
        </w:rPr>
        <w:t xml:space="preserve">Queremos expresar nuestro sincero agradecimiento al Servicio de Salud Arauco por su invaluable apoyo en este estudio. Extendemos nuestro reconocimiento a las matronas y matrones del CESFAM Eleuterio Ramírez, así como del Hospital de Curanilahue y del Hospital de Arauco, quienes nos permitieron tener acceso a las participantes que ingresaron al estudio. Además, estamos profundamente agradecidas por la confianza que depositaron las </w:t>
      </w:r>
      <w:r w:rsidRPr="00F163AD">
        <w:rPr>
          <w:rFonts w:ascii="Calibri" w:eastAsia="Times New Roman" w:hAnsi="Calibri" w:cs="Calibri"/>
        </w:rPr>
        <w:lastRenderedPageBreak/>
        <w:t>mujeres en nosotras al contribuir a esta investigación, con la esperanza de mejorar su salud sexual.</w:t>
      </w:r>
    </w:p>
    <w:p w14:paraId="520769A3" w14:textId="51A054AB" w:rsidR="00A40A0C" w:rsidRPr="00A40A0C" w:rsidRDefault="00A40A0C" w:rsidP="00A40A0C">
      <w:pPr>
        <w:pStyle w:val="Ttulo1"/>
        <w:rPr>
          <w:rFonts w:eastAsia="Times New Roman"/>
        </w:rPr>
      </w:pPr>
      <w:r w:rsidRPr="00A40A0C">
        <w:rPr>
          <w:rFonts w:eastAsia="Times New Roman"/>
        </w:rPr>
        <w:t>CONTRIBUCIÓN DE AUTORÍA</w:t>
      </w:r>
    </w:p>
    <w:p w14:paraId="016C75CC" w14:textId="77777777"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Conceptualización: Catalina A. Salas, Camila B. Guzmán, Fabiola I. Rubilar,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w:t>
      </w:r>
    </w:p>
    <w:p w14:paraId="38EFD5F2" w14:textId="77777777"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Curación de datos: Catalina A. Salas, Camila B. Guzmán, Fabiola I. Rubilar,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 y Judith </w:t>
      </w:r>
      <w:proofErr w:type="spellStart"/>
      <w:r w:rsidRPr="00A40A0C">
        <w:rPr>
          <w:rFonts w:ascii="Calibri" w:eastAsia="Times New Roman" w:hAnsi="Calibri" w:cs="Calibri"/>
        </w:rPr>
        <w:t>Ochar</w:t>
      </w:r>
      <w:proofErr w:type="spellEnd"/>
    </w:p>
    <w:p w14:paraId="63EF7FA7" w14:textId="77777777"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Análisis formal: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 y Judith </w:t>
      </w:r>
      <w:proofErr w:type="spellStart"/>
      <w:r w:rsidRPr="00A40A0C">
        <w:rPr>
          <w:rFonts w:ascii="Calibri" w:eastAsia="Times New Roman" w:hAnsi="Calibri" w:cs="Calibri"/>
        </w:rPr>
        <w:t>Ochar</w:t>
      </w:r>
      <w:proofErr w:type="spellEnd"/>
    </w:p>
    <w:p w14:paraId="76010DB2" w14:textId="77777777"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Investigación: Catalina A. Salas, Camila B. Guzmán, Fabiola I. Rubilar,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 y Judith </w:t>
      </w:r>
      <w:proofErr w:type="spellStart"/>
      <w:r w:rsidRPr="00A40A0C">
        <w:rPr>
          <w:rFonts w:ascii="Calibri" w:eastAsia="Times New Roman" w:hAnsi="Calibri" w:cs="Calibri"/>
        </w:rPr>
        <w:t>Ochar</w:t>
      </w:r>
      <w:proofErr w:type="spellEnd"/>
    </w:p>
    <w:p w14:paraId="21775250" w14:textId="77777777"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Metodología: Catalina A. Salas, Camila B. Guzmán, Fabiola I. Rubilar,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w:t>
      </w:r>
    </w:p>
    <w:p w14:paraId="799D8912" w14:textId="77777777"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Administración del proyecto: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 y Judith </w:t>
      </w:r>
      <w:proofErr w:type="spellStart"/>
      <w:r w:rsidRPr="00A40A0C">
        <w:rPr>
          <w:rFonts w:ascii="Calibri" w:eastAsia="Times New Roman" w:hAnsi="Calibri" w:cs="Calibri"/>
        </w:rPr>
        <w:t>Ochar</w:t>
      </w:r>
      <w:proofErr w:type="spellEnd"/>
    </w:p>
    <w:p w14:paraId="2BA078B8" w14:textId="77777777"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Recursos: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 y Judith </w:t>
      </w:r>
      <w:proofErr w:type="spellStart"/>
      <w:r w:rsidRPr="00A40A0C">
        <w:rPr>
          <w:rFonts w:ascii="Calibri" w:eastAsia="Times New Roman" w:hAnsi="Calibri" w:cs="Calibri"/>
        </w:rPr>
        <w:t>Ochar</w:t>
      </w:r>
      <w:proofErr w:type="spellEnd"/>
    </w:p>
    <w:p w14:paraId="4643E404" w14:textId="77777777"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Software: Catalina A. Salas, Camila B. Guzmán, Fabiola I. Rubilar,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w:t>
      </w:r>
    </w:p>
    <w:p w14:paraId="358F37A2" w14:textId="77777777"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Supervisión: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 y Judith </w:t>
      </w:r>
      <w:proofErr w:type="spellStart"/>
      <w:r w:rsidRPr="00A40A0C">
        <w:rPr>
          <w:rFonts w:ascii="Calibri" w:eastAsia="Times New Roman" w:hAnsi="Calibri" w:cs="Calibri"/>
        </w:rPr>
        <w:t>Ochar</w:t>
      </w:r>
      <w:proofErr w:type="spellEnd"/>
    </w:p>
    <w:p w14:paraId="525614F2" w14:textId="77777777"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Validación: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 y Judith </w:t>
      </w:r>
      <w:proofErr w:type="spellStart"/>
      <w:r w:rsidRPr="00A40A0C">
        <w:rPr>
          <w:rFonts w:ascii="Calibri" w:eastAsia="Times New Roman" w:hAnsi="Calibri" w:cs="Calibri"/>
        </w:rPr>
        <w:t>Ochar</w:t>
      </w:r>
      <w:proofErr w:type="spellEnd"/>
    </w:p>
    <w:p w14:paraId="4B6E729D" w14:textId="77777777"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Visualización: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 y Judith </w:t>
      </w:r>
      <w:proofErr w:type="spellStart"/>
      <w:r w:rsidRPr="00A40A0C">
        <w:rPr>
          <w:rFonts w:ascii="Calibri" w:eastAsia="Times New Roman" w:hAnsi="Calibri" w:cs="Calibri"/>
        </w:rPr>
        <w:t>Ochar</w:t>
      </w:r>
      <w:proofErr w:type="spellEnd"/>
    </w:p>
    <w:p w14:paraId="672FBDAF" w14:textId="77777777"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Redacción – borrador original: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 y Judith </w:t>
      </w:r>
      <w:proofErr w:type="spellStart"/>
      <w:r w:rsidRPr="00A40A0C">
        <w:rPr>
          <w:rFonts w:ascii="Calibri" w:eastAsia="Times New Roman" w:hAnsi="Calibri" w:cs="Calibri"/>
        </w:rPr>
        <w:t>Ochar</w:t>
      </w:r>
      <w:proofErr w:type="spellEnd"/>
    </w:p>
    <w:p w14:paraId="6287EBF6" w14:textId="2D8CDBCF" w:rsidR="00A40A0C" w:rsidRPr="00A40A0C" w:rsidRDefault="00A40A0C" w:rsidP="00A40A0C">
      <w:pPr>
        <w:pStyle w:val="Prrafodelista"/>
        <w:numPr>
          <w:ilvl w:val="0"/>
          <w:numId w:val="2"/>
        </w:numPr>
        <w:shd w:val="clear" w:color="auto" w:fill="FFFFFF" w:themeFill="background1"/>
        <w:spacing w:line="360" w:lineRule="auto"/>
        <w:jc w:val="both"/>
        <w:rPr>
          <w:rFonts w:ascii="Calibri" w:eastAsia="Times New Roman" w:hAnsi="Calibri" w:cs="Calibri"/>
        </w:rPr>
      </w:pPr>
      <w:r w:rsidRPr="00A40A0C">
        <w:rPr>
          <w:rFonts w:ascii="Calibri" w:eastAsia="Times New Roman" w:hAnsi="Calibri" w:cs="Calibri"/>
        </w:rPr>
        <w:t xml:space="preserve">Redacción – revisión y edición: </w:t>
      </w:r>
      <w:proofErr w:type="spellStart"/>
      <w:r w:rsidRPr="00A40A0C">
        <w:rPr>
          <w:rFonts w:ascii="Calibri" w:eastAsia="Times New Roman" w:hAnsi="Calibri" w:cs="Calibri"/>
        </w:rPr>
        <w:t>Jusselit</w:t>
      </w:r>
      <w:proofErr w:type="spellEnd"/>
      <w:r w:rsidRPr="00A40A0C">
        <w:rPr>
          <w:rFonts w:ascii="Calibri" w:eastAsia="Times New Roman" w:hAnsi="Calibri" w:cs="Calibri"/>
        </w:rPr>
        <w:t xml:space="preserve"> Estrada</w:t>
      </w:r>
    </w:p>
    <w:p w14:paraId="1BDB3BBA" w14:textId="77777777" w:rsidR="00256823" w:rsidRPr="00F163AD" w:rsidRDefault="00256823" w:rsidP="5571921D">
      <w:pPr>
        <w:shd w:val="clear" w:color="auto" w:fill="FFFFFF" w:themeFill="background1"/>
        <w:spacing w:line="360" w:lineRule="auto"/>
        <w:jc w:val="both"/>
        <w:rPr>
          <w:rFonts w:ascii="Calibri" w:hAnsi="Calibri" w:cs="Calibri"/>
          <w:b/>
          <w:bCs/>
        </w:rPr>
      </w:pPr>
    </w:p>
    <w:p w14:paraId="1BDB3BBB" w14:textId="77777777" w:rsidR="00256823" w:rsidRPr="00A40A0C" w:rsidRDefault="00256823" w:rsidP="00A40A0C">
      <w:pPr>
        <w:pStyle w:val="Ttulo1"/>
      </w:pPr>
      <w:r w:rsidRPr="00A40A0C">
        <w:t>REFERENCIAS BIBLIOGRÁFICAS</w:t>
      </w:r>
    </w:p>
    <w:p w14:paraId="1BDB3BBC" w14:textId="77777777" w:rsidR="00256823" w:rsidRPr="00F163AD" w:rsidRDefault="00256823" w:rsidP="00A40A0C">
      <w:pPr>
        <w:spacing w:line="360" w:lineRule="auto"/>
        <w:jc w:val="both"/>
        <w:rPr>
          <w:rFonts w:ascii="Calibri" w:eastAsia="Times New Roman" w:hAnsi="Calibri" w:cs="Calibri"/>
        </w:rPr>
      </w:pPr>
      <w:r w:rsidRPr="00F163AD">
        <w:rPr>
          <w:rFonts w:ascii="Calibri" w:eastAsia="Times New Roman" w:hAnsi="Calibri" w:cs="Calibri"/>
        </w:rPr>
        <w:t xml:space="preserve">Bolívar-Rodríguez M, Gaxiola-López C, Servín-Uribe S, </w:t>
      </w:r>
      <w:proofErr w:type="spellStart"/>
      <w:r w:rsidRPr="00F163AD">
        <w:rPr>
          <w:rFonts w:ascii="Calibri" w:eastAsia="Times New Roman" w:hAnsi="Calibri" w:cs="Calibri"/>
        </w:rPr>
        <w:t>Cázarez</w:t>
      </w:r>
      <w:proofErr w:type="spellEnd"/>
      <w:r w:rsidRPr="00F163AD">
        <w:rPr>
          <w:rFonts w:ascii="Calibri" w:eastAsia="Times New Roman" w:hAnsi="Calibri" w:cs="Calibri"/>
        </w:rPr>
        <w:t xml:space="preserve">-Aguilar M, Morgan-Ortiz F. Diástasis de músculos rectos abdominales. Revisión bibliográfica. RevMedUAS.2023;13(1):74-89. </w:t>
      </w:r>
      <w:r>
        <w:fldChar w:fldCharType="begin"/>
      </w:r>
      <w:r>
        <w:instrText>HYPERLINK "http://dx.doi.org/10.28960/revmeduas.2007-8013.v13.n1.010"</w:instrText>
      </w:r>
      <w:r>
        <w:fldChar w:fldCharType="separate"/>
      </w:r>
      <w:r w:rsidRPr="00F163AD">
        <w:rPr>
          <w:rFonts w:ascii="Calibri" w:eastAsia="Times New Roman" w:hAnsi="Calibri" w:cs="Calibri"/>
        </w:rPr>
        <w:t>doi.org/10.28960/revmeduas.2007-8013.v13.n1.010</w:t>
      </w:r>
      <w:r>
        <w:fldChar w:fldCharType="end"/>
      </w:r>
    </w:p>
    <w:p w14:paraId="1BDB3BBD" w14:textId="77777777" w:rsidR="00256823" w:rsidRPr="00F163AD" w:rsidRDefault="00256823" w:rsidP="00A40A0C">
      <w:pPr>
        <w:spacing w:line="360" w:lineRule="auto"/>
        <w:jc w:val="both"/>
        <w:rPr>
          <w:rFonts w:ascii="Calibri" w:eastAsia="Times New Roman" w:hAnsi="Calibri" w:cs="Calibri"/>
        </w:rPr>
      </w:pPr>
      <w:r w:rsidRPr="00F163AD">
        <w:rPr>
          <w:rFonts w:ascii="Calibri" w:eastAsia="Times New Roman" w:hAnsi="Calibri" w:cs="Calibri"/>
        </w:rPr>
        <w:t xml:space="preserve">Moore K, Dalley A, Agur A. Anatomía con orientación clínica. 8ª Edición. México: Wolters </w:t>
      </w:r>
      <w:proofErr w:type="spellStart"/>
      <w:r w:rsidRPr="00F163AD">
        <w:rPr>
          <w:rFonts w:ascii="Calibri" w:eastAsia="Times New Roman" w:hAnsi="Calibri" w:cs="Calibri"/>
        </w:rPr>
        <w:t>Kluwer</w:t>
      </w:r>
      <w:proofErr w:type="spellEnd"/>
      <w:r w:rsidRPr="00F163AD">
        <w:rPr>
          <w:rFonts w:ascii="Calibri" w:eastAsia="Times New Roman" w:hAnsi="Calibri" w:cs="Calibri"/>
        </w:rPr>
        <w:t>; 2018.</w:t>
      </w:r>
    </w:p>
    <w:p w14:paraId="1BDB3BBE" w14:textId="77777777" w:rsidR="00256823" w:rsidRPr="00F163AD" w:rsidRDefault="00256823" w:rsidP="00A40A0C">
      <w:pPr>
        <w:spacing w:line="360" w:lineRule="auto"/>
        <w:jc w:val="both"/>
        <w:rPr>
          <w:rFonts w:ascii="Calibri" w:eastAsia="Times New Roman" w:hAnsi="Calibri" w:cs="Calibri"/>
        </w:rPr>
      </w:pPr>
      <w:r w:rsidRPr="00F163AD">
        <w:rPr>
          <w:rFonts w:ascii="Calibri" w:eastAsia="Times New Roman" w:hAnsi="Calibri" w:cs="Calibri"/>
          <w:lang w:val="en-US"/>
        </w:rPr>
        <w:lastRenderedPageBreak/>
        <w:t xml:space="preserve">Wu L, Gu Y, Gu Y, Wang Y, Lu X, Zhu C, Lu Z, Xu H. Diastasis recti abdominis in adult women based on abdominal computed tomography imaging: Prevalence, risk factors and its impact on life. </w:t>
      </w:r>
      <w:r w:rsidRPr="00F163AD">
        <w:rPr>
          <w:rFonts w:ascii="Calibri" w:eastAsia="Times New Roman" w:hAnsi="Calibri" w:cs="Calibri"/>
        </w:rPr>
        <w:t xml:space="preserve">J Clin </w:t>
      </w:r>
      <w:proofErr w:type="spellStart"/>
      <w:r w:rsidRPr="00F163AD">
        <w:rPr>
          <w:rFonts w:ascii="Calibri" w:eastAsia="Times New Roman" w:hAnsi="Calibri" w:cs="Calibri"/>
        </w:rPr>
        <w:t>Nurs</w:t>
      </w:r>
      <w:proofErr w:type="spellEnd"/>
      <w:r w:rsidRPr="00F163AD">
        <w:rPr>
          <w:rFonts w:ascii="Calibri" w:eastAsia="Times New Roman" w:hAnsi="Calibri" w:cs="Calibri"/>
        </w:rPr>
        <w:t xml:space="preserve">. 2021 Feb;30(3-4):518-527. </w:t>
      </w:r>
      <w:proofErr w:type="spellStart"/>
      <w:r w:rsidRPr="00F163AD">
        <w:rPr>
          <w:rFonts w:ascii="Calibri" w:eastAsia="Times New Roman" w:hAnsi="Calibri" w:cs="Calibri"/>
        </w:rPr>
        <w:t>doi</w:t>
      </w:r>
      <w:proofErr w:type="spellEnd"/>
      <w:r w:rsidRPr="00F163AD">
        <w:rPr>
          <w:rFonts w:ascii="Calibri" w:eastAsia="Times New Roman" w:hAnsi="Calibri" w:cs="Calibri"/>
        </w:rPr>
        <w:t>: 10.1111/jocn.15568.</w:t>
      </w:r>
    </w:p>
    <w:p w14:paraId="1BDB3BBF" w14:textId="77777777" w:rsidR="00256823" w:rsidRPr="00F163AD" w:rsidRDefault="00256823" w:rsidP="00A40A0C">
      <w:pPr>
        <w:spacing w:line="360" w:lineRule="auto"/>
        <w:jc w:val="both"/>
        <w:rPr>
          <w:rFonts w:ascii="Calibri" w:eastAsia="Times New Roman" w:hAnsi="Calibri" w:cs="Calibri"/>
        </w:rPr>
      </w:pPr>
      <w:r w:rsidRPr="00F163AD">
        <w:rPr>
          <w:rFonts w:ascii="Calibri" w:eastAsia="Times New Roman" w:hAnsi="Calibri" w:cs="Calibri"/>
          <w:lang w:val="en-US"/>
        </w:rPr>
        <w:t xml:space="preserve">Fernandes da Mota PG, Pascoal AG, Carita AI, </w:t>
      </w:r>
      <w:proofErr w:type="spellStart"/>
      <w:r w:rsidRPr="00F163AD">
        <w:rPr>
          <w:rFonts w:ascii="Calibri" w:eastAsia="Times New Roman" w:hAnsi="Calibri" w:cs="Calibri"/>
          <w:lang w:val="en-US"/>
        </w:rPr>
        <w:t>Bø</w:t>
      </w:r>
      <w:proofErr w:type="spellEnd"/>
      <w:r w:rsidRPr="00F163AD">
        <w:rPr>
          <w:rFonts w:ascii="Calibri" w:eastAsia="Times New Roman" w:hAnsi="Calibri" w:cs="Calibri"/>
          <w:lang w:val="en-US"/>
        </w:rPr>
        <w:t xml:space="preserve"> K. Prevalence and risk factors of diastasis recti abdominis from late pregnancy to 6 months postpartum, and relationship with lumbo-pelvic pain. </w:t>
      </w:r>
      <w:r w:rsidRPr="00F163AD">
        <w:rPr>
          <w:rFonts w:ascii="Calibri" w:eastAsia="Times New Roman" w:hAnsi="Calibri" w:cs="Calibri"/>
        </w:rPr>
        <w:t xml:space="preserve">Man </w:t>
      </w:r>
      <w:proofErr w:type="spellStart"/>
      <w:r w:rsidRPr="00F163AD">
        <w:rPr>
          <w:rFonts w:ascii="Calibri" w:eastAsia="Times New Roman" w:hAnsi="Calibri" w:cs="Calibri"/>
        </w:rPr>
        <w:t>Ther</w:t>
      </w:r>
      <w:proofErr w:type="spellEnd"/>
      <w:r w:rsidRPr="00F163AD">
        <w:rPr>
          <w:rFonts w:ascii="Calibri" w:eastAsia="Times New Roman" w:hAnsi="Calibri" w:cs="Calibri"/>
        </w:rPr>
        <w:t xml:space="preserve">. 2015 Feb;20(1):200-5. </w:t>
      </w:r>
      <w:proofErr w:type="spellStart"/>
      <w:r w:rsidRPr="00F163AD">
        <w:rPr>
          <w:rFonts w:ascii="Calibri" w:eastAsia="Times New Roman" w:hAnsi="Calibri" w:cs="Calibri"/>
        </w:rPr>
        <w:t>doi</w:t>
      </w:r>
      <w:proofErr w:type="spellEnd"/>
      <w:r w:rsidRPr="00F163AD">
        <w:rPr>
          <w:rFonts w:ascii="Calibri" w:eastAsia="Times New Roman" w:hAnsi="Calibri" w:cs="Calibri"/>
        </w:rPr>
        <w:t xml:space="preserve">: 10.1016/j.math.2014.09.002. </w:t>
      </w:r>
    </w:p>
    <w:p w14:paraId="1BDB3BC0" w14:textId="77777777" w:rsidR="00256823" w:rsidRPr="00F163AD" w:rsidRDefault="00256823" w:rsidP="00A40A0C">
      <w:pPr>
        <w:spacing w:line="360" w:lineRule="auto"/>
        <w:jc w:val="both"/>
        <w:rPr>
          <w:rFonts w:ascii="Calibri" w:eastAsia="Times New Roman" w:hAnsi="Calibri" w:cs="Calibri"/>
          <w:lang w:val="en-US"/>
        </w:rPr>
      </w:pPr>
      <w:proofErr w:type="spellStart"/>
      <w:r w:rsidRPr="00F163AD">
        <w:rPr>
          <w:rFonts w:ascii="Calibri" w:eastAsia="Times New Roman" w:hAnsi="Calibri" w:cs="Calibri"/>
          <w:lang w:val="en-US"/>
        </w:rPr>
        <w:t>Joueidi</w:t>
      </w:r>
      <w:proofErr w:type="spellEnd"/>
      <w:r w:rsidRPr="00F163AD">
        <w:rPr>
          <w:rFonts w:ascii="Calibri" w:eastAsia="Times New Roman" w:hAnsi="Calibri" w:cs="Calibri"/>
          <w:lang w:val="en-US"/>
        </w:rPr>
        <w:t xml:space="preserve"> Y, </w:t>
      </w:r>
      <w:proofErr w:type="spellStart"/>
      <w:r w:rsidRPr="00F163AD">
        <w:rPr>
          <w:rFonts w:ascii="Calibri" w:eastAsia="Times New Roman" w:hAnsi="Calibri" w:cs="Calibri"/>
          <w:lang w:val="en-US"/>
        </w:rPr>
        <w:t>Vieillefosse</w:t>
      </w:r>
      <w:proofErr w:type="spellEnd"/>
      <w:r w:rsidRPr="00F163AD">
        <w:rPr>
          <w:rFonts w:ascii="Calibri" w:eastAsia="Times New Roman" w:hAnsi="Calibri" w:cs="Calibri"/>
          <w:lang w:val="en-US"/>
        </w:rPr>
        <w:t xml:space="preserve"> S, </w:t>
      </w:r>
      <w:proofErr w:type="spellStart"/>
      <w:r w:rsidRPr="00F163AD">
        <w:rPr>
          <w:rFonts w:ascii="Calibri" w:eastAsia="Times New Roman" w:hAnsi="Calibri" w:cs="Calibri"/>
          <w:lang w:val="en-US"/>
        </w:rPr>
        <w:t>Cardaillac</w:t>
      </w:r>
      <w:proofErr w:type="spellEnd"/>
      <w:r w:rsidRPr="00F163AD">
        <w:rPr>
          <w:rFonts w:ascii="Calibri" w:eastAsia="Times New Roman" w:hAnsi="Calibri" w:cs="Calibri"/>
          <w:lang w:val="en-US"/>
        </w:rPr>
        <w:t xml:space="preserve"> C, Mortier A, Oppenheimer A, </w:t>
      </w:r>
      <w:proofErr w:type="spellStart"/>
      <w:r w:rsidRPr="00F163AD">
        <w:rPr>
          <w:rFonts w:ascii="Calibri" w:eastAsia="Times New Roman" w:hAnsi="Calibri" w:cs="Calibri"/>
          <w:lang w:val="en-US"/>
        </w:rPr>
        <w:t>Deffieux</w:t>
      </w:r>
      <w:proofErr w:type="spellEnd"/>
      <w:r w:rsidRPr="00F163AD">
        <w:rPr>
          <w:rFonts w:ascii="Calibri" w:eastAsia="Times New Roman" w:hAnsi="Calibri" w:cs="Calibri"/>
          <w:lang w:val="en-US"/>
        </w:rPr>
        <w:t xml:space="preserve"> X, </w:t>
      </w:r>
      <w:proofErr w:type="spellStart"/>
      <w:r w:rsidRPr="00F163AD">
        <w:rPr>
          <w:rFonts w:ascii="Calibri" w:eastAsia="Times New Roman" w:hAnsi="Calibri" w:cs="Calibri"/>
          <w:lang w:val="en-US"/>
        </w:rPr>
        <w:t>Thubert</w:t>
      </w:r>
      <w:proofErr w:type="spellEnd"/>
      <w:r w:rsidRPr="00F163AD">
        <w:rPr>
          <w:rFonts w:ascii="Calibri" w:eastAsia="Times New Roman" w:hAnsi="Calibri" w:cs="Calibri"/>
          <w:lang w:val="en-US"/>
        </w:rPr>
        <w:t xml:space="preserve"> T. Impact du diastasis des muscles droits de </w:t>
      </w:r>
      <w:proofErr w:type="spellStart"/>
      <w:r w:rsidRPr="00F163AD">
        <w:rPr>
          <w:rFonts w:ascii="Calibri" w:eastAsia="Times New Roman" w:hAnsi="Calibri" w:cs="Calibri"/>
          <w:lang w:val="en-US"/>
        </w:rPr>
        <w:t>l’abdomen</w:t>
      </w:r>
      <w:proofErr w:type="spellEnd"/>
      <w:r w:rsidRPr="00F163AD">
        <w:rPr>
          <w:rFonts w:ascii="Calibri" w:eastAsia="Times New Roman" w:hAnsi="Calibri" w:cs="Calibri"/>
          <w:lang w:val="en-US"/>
        </w:rPr>
        <w:t xml:space="preserve"> sur les </w:t>
      </w:r>
      <w:proofErr w:type="spellStart"/>
      <w:r w:rsidRPr="00F163AD">
        <w:rPr>
          <w:rFonts w:ascii="Calibri" w:eastAsia="Times New Roman" w:hAnsi="Calibri" w:cs="Calibri"/>
          <w:lang w:val="en-US"/>
        </w:rPr>
        <w:t>symptômes</w:t>
      </w:r>
      <w:proofErr w:type="spellEnd"/>
      <w:r w:rsidRPr="00F163AD">
        <w:rPr>
          <w:rFonts w:ascii="Calibri" w:eastAsia="Times New Roman" w:hAnsi="Calibri" w:cs="Calibri"/>
          <w:lang w:val="en-US"/>
        </w:rPr>
        <w:t xml:space="preserve"> </w:t>
      </w:r>
      <w:proofErr w:type="spellStart"/>
      <w:r w:rsidRPr="00F163AD">
        <w:rPr>
          <w:rFonts w:ascii="Calibri" w:eastAsia="Times New Roman" w:hAnsi="Calibri" w:cs="Calibri"/>
          <w:lang w:val="en-US"/>
        </w:rPr>
        <w:t>pelvi-</w:t>
      </w:r>
      <w:proofErr w:type="gramStart"/>
      <w:r w:rsidRPr="00F163AD">
        <w:rPr>
          <w:rFonts w:ascii="Calibri" w:eastAsia="Times New Roman" w:hAnsi="Calibri" w:cs="Calibri"/>
          <w:lang w:val="en-US"/>
        </w:rPr>
        <w:t>périnéaux</w:t>
      </w:r>
      <w:proofErr w:type="spellEnd"/>
      <w:r w:rsidRPr="00F163AD">
        <w:rPr>
          <w:rFonts w:ascii="Calibri" w:eastAsia="Times New Roman" w:hAnsi="Calibri" w:cs="Calibri"/>
          <w:lang w:val="en-US"/>
        </w:rPr>
        <w:t> :</w:t>
      </w:r>
      <w:proofErr w:type="gramEnd"/>
      <w:r w:rsidRPr="00F163AD">
        <w:rPr>
          <w:rFonts w:ascii="Calibri" w:eastAsia="Times New Roman" w:hAnsi="Calibri" w:cs="Calibri"/>
          <w:lang w:val="en-US"/>
        </w:rPr>
        <w:t xml:space="preserve"> revue de la </w:t>
      </w:r>
      <w:proofErr w:type="spellStart"/>
      <w:r w:rsidRPr="00F163AD">
        <w:rPr>
          <w:rFonts w:ascii="Calibri" w:eastAsia="Times New Roman" w:hAnsi="Calibri" w:cs="Calibri"/>
          <w:lang w:val="en-US"/>
        </w:rPr>
        <w:t>littérature</w:t>
      </w:r>
      <w:proofErr w:type="spellEnd"/>
      <w:r w:rsidRPr="00F163AD">
        <w:rPr>
          <w:rFonts w:ascii="Calibri" w:eastAsia="Times New Roman" w:hAnsi="Calibri" w:cs="Calibri"/>
          <w:lang w:val="en-US"/>
        </w:rPr>
        <w:t xml:space="preserve"> [Impact of the diastasis of the rectus abdominis muscles on the pelvic-perineal symptoms: Review of the literature]. Prog Urol. 2019;29(11):544-559. French.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xml:space="preserve">: 10.1016/j.purol.2019.05.002. </w:t>
      </w:r>
    </w:p>
    <w:p w14:paraId="1BDB3BC1" w14:textId="77777777" w:rsidR="00256823" w:rsidRPr="00F163AD" w:rsidRDefault="00256823" w:rsidP="00A40A0C">
      <w:pPr>
        <w:spacing w:line="360" w:lineRule="auto"/>
        <w:jc w:val="both"/>
        <w:rPr>
          <w:rFonts w:ascii="Calibri" w:eastAsia="Times New Roman" w:hAnsi="Calibri" w:cs="Calibri"/>
          <w:lang w:val="en-US"/>
        </w:rPr>
      </w:pPr>
      <w:proofErr w:type="spellStart"/>
      <w:r w:rsidRPr="00F163AD">
        <w:rPr>
          <w:rFonts w:ascii="Calibri" w:eastAsia="Times New Roman" w:hAnsi="Calibri" w:cs="Calibri"/>
        </w:rPr>
        <w:t>Candido</w:t>
      </w:r>
      <w:proofErr w:type="spellEnd"/>
      <w:r w:rsidRPr="00F163AD">
        <w:rPr>
          <w:rFonts w:ascii="Calibri" w:eastAsia="Times New Roman" w:hAnsi="Calibri" w:cs="Calibri"/>
        </w:rPr>
        <w:t xml:space="preserve"> G, Lo T, Janssen, PA. </w:t>
      </w:r>
      <w:r w:rsidRPr="00F163AD">
        <w:rPr>
          <w:rFonts w:ascii="Calibri" w:eastAsia="Times New Roman" w:hAnsi="Calibri" w:cs="Calibri"/>
          <w:lang w:val="en-US"/>
        </w:rPr>
        <w:t xml:space="preserve">Risk factors for </w:t>
      </w:r>
      <w:proofErr w:type="spellStart"/>
      <w:r w:rsidRPr="00F163AD">
        <w:rPr>
          <w:rFonts w:ascii="Calibri" w:eastAsia="Times New Roman" w:hAnsi="Calibri" w:cs="Calibri"/>
          <w:lang w:val="en-US"/>
        </w:rPr>
        <w:t>distasis</w:t>
      </w:r>
      <w:proofErr w:type="spellEnd"/>
      <w:r w:rsidRPr="00F163AD">
        <w:rPr>
          <w:rFonts w:ascii="Calibri" w:eastAsia="Times New Roman" w:hAnsi="Calibri" w:cs="Calibri"/>
          <w:lang w:val="en-US"/>
        </w:rPr>
        <w:t xml:space="preserve"> of the </w:t>
      </w:r>
      <w:proofErr w:type="spellStart"/>
      <w:r w:rsidRPr="00F163AD">
        <w:rPr>
          <w:rFonts w:ascii="Calibri" w:eastAsia="Times New Roman" w:hAnsi="Calibri" w:cs="Calibri"/>
          <w:lang w:val="en-US"/>
        </w:rPr>
        <w:t>rectis</w:t>
      </w:r>
      <w:proofErr w:type="spellEnd"/>
      <w:r w:rsidRPr="00F163AD">
        <w:rPr>
          <w:rFonts w:ascii="Calibri" w:eastAsia="Times New Roman" w:hAnsi="Calibri" w:cs="Calibri"/>
          <w:lang w:val="en-US"/>
        </w:rPr>
        <w:t xml:space="preserve"> abdominis. Association of Chartered Physiotherapists in women's health. 2005; 49-54.</w:t>
      </w:r>
    </w:p>
    <w:p w14:paraId="1BDB3BC2" w14:textId="77777777" w:rsidR="00256823" w:rsidRPr="00F163AD" w:rsidRDefault="00256823" w:rsidP="00A40A0C">
      <w:pPr>
        <w:spacing w:line="360" w:lineRule="auto"/>
        <w:jc w:val="both"/>
        <w:rPr>
          <w:rFonts w:ascii="Calibri" w:eastAsia="Times New Roman" w:hAnsi="Calibri" w:cs="Calibri"/>
        </w:rPr>
      </w:pPr>
      <w:r w:rsidRPr="00F163AD">
        <w:rPr>
          <w:rFonts w:ascii="Calibri" w:eastAsia="Times New Roman" w:hAnsi="Calibri" w:cs="Calibri"/>
          <w:lang w:val="en-US"/>
        </w:rPr>
        <w:t xml:space="preserve">Beer GM, Schuster A, Seifert B, </w:t>
      </w:r>
      <w:proofErr w:type="spellStart"/>
      <w:r w:rsidRPr="00F163AD">
        <w:rPr>
          <w:rFonts w:ascii="Calibri" w:eastAsia="Times New Roman" w:hAnsi="Calibri" w:cs="Calibri"/>
          <w:lang w:val="en-US"/>
        </w:rPr>
        <w:t>Manestar</w:t>
      </w:r>
      <w:proofErr w:type="spellEnd"/>
      <w:r w:rsidRPr="00F163AD">
        <w:rPr>
          <w:rFonts w:ascii="Calibri" w:eastAsia="Times New Roman" w:hAnsi="Calibri" w:cs="Calibri"/>
          <w:lang w:val="en-US"/>
        </w:rPr>
        <w:t xml:space="preserve"> M, </w:t>
      </w:r>
      <w:proofErr w:type="spellStart"/>
      <w:r w:rsidRPr="00F163AD">
        <w:rPr>
          <w:rFonts w:ascii="Calibri" w:eastAsia="Times New Roman" w:hAnsi="Calibri" w:cs="Calibri"/>
          <w:lang w:val="en-US"/>
        </w:rPr>
        <w:t>Mihic</w:t>
      </w:r>
      <w:proofErr w:type="spellEnd"/>
      <w:r w:rsidRPr="00F163AD">
        <w:rPr>
          <w:rFonts w:ascii="Calibri" w:eastAsia="Times New Roman" w:hAnsi="Calibri" w:cs="Calibri"/>
          <w:lang w:val="en-US"/>
        </w:rPr>
        <w:t xml:space="preserve">-Probst D, Weber SA. The normal width of the </w:t>
      </w:r>
      <w:proofErr w:type="spellStart"/>
      <w:r w:rsidRPr="00F163AD">
        <w:rPr>
          <w:rFonts w:ascii="Calibri" w:eastAsia="Times New Roman" w:hAnsi="Calibri" w:cs="Calibri"/>
          <w:lang w:val="en-US"/>
        </w:rPr>
        <w:t>linea</w:t>
      </w:r>
      <w:proofErr w:type="spellEnd"/>
      <w:r w:rsidRPr="00F163AD">
        <w:rPr>
          <w:rFonts w:ascii="Calibri" w:eastAsia="Times New Roman" w:hAnsi="Calibri" w:cs="Calibri"/>
          <w:lang w:val="en-US"/>
        </w:rPr>
        <w:t xml:space="preserve"> alba in nulliparous women. </w:t>
      </w:r>
      <w:r w:rsidRPr="00F163AD">
        <w:rPr>
          <w:rFonts w:ascii="Calibri" w:eastAsia="Times New Roman" w:hAnsi="Calibri" w:cs="Calibri"/>
        </w:rPr>
        <w:t xml:space="preserve">Clin Anat. 2009;22(6):706-11. </w:t>
      </w:r>
      <w:proofErr w:type="spellStart"/>
      <w:r w:rsidRPr="00F163AD">
        <w:rPr>
          <w:rFonts w:ascii="Calibri" w:eastAsia="Times New Roman" w:hAnsi="Calibri" w:cs="Calibri"/>
        </w:rPr>
        <w:t>doi</w:t>
      </w:r>
      <w:proofErr w:type="spellEnd"/>
      <w:r w:rsidRPr="00F163AD">
        <w:rPr>
          <w:rFonts w:ascii="Calibri" w:eastAsia="Times New Roman" w:hAnsi="Calibri" w:cs="Calibri"/>
        </w:rPr>
        <w:t xml:space="preserve">: 10.1002/ca.20836. </w:t>
      </w:r>
    </w:p>
    <w:p w14:paraId="1BDB3BC3" w14:textId="77777777" w:rsidR="00256823" w:rsidRPr="00F163AD" w:rsidRDefault="00256823" w:rsidP="00A40A0C">
      <w:pPr>
        <w:spacing w:line="360" w:lineRule="auto"/>
        <w:jc w:val="both"/>
        <w:rPr>
          <w:rFonts w:ascii="Calibri" w:eastAsia="Times New Roman" w:hAnsi="Calibri" w:cs="Calibri"/>
        </w:rPr>
      </w:pPr>
      <w:r w:rsidRPr="00F163AD">
        <w:rPr>
          <w:rFonts w:ascii="Calibri" w:eastAsia="Times New Roman" w:hAnsi="Calibri" w:cs="Calibri"/>
        </w:rPr>
        <w:t xml:space="preserve">Uriarte Terán JI, </w:t>
      </w:r>
      <w:proofErr w:type="spellStart"/>
      <w:r w:rsidRPr="00F163AD">
        <w:rPr>
          <w:rFonts w:ascii="Calibri" w:eastAsia="Times New Roman" w:hAnsi="Calibri" w:cs="Calibri"/>
        </w:rPr>
        <w:t>Zorraquino</w:t>
      </w:r>
      <w:proofErr w:type="spellEnd"/>
      <w:r w:rsidRPr="00F163AD">
        <w:rPr>
          <w:rFonts w:ascii="Calibri" w:eastAsia="Times New Roman" w:hAnsi="Calibri" w:cs="Calibri"/>
        </w:rPr>
        <w:t xml:space="preserve"> González Á, Pérez-de-Villarreal </w:t>
      </w:r>
      <w:proofErr w:type="spellStart"/>
      <w:r w:rsidRPr="00F163AD">
        <w:rPr>
          <w:rFonts w:ascii="Calibri" w:eastAsia="Times New Roman" w:hAnsi="Calibri" w:cs="Calibri"/>
        </w:rPr>
        <w:t>Amilburu</w:t>
      </w:r>
      <w:proofErr w:type="spellEnd"/>
      <w:r w:rsidRPr="00F163AD">
        <w:rPr>
          <w:rFonts w:ascii="Calibri" w:eastAsia="Times New Roman" w:hAnsi="Calibri" w:cs="Calibri"/>
        </w:rPr>
        <w:t xml:space="preserve"> P, Gutiérrez Ferreras AI, Hierro-Olabarría Salgado L, Uriarte Vergara B, Roca Domínguez MB, Martín García M, González de Miguel M, García Herrero S. Consecuencias y opciones terapéuticas en la diástasis de rectos. Propuesta de algoritmo terapéutico. </w:t>
      </w:r>
      <w:proofErr w:type="spellStart"/>
      <w:r w:rsidRPr="00F163AD">
        <w:rPr>
          <w:rFonts w:ascii="Calibri" w:eastAsia="Times New Roman" w:hAnsi="Calibri" w:cs="Calibri"/>
        </w:rPr>
        <w:t>Rev</w:t>
      </w:r>
      <w:proofErr w:type="spellEnd"/>
      <w:r w:rsidRPr="00F163AD">
        <w:rPr>
          <w:rFonts w:ascii="Calibri" w:eastAsia="Times New Roman" w:hAnsi="Calibri" w:cs="Calibri"/>
        </w:rPr>
        <w:t xml:space="preserve"> </w:t>
      </w:r>
      <w:proofErr w:type="spellStart"/>
      <w:r w:rsidRPr="00F163AD">
        <w:rPr>
          <w:rFonts w:ascii="Calibri" w:eastAsia="Times New Roman" w:hAnsi="Calibri" w:cs="Calibri"/>
        </w:rPr>
        <w:t>Hispanoam</w:t>
      </w:r>
      <w:proofErr w:type="spellEnd"/>
      <w:r w:rsidRPr="00F163AD">
        <w:rPr>
          <w:rFonts w:ascii="Calibri" w:eastAsia="Times New Roman" w:hAnsi="Calibri" w:cs="Calibri"/>
        </w:rPr>
        <w:t xml:space="preserve"> Hernia. 2020;8(2):65-71</w:t>
      </w:r>
      <w:hyperlink r:id="rId11" w:history="1">
        <w:r w:rsidRPr="00F163AD">
          <w:rPr>
            <w:rFonts w:ascii="Calibri" w:eastAsia="Times New Roman" w:hAnsi="Calibri" w:cs="Calibri"/>
          </w:rPr>
          <w:t>. doi.org/10.20960/rhh.00215</w:t>
        </w:r>
      </w:hyperlink>
    </w:p>
    <w:p w14:paraId="1BDB3BC4" w14:textId="77777777" w:rsidR="00256823" w:rsidRPr="00F163AD" w:rsidRDefault="00256823" w:rsidP="00A40A0C">
      <w:pPr>
        <w:spacing w:line="360" w:lineRule="auto"/>
        <w:jc w:val="both"/>
        <w:rPr>
          <w:rFonts w:ascii="Calibri" w:eastAsia="Times New Roman" w:hAnsi="Calibri" w:cs="Calibri"/>
          <w:lang w:val="en-US"/>
        </w:rPr>
      </w:pPr>
      <w:r w:rsidRPr="00F163AD">
        <w:rPr>
          <w:rFonts w:ascii="Calibri" w:eastAsia="Times New Roman" w:hAnsi="Calibri" w:cs="Calibri"/>
          <w:lang w:val="en-US"/>
        </w:rPr>
        <w:t xml:space="preserve">Wang Q, Yu X, Chen G, Sun X, Wang J. Does diastasis recti abdominis weaken pelvic floor function? A cross-sectional study. Int </w:t>
      </w:r>
      <w:proofErr w:type="spellStart"/>
      <w:r w:rsidRPr="00F163AD">
        <w:rPr>
          <w:rFonts w:ascii="Calibri" w:eastAsia="Times New Roman" w:hAnsi="Calibri" w:cs="Calibri"/>
          <w:lang w:val="en-US"/>
        </w:rPr>
        <w:t>Urogynecol</w:t>
      </w:r>
      <w:proofErr w:type="spellEnd"/>
      <w:r w:rsidRPr="00F163AD">
        <w:rPr>
          <w:rFonts w:ascii="Calibri" w:eastAsia="Times New Roman" w:hAnsi="Calibri" w:cs="Calibri"/>
          <w:lang w:val="en-US"/>
        </w:rPr>
        <w:t xml:space="preserve"> J. 2020 Feb;31(2):277-283.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xml:space="preserve">: 10.1007/s00192-019-04005-9. </w:t>
      </w:r>
    </w:p>
    <w:p w14:paraId="1BDB3BC5" w14:textId="77777777" w:rsidR="00256823" w:rsidRPr="00F163AD" w:rsidRDefault="00256823" w:rsidP="00A40A0C">
      <w:pPr>
        <w:spacing w:line="360" w:lineRule="auto"/>
        <w:jc w:val="both"/>
        <w:rPr>
          <w:rFonts w:ascii="Calibri" w:eastAsia="Times New Roman" w:hAnsi="Calibri" w:cs="Calibri"/>
          <w:lang w:val="en-US"/>
        </w:rPr>
      </w:pPr>
      <w:r w:rsidRPr="00F163AD">
        <w:rPr>
          <w:rFonts w:ascii="Calibri" w:eastAsia="Times New Roman" w:hAnsi="Calibri" w:cs="Calibri"/>
        </w:rPr>
        <w:t xml:space="preserve">Zhu Y, </w:t>
      </w:r>
      <w:proofErr w:type="spellStart"/>
      <w:r w:rsidRPr="00F163AD">
        <w:rPr>
          <w:rFonts w:ascii="Calibri" w:eastAsia="Times New Roman" w:hAnsi="Calibri" w:cs="Calibri"/>
        </w:rPr>
        <w:t>Jiang</w:t>
      </w:r>
      <w:proofErr w:type="spellEnd"/>
      <w:r w:rsidRPr="00F163AD">
        <w:rPr>
          <w:rFonts w:ascii="Calibri" w:eastAsia="Times New Roman" w:hAnsi="Calibri" w:cs="Calibri"/>
        </w:rPr>
        <w:t xml:space="preserve"> L, Ye T, Liu Y, </w:t>
      </w:r>
      <w:proofErr w:type="spellStart"/>
      <w:r w:rsidRPr="00F163AD">
        <w:rPr>
          <w:rFonts w:ascii="Calibri" w:eastAsia="Times New Roman" w:hAnsi="Calibri" w:cs="Calibri"/>
        </w:rPr>
        <w:t>Sun</w:t>
      </w:r>
      <w:proofErr w:type="spellEnd"/>
      <w:r w:rsidRPr="00F163AD">
        <w:rPr>
          <w:rFonts w:ascii="Calibri" w:eastAsia="Times New Roman" w:hAnsi="Calibri" w:cs="Calibri"/>
        </w:rPr>
        <w:t xml:space="preserve"> L, Xiao L, et al. </w:t>
      </w:r>
      <w:r w:rsidRPr="00F163AD">
        <w:rPr>
          <w:rFonts w:ascii="Calibri" w:eastAsia="Times New Roman" w:hAnsi="Calibri" w:cs="Calibri"/>
          <w:lang w:val="en-US"/>
        </w:rPr>
        <w:t xml:space="preserve">Risk Factors and Patient-Reported Outcomes in Chinese Women with Postpartum Diastasis Recti Abdominis: An Observational Study. Int J </w:t>
      </w:r>
      <w:proofErr w:type="spellStart"/>
      <w:r w:rsidRPr="00F163AD">
        <w:rPr>
          <w:rFonts w:ascii="Calibri" w:eastAsia="Times New Roman" w:hAnsi="Calibri" w:cs="Calibri"/>
          <w:lang w:val="en-US"/>
        </w:rPr>
        <w:t>Womens</w:t>
      </w:r>
      <w:proofErr w:type="spellEnd"/>
      <w:r w:rsidRPr="00F163AD">
        <w:rPr>
          <w:rFonts w:ascii="Calibri" w:eastAsia="Times New Roman" w:hAnsi="Calibri" w:cs="Calibri"/>
          <w:lang w:val="en-US"/>
        </w:rPr>
        <w:t xml:space="preserve"> Health. 2024 Jan 31; 16:179-192.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xml:space="preserve">: 10.2147/IJWH.S437088. </w:t>
      </w:r>
    </w:p>
    <w:p w14:paraId="1BDB3BC6" w14:textId="77777777" w:rsidR="00256823" w:rsidRPr="00F163AD" w:rsidRDefault="00256823" w:rsidP="00A40A0C">
      <w:pPr>
        <w:spacing w:line="360" w:lineRule="auto"/>
        <w:jc w:val="both"/>
        <w:rPr>
          <w:rFonts w:ascii="Calibri" w:eastAsia="Times New Roman" w:hAnsi="Calibri" w:cs="Calibri"/>
          <w:lang w:val="en-US"/>
        </w:rPr>
      </w:pPr>
      <w:proofErr w:type="spellStart"/>
      <w:r w:rsidRPr="00F163AD">
        <w:rPr>
          <w:rFonts w:ascii="Calibri" w:eastAsia="Times New Roman" w:hAnsi="Calibri" w:cs="Calibri"/>
        </w:rPr>
        <w:lastRenderedPageBreak/>
        <w:t>Augustina</w:t>
      </w:r>
      <w:proofErr w:type="spellEnd"/>
      <w:r w:rsidRPr="00F163AD">
        <w:rPr>
          <w:rFonts w:ascii="Calibri" w:eastAsia="Times New Roman" w:hAnsi="Calibri" w:cs="Calibri"/>
        </w:rPr>
        <w:t xml:space="preserve"> SJ, </w:t>
      </w:r>
      <w:proofErr w:type="spellStart"/>
      <w:r w:rsidRPr="00F163AD">
        <w:rPr>
          <w:rFonts w:ascii="Calibri" w:eastAsia="Times New Roman" w:hAnsi="Calibri" w:cs="Calibri"/>
        </w:rPr>
        <w:t>Suganthirababu</w:t>
      </w:r>
      <w:proofErr w:type="spellEnd"/>
      <w:r w:rsidRPr="00F163AD">
        <w:rPr>
          <w:rFonts w:ascii="Calibri" w:eastAsia="Times New Roman" w:hAnsi="Calibri" w:cs="Calibri"/>
        </w:rPr>
        <w:t xml:space="preserve"> P, </w:t>
      </w:r>
      <w:proofErr w:type="spellStart"/>
      <w:r w:rsidRPr="00F163AD">
        <w:rPr>
          <w:rFonts w:ascii="Calibri" w:eastAsia="Times New Roman" w:hAnsi="Calibri" w:cs="Calibri"/>
        </w:rPr>
        <w:t>Rajagopal</w:t>
      </w:r>
      <w:proofErr w:type="spellEnd"/>
      <w:r w:rsidRPr="00F163AD">
        <w:rPr>
          <w:rFonts w:ascii="Calibri" w:eastAsia="Times New Roman" w:hAnsi="Calibri" w:cs="Calibri"/>
        </w:rPr>
        <w:t xml:space="preserve"> V, </w:t>
      </w:r>
      <w:proofErr w:type="spellStart"/>
      <w:r w:rsidRPr="00F163AD">
        <w:rPr>
          <w:rFonts w:ascii="Calibri" w:eastAsia="Times New Roman" w:hAnsi="Calibri" w:cs="Calibri"/>
        </w:rPr>
        <w:t>Kumaresan</w:t>
      </w:r>
      <w:proofErr w:type="spellEnd"/>
      <w:r w:rsidRPr="00F163AD">
        <w:rPr>
          <w:rFonts w:ascii="Calibri" w:eastAsia="Times New Roman" w:hAnsi="Calibri" w:cs="Calibri"/>
        </w:rPr>
        <w:t xml:space="preserve"> A, Srinivasan V, </w:t>
      </w:r>
      <w:proofErr w:type="spellStart"/>
      <w:r w:rsidRPr="00F163AD">
        <w:rPr>
          <w:rFonts w:ascii="Calibri" w:eastAsia="Times New Roman" w:hAnsi="Calibri" w:cs="Calibri"/>
        </w:rPr>
        <w:t>Ramana</w:t>
      </w:r>
      <w:proofErr w:type="spellEnd"/>
      <w:r w:rsidRPr="00F163AD">
        <w:rPr>
          <w:rFonts w:ascii="Calibri" w:eastAsia="Times New Roman" w:hAnsi="Calibri" w:cs="Calibri"/>
        </w:rPr>
        <w:t xml:space="preserve"> K, et al. </w:t>
      </w:r>
      <w:r w:rsidRPr="00F163AD">
        <w:rPr>
          <w:rFonts w:ascii="Calibri" w:eastAsia="Times New Roman" w:hAnsi="Calibri" w:cs="Calibri"/>
          <w:lang w:val="en-US"/>
        </w:rPr>
        <w:t xml:space="preserve">Pelvic floor dysfunction and its impact on quality of life among female health care employees. Work. 2023;74(3):1055-1059.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10.3233/WOR-211125. </w:t>
      </w:r>
    </w:p>
    <w:p w14:paraId="1BDB3BC7" w14:textId="77777777" w:rsidR="00256823" w:rsidRPr="00F163AD" w:rsidRDefault="00256823" w:rsidP="00A40A0C">
      <w:pPr>
        <w:spacing w:line="360" w:lineRule="auto"/>
        <w:jc w:val="both"/>
        <w:rPr>
          <w:rFonts w:ascii="Calibri" w:eastAsia="Times New Roman" w:hAnsi="Calibri" w:cs="Calibri"/>
          <w:lang w:val="en-US"/>
        </w:rPr>
      </w:pPr>
      <w:proofErr w:type="spellStart"/>
      <w:r w:rsidRPr="00F163AD">
        <w:rPr>
          <w:rFonts w:ascii="Calibri" w:eastAsia="Times New Roman" w:hAnsi="Calibri" w:cs="Calibri"/>
          <w:lang w:val="en-US"/>
        </w:rPr>
        <w:t>Śmietański</w:t>
      </w:r>
      <w:proofErr w:type="spellEnd"/>
      <w:r w:rsidRPr="00F163AD">
        <w:rPr>
          <w:rFonts w:ascii="Calibri" w:eastAsia="Times New Roman" w:hAnsi="Calibri" w:cs="Calibri"/>
          <w:lang w:val="en-US"/>
        </w:rPr>
        <w:t xml:space="preserve"> M, </w:t>
      </w:r>
      <w:proofErr w:type="spellStart"/>
      <w:r w:rsidRPr="00F163AD">
        <w:rPr>
          <w:rFonts w:ascii="Calibri" w:eastAsia="Times New Roman" w:hAnsi="Calibri" w:cs="Calibri"/>
          <w:lang w:val="en-US"/>
        </w:rPr>
        <w:t>Śmietańska</w:t>
      </w:r>
      <w:proofErr w:type="spellEnd"/>
      <w:r w:rsidRPr="00F163AD">
        <w:rPr>
          <w:rFonts w:ascii="Calibri" w:eastAsia="Times New Roman" w:hAnsi="Calibri" w:cs="Calibri"/>
          <w:lang w:val="en-US"/>
        </w:rPr>
        <w:t xml:space="preserve"> IA, </w:t>
      </w:r>
      <w:proofErr w:type="spellStart"/>
      <w:r w:rsidRPr="00F163AD">
        <w:rPr>
          <w:rFonts w:ascii="Calibri" w:eastAsia="Times New Roman" w:hAnsi="Calibri" w:cs="Calibri"/>
          <w:lang w:val="en-US"/>
        </w:rPr>
        <w:t>Zamkowski</w:t>
      </w:r>
      <w:proofErr w:type="spellEnd"/>
      <w:r w:rsidRPr="00F163AD">
        <w:rPr>
          <w:rFonts w:ascii="Calibri" w:eastAsia="Times New Roman" w:hAnsi="Calibri" w:cs="Calibri"/>
          <w:lang w:val="en-US"/>
        </w:rPr>
        <w:t xml:space="preserve"> M. Post-partum abdominal wall insufficiency syndrome (PPAWIS): lessons learned from a single surgeon's experience based on 200 cases. BMC Surg. 2022 Aug 8;22(1):305.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10.1186/s12893-022-01757-y.</w:t>
      </w:r>
    </w:p>
    <w:p w14:paraId="1BDB3BC8" w14:textId="77777777" w:rsidR="00256823" w:rsidRPr="00F163AD" w:rsidRDefault="00256823" w:rsidP="00A40A0C">
      <w:pPr>
        <w:spacing w:line="360" w:lineRule="auto"/>
        <w:jc w:val="both"/>
        <w:rPr>
          <w:rFonts w:ascii="Calibri" w:eastAsia="Times New Roman" w:hAnsi="Calibri" w:cs="Calibri"/>
          <w:lang w:val="en-US"/>
        </w:rPr>
      </w:pPr>
      <w:r w:rsidRPr="00F163AD">
        <w:rPr>
          <w:rFonts w:ascii="Calibri" w:eastAsia="Times New Roman" w:hAnsi="Calibri" w:cs="Calibri"/>
          <w:lang w:val="en-US"/>
        </w:rPr>
        <w:t xml:space="preserve">Mota P, Pascoal AG, Sancho F, </w:t>
      </w:r>
      <w:proofErr w:type="spellStart"/>
      <w:r w:rsidRPr="00F163AD">
        <w:rPr>
          <w:rFonts w:ascii="Calibri" w:eastAsia="Times New Roman" w:hAnsi="Calibri" w:cs="Calibri"/>
          <w:lang w:val="en-US"/>
        </w:rPr>
        <w:t>Bø</w:t>
      </w:r>
      <w:proofErr w:type="spellEnd"/>
      <w:r w:rsidRPr="00F163AD">
        <w:rPr>
          <w:rFonts w:ascii="Calibri" w:eastAsia="Times New Roman" w:hAnsi="Calibri" w:cs="Calibri"/>
          <w:lang w:val="en-US"/>
        </w:rPr>
        <w:t xml:space="preserve"> K. Test-retest and </w:t>
      </w:r>
      <w:proofErr w:type="spellStart"/>
      <w:r w:rsidRPr="00F163AD">
        <w:rPr>
          <w:rFonts w:ascii="Calibri" w:eastAsia="Times New Roman" w:hAnsi="Calibri" w:cs="Calibri"/>
          <w:lang w:val="en-US"/>
        </w:rPr>
        <w:t>intrarater</w:t>
      </w:r>
      <w:proofErr w:type="spellEnd"/>
      <w:r w:rsidRPr="00F163AD">
        <w:rPr>
          <w:rFonts w:ascii="Calibri" w:eastAsia="Times New Roman" w:hAnsi="Calibri" w:cs="Calibri"/>
          <w:lang w:val="en-US"/>
        </w:rPr>
        <w:t xml:space="preserve"> reliability of 2-dimensional ultrasound measurements of distance between rectus abdominis in women. J </w:t>
      </w:r>
      <w:proofErr w:type="spellStart"/>
      <w:r w:rsidRPr="00F163AD">
        <w:rPr>
          <w:rFonts w:ascii="Calibri" w:eastAsia="Times New Roman" w:hAnsi="Calibri" w:cs="Calibri"/>
          <w:lang w:val="en-US"/>
        </w:rPr>
        <w:t>Orthop</w:t>
      </w:r>
      <w:proofErr w:type="spellEnd"/>
      <w:r w:rsidRPr="00F163AD">
        <w:rPr>
          <w:rFonts w:ascii="Calibri" w:eastAsia="Times New Roman" w:hAnsi="Calibri" w:cs="Calibri"/>
          <w:lang w:val="en-US"/>
        </w:rPr>
        <w:t xml:space="preserve"> Sports Phys Ther. 2012 Nov;42(11):940-6.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xml:space="preserve">: 10.2519/jospt.2012.4115. </w:t>
      </w:r>
    </w:p>
    <w:p w14:paraId="1BDB3BC9" w14:textId="77777777" w:rsidR="00256823" w:rsidRPr="00F163AD" w:rsidRDefault="00256823" w:rsidP="00A40A0C">
      <w:pPr>
        <w:spacing w:line="360" w:lineRule="auto"/>
        <w:jc w:val="both"/>
        <w:rPr>
          <w:rFonts w:ascii="Calibri" w:eastAsia="Times New Roman" w:hAnsi="Calibri" w:cs="Calibri"/>
          <w:lang w:val="en-US"/>
        </w:rPr>
      </w:pPr>
      <w:r w:rsidRPr="00F163AD">
        <w:rPr>
          <w:rFonts w:ascii="Calibri" w:eastAsia="Times New Roman" w:hAnsi="Calibri" w:cs="Calibri"/>
          <w:lang w:val="en-US"/>
        </w:rPr>
        <w:t xml:space="preserve">Nahabedian MY. Management Strategies for Diastasis Recti. Semin Plast Surg. 2018 Aug;32(3):147-154.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10.1055/s-0038-1661380.</w:t>
      </w:r>
    </w:p>
    <w:p w14:paraId="1BDB3BCA" w14:textId="77777777" w:rsidR="00256823" w:rsidRPr="00F163AD" w:rsidRDefault="00256823" w:rsidP="00A40A0C">
      <w:pPr>
        <w:spacing w:line="360" w:lineRule="auto"/>
        <w:jc w:val="both"/>
        <w:rPr>
          <w:rFonts w:ascii="Calibri" w:eastAsia="Times New Roman" w:hAnsi="Calibri" w:cs="Calibri"/>
          <w:lang w:val="en-US"/>
        </w:rPr>
      </w:pPr>
      <w:r w:rsidRPr="00F163AD">
        <w:rPr>
          <w:rFonts w:ascii="Calibri" w:eastAsia="Times New Roman" w:hAnsi="Calibri" w:cs="Calibri"/>
          <w:lang w:val="en-US"/>
        </w:rPr>
        <w:t xml:space="preserve">Michalska A, Rokita W, Wolder D, Pogorzelska J, Kaczmarczyk K. Diastasis recti abdominis - a review of treatment methods. </w:t>
      </w:r>
      <w:proofErr w:type="spellStart"/>
      <w:r w:rsidRPr="00F163AD">
        <w:rPr>
          <w:rFonts w:ascii="Calibri" w:eastAsia="Times New Roman" w:hAnsi="Calibri" w:cs="Calibri"/>
          <w:lang w:val="en-US"/>
        </w:rPr>
        <w:t>Ginekol</w:t>
      </w:r>
      <w:proofErr w:type="spellEnd"/>
      <w:r w:rsidRPr="00F163AD">
        <w:rPr>
          <w:rFonts w:ascii="Calibri" w:eastAsia="Times New Roman" w:hAnsi="Calibri" w:cs="Calibri"/>
          <w:lang w:val="en-US"/>
        </w:rPr>
        <w:t xml:space="preserve"> Pol. 2018;89(2):97-101.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10.5603/</w:t>
      </w:r>
      <w:proofErr w:type="gramStart"/>
      <w:r w:rsidRPr="00F163AD">
        <w:rPr>
          <w:rFonts w:ascii="Calibri" w:eastAsia="Times New Roman" w:hAnsi="Calibri" w:cs="Calibri"/>
          <w:lang w:val="en-US"/>
        </w:rPr>
        <w:t>GP.a</w:t>
      </w:r>
      <w:proofErr w:type="gramEnd"/>
      <w:r w:rsidRPr="00F163AD">
        <w:rPr>
          <w:rFonts w:ascii="Calibri" w:eastAsia="Times New Roman" w:hAnsi="Calibri" w:cs="Calibri"/>
          <w:lang w:val="en-US"/>
        </w:rPr>
        <w:t>2018.0016.   </w:t>
      </w:r>
    </w:p>
    <w:p w14:paraId="1BDB3BCB" w14:textId="77777777" w:rsidR="00256823" w:rsidRPr="00F163AD" w:rsidRDefault="00256823" w:rsidP="00A40A0C">
      <w:pPr>
        <w:spacing w:line="360" w:lineRule="auto"/>
        <w:jc w:val="both"/>
        <w:rPr>
          <w:rFonts w:ascii="Calibri" w:eastAsia="Times New Roman" w:hAnsi="Calibri" w:cs="Calibri"/>
          <w:lang w:val="en-US"/>
        </w:rPr>
      </w:pPr>
      <w:r w:rsidRPr="00F163AD">
        <w:rPr>
          <w:rFonts w:ascii="Calibri" w:eastAsia="Times New Roman" w:hAnsi="Calibri" w:cs="Calibri"/>
          <w:lang w:val="en-US"/>
        </w:rPr>
        <w:t xml:space="preserve">Paladine HL, Blenning CE, </w:t>
      </w:r>
      <w:proofErr w:type="spellStart"/>
      <w:r w:rsidRPr="00F163AD">
        <w:rPr>
          <w:rFonts w:ascii="Calibri" w:eastAsia="Times New Roman" w:hAnsi="Calibri" w:cs="Calibri"/>
          <w:lang w:val="en-US"/>
        </w:rPr>
        <w:t>Strangas</w:t>
      </w:r>
      <w:proofErr w:type="spellEnd"/>
      <w:r w:rsidRPr="00F163AD">
        <w:rPr>
          <w:rFonts w:ascii="Calibri" w:eastAsia="Times New Roman" w:hAnsi="Calibri" w:cs="Calibri"/>
          <w:lang w:val="en-US"/>
        </w:rPr>
        <w:t xml:space="preserve"> Y. Postpartum Care: An Approach to the Fourth Trimester. Am Fam Physician. 2019 Oct 15;100(8):485-491. PMID: 31613576. </w:t>
      </w:r>
    </w:p>
    <w:p w14:paraId="1BDB3BCC" w14:textId="77777777" w:rsidR="00256823" w:rsidRPr="00F163AD" w:rsidRDefault="00256823" w:rsidP="00A40A0C">
      <w:pPr>
        <w:spacing w:line="360" w:lineRule="auto"/>
        <w:jc w:val="both"/>
        <w:rPr>
          <w:rFonts w:ascii="Calibri" w:eastAsia="Times New Roman" w:hAnsi="Calibri" w:cs="Calibri"/>
          <w:lang w:val="en-US"/>
        </w:rPr>
      </w:pPr>
      <w:r w:rsidRPr="00F163AD">
        <w:rPr>
          <w:rFonts w:ascii="Calibri" w:eastAsia="Times New Roman" w:hAnsi="Calibri" w:cs="Calibri"/>
          <w:lang w:val="en-US"/>
        </w:rPr>
        <w:t xml:space="preserve">Gungor S, Baser I, Ceyhan S, </w:t>
      </w:r>
      <w:proofErr w:type="spellStart"/>
      <w:r w:rsidRPr="00F163AD">
        <w:rPr>
          <w:rFonts w:ascii="Calibri" w:eastAsia="Times New Roman" w:hAnsi="Calibri" w:cs="Calibri"/>
          <w:lang w:val="en-US"/>
        </w:rPr>
        <w:t>Karasahin</w:t>
      </w:r>
      <w:proofErr w:type="spellEnd"/>
      <w:r w:rsidRPr="00F163AD">
        <w:rPr>
          <w:rFonts w:ascii="Calibri" w:eastAsia="Times New Roman" w:hAnsi="Calibri" w:cs="Calibri"/>
          <w:lang w:val="en-US"/>
        </w:rPr>
        <w:t xml:space="preserve"> E, </w:t>
      </w:r>
      <w:proofErr w:type="spellStart"/>
      <w:r w:rsidRPr="00F163AD">
        <w:rPr>
          <w:rFonts w:ascii="Calibri" w:eastAsia="Times New Roman" w:hAnsi="Calibri" w:cs="Calibri"/>
          <w:lang w:val="en-US"/>
        </w:rPr>
        <w:t>Acikel</w:t>
      </w:r>
      <w:proofErr w:type="spellEnd"/>
      <w:r w:rsidRPr="00F163AD">
        <w:rPr>
          <w:rFonts w:ascii="Calibri" w:eastAsia="Times New Roman" w:hAnsi="Calibri" w:cs="Calibri"/>
          <w:lang w:val="en-US"/>
        </w:rPr>
        <w:t xml:space="preserve"> CH. Mode of delivery and subsequent long-term sexual function of primiparous women. Int J Impot Res. 2007 Jul-Aug;19(4):358-65.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xml:space="preserve">: 10.1038/sj.ijir.3901546. </w:t>
      </w:r>
    </w:p>
    <w:p w14:paraId="1BDB3BCD" w14:textId="77777777" w:rsidR="00256823" w:rsidRPr="00F163AD" w:rsidRDefault="00256823" w:rsidP="00A40A0C">
      <w:pPr>
        <w:spacing w:after="0" w:line="360" w:lineRule="auto"/>
        <w:jc w:val="both"/>
        <w:rPr>
          <w:rFonts w:ascii="Calibri" w:eastAsia="Times New Roman" w:hAnsi="Calibri" w:cs="Calibri"/>
          <w:lang w:val="en-US"/>
        </w:rPr>
      </w:pPr>
      <w:proofErr w:type="spellStart"/>
      <w:r w:rsidRPr="00F163AD">
        <w:rPr>
          <w:rFonts w:ascii="Calibri" w:eastAsia="Times New Roman" w:hAnsi="Calibri" w:cs="Calibri"/>
        </w:rPr>
        <w:t>Grussu</w:t>
      </w:r>
      <w:proofErr w:type="spellEnd"/>
      <w:r w:rsidRPr="00F163AD">
        <w:rPr>
          <w:rFonts w:ascii="Calibri" w:eastAsia="Times New Roman" w:hAnsi="Calibri" w:cs="Calibri"/>
        </w:rPr>
        <w:t xml:space="preserve"> P, Vicini B, </w:t>
      </w:r>
      <w:proofErr w:type="spellStart"/>
      <w:r w:rsidRPr="00F163AD">
        <w:rPr>
          <w:rFonts w:ascii="Calibri" w:eastAsia="Times New Roman" w:hAnsi="Calibri" w:cs="Calibri"/>
        </w:rPr>
        <w:t>Quatraro</w:t>
      </w:r>
      <w:proofErr w:type="spellEnd"/>
      <w:r w:rsidRPr="00F163AD">
        <w:rPr>
          <w:rFonts w:ascii="Calibri" w:eastAsia="Times New Roman" w:hAnsi="Calibri" w:cs="Calibri"/>
        </w:rPr>
        <w:t xml:space="preserve"> RM. </w:t>
      </w:r>
      <w:r w:rsidRPr="00F163AD">
        <w:rPr>
          <w:rFonts w:ascii="Calibri" w:eastAsia="Times New Roman" w:hAnsi="Calibri" w:cs="Calibri"/>
          <w:lang w:val="en-US"/>
        </w:rPr>
        <w:t xml:space="preserve">Sexuality in the perinatal period: A systematic review of reviews and recommendations for practice. Sex </w:t>
      </w:r>
      <w:proofErr w:type="spellStart"/>
      <w:r w:rsidRPr="00F163AD">
        <w:rPr>
          <w:rFonts w:ascii="Calibri" w:eastAsia="Times New Roman" w:hAnsi="Calibri" w:cs="Calibri"/>
          <w:lang w:val="en-US"/>
        </w:rPr>
        <w:t>Reprod</w:t>
      </w:r>
      <w:proofErr w:type="spellEnd"/>
      <w:r w:rsidRPr="00F163AD">
        <w:rPr>
          <w:rFonts w:ascii="Calibri" w:eastAsia="Times New Roman" w:hAnsi="Calibri" w:cs="Calibri"/>
          <w:lang w:val="en-US"/>
        </w:rPr>
        <w:t xml:space="preserve"> </w:t>
      </w:r>
      <w:proofErr w:type="spellStart"/>
      <w:r w:rsidRPr="00F163AD">
        <w:rPr>
          <w:rFonts w:ascii="Calibri" w:eastAsia="Times New Roman" w:hAnsi="Calibri" w:cs="Calibri"/>
          <w:lang w:val="en-US"/>
        </w:rPr>
        <w:t>Healthc</w:t>
      </w:r>
      <w:proofErr w:type="spellEnd"/>
      <w:r w:rsidRPr="00F163AD">
        <w:rPr>
          <w:rFonts w:ascii="Calibri" w:eastAsia="Times New Roman" w:hAnsi="Calibri" w:cs="Calibri"/>
          <w:lang w:val="en-US"/>
        </w:rPr>
        <w:t xml:space="preserve">. 2021 Dec; 30:100668.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10.1016/j.srhc.2021.100668.</w:t>
      </w:r>
    </w:p>
    <w:p w14:paraId="1BDB3BCE" w14:textId="77777777" w:rsidR="00256823" w:rsidRPr="00F163AD" w:rsidRDefault="00256823" w:rsidP="00A40A0C">
      <w:pPr>
        <w:spacing w:line="360" w:lineRule="auto"/>
        <w:jc w:val="both"/>
        <w:rPr>
          <w:rFonts w:ascii="Calibri" w:eastAsia="Times New Roman" w:hAnsi="Calibri" w:cs="Calibri"/>
          <w:lang w:val="en-US"/>
        </w:rPr>
      </w:pPr>
      <w:r w:rsidRPr="00F163AD">
        <w:rPr>
          <w:rFonts w:ascii="Calibri" w:eastAsia="Times New Roman" w:hAnsi="Calibri" w:cs="Calibri"/>
          <w:lang w:val="en-US"/>
        </w:rPr>
        <w:t xml:space="preserve">Rosen R, Brown C, Heiman J, </w:t>
      </w:r>
      <w:proofErr w:type="spellStart"/>
      <w:r w:rsidRPr="00F163AD">
        <w:rPr>
          <w:rFonts w:ascii="Calibri" w:eastAsia="Times New Roman" w:hAnsi="Calibri" w:cs="Calibri"/>
          <w:lang w:val="en-US"/>
        </w:rPr>
        <w:t>Leiblum</w:t>
      </w:r>
      <w:proofErr w:type="spellEnd"/>
      <w:r w:rsidRPr="00F163AD">
        <w:rPr>
          <w:rFonts w:ascii="Calibri" w:eastAsia="Times New Roman" w:hAnsi="Calibri" w:cs="Calibri"/>
          <w:lang w:val="en-US"/>
        </w:rPr>
        <w:t xml:space="preserve"> S, Meston C, </w:t>
      </w:r>
      <w:proofErr w:type="spellStart"/>
      <w:r w:rsidRPr="00F163AD">
        <w:rPr>
          <w:rFonts w:ascii="Calibri" w:eastAsia="Times New Roman" w:hAnsi="Calibri" w:cs="Calibri"/>
          <w:lang w:val="en-US"/>
        </w:rPr>
        <w:t>Shabsigh</w:t>
      </w:r>
      <w:proofErr w:type="spellEnd"/>
      <w:r w:rsidRPr="00F163AD">
        <w:rPr>
          <w:rFonts w:ascii="Calibri" w:eastAsia="Times New Roman" w:hAnsi="Calibri" w:cs="Calibri"/>
          <w:lang w:val="en-US"/>
        </w:rPr>
        <w:t xml:space="preserve"> R, et al. The Female Sexual Function Index (FSFI): a multidimensional self-report instrument for the assessment of female sexual function. J Sex Marital Ther. 2000 Apr-Jun;26(2):191-208.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xml:space="preserve">: 10.1080/009262300278597.  </w:t>
      </w:r>
    </w:p>
    <w:p w14:paraId="1BDB3BCF" w14:textId="77777777" w:rsidR="00256823" w:rsidRPr="00F163AD" w:rsidRDefault="00256823" w:rsidP="00A40A0C">
      <w:pPr>
        <w:spacing w:line="360" w:lineRule="auto"/>
        <w:jc w:val="both"/>
        <w:rPr>
          <w:rFonts w:ascii="Calibri" w:eastAsia="Times New Roman" w:hAnsi="Calibri" w:cs="Calibri"/>
          <w:lang w:val="es-ES"/>
        </w:rPr>
      </w:pPr>
      <w:proofErr w:type="spellStart"/>
      <w:r w:rsidRPr="00F163AD">
        <w:rPr>
          <w:rFonts w:ascii="Calibri" w:eastAsia="Times New Roman" w:hAnsi="Calibri" w:cs="Calibri"/>
          <w:lang w:val="es-ES"/>
        </w:rPr>
        <w:lastRenderedPageBreak/>
        <w:t>Blümel</w:t>
      </w:r>
      <w:proofErr w:type="spellEnd"/>
      <w:r w:rsidRPr="00F163AD">
        <w:rPr>
          <w:rFonts w:ascii="Calibri" w:eastAsia="Times New Roman" w:hAnsi="Calibri" w:cs="Calibri"/>
          <w:lang w:val="es-ES"/>
        </w:rPr>
        <w:t xml:space="preserve"> JE, </w:t>
      </w:r>
      <w:proofErr w:type="spellStart"/>
      <w:r w:rsidRPr="00F163AD">
        <w:rPr>
          <w:rFonts w:ascii="Calibri" w:eastAsia="Times New Roman" w:hAnsi="Calibri" w:cs="Calibri"/>
          <w:lang w:val="es-ES"/>
        </w:rPr>
        <w:t>Binfa</w:t>
      </w:r>
      <w:proofErr w:type="spellEnd"/>
      <w:r w:rsidRPr="00F163AD">
        <w:rPr>
          <w:rFonts w:ascii="Calibri" w:eastAsia="Times New Roman" w:hAnsi="Calibri" w:cs="Calibri"/>
          <w:lang w:val="es-ES"/>
        </w:rPr>
        <w:t xml:space="preserve"> L, Cataldo P, Carrasco A, Izaguirre H, </w:t>
      </w:r>
      <w:proofErr w:type="spellStart"/>
      <w:r w:rsidRPr="00F163AD">
        <w:rPr>
          <w:rFonts w:ascii="Calibri" w:eastAsia="Times New Roman" w:hAnsi="Calibri" w:cs="Calibri"/>
          <w:lang w:val="es-ES"/>
        </w:rPr>
        <w:t>Sarrá</w:t>
      </w:r>
      <w:proofErr w:type="spellEnd"/>
      <w:r w:rsidRPr="00F163AD">
        <w:rPr>
          <w:rFonts w:ascii="Calibri" w:eastAsia="Times New Roman" w:hAnsi="Calibri" w:cs="Calibri"/>
          <w:lang w:val="es-ES"/>
        </w:rPr>
        <w:t xml:space="preserve"> S. Índice de función sexual femenina: </w:t>
      </w:r>
      <w:proofErr w:type="gramStart"/>
      <w:r w:rsidRPr="00F163AD">
        <w:rPr>
          <w:rFonts w:ascii="Calibri" w:eastAsia="Times New Roman" w:hAnsi="Calibri" w:cs="Calibri"/>
          <w:lang w:val="es-ES"/>
        </w:rPr>
        <w:t>un test</w:t>
      </w:r>
      <w:proofErr w:type="gramEnd"/>
      <w:r w:rsidRPr="00F163AD">
        <w:rPr>
          <w:rFonts w:ascii="Calibri" w:eastAsia="Times New Roman" w:hAnsi="Calibri" w:cs="Calibri"/>
          <w:lang w:val="es-ES"/>
        </w:rPr>
        <w:t xml:space="preserve"> para evaluar la sexualidad de la mujer. Revista chilena de obstetricia y ginecología. 2004; 69(2), 118-125. </w:t>
      </w:r>
      <w:hyperlink r:id="rId12" w:history="1">
        <w:r w:rsidRPr="00F163AD">
          <w:rPr>
            <w:rFonts w:ascii="Calibri" w:eastAsia="Times New Roman" w:hAnsi="Calibri" w:cs="Calibri"/>
            <w:lang w:val="es-ES"/>
          </w:rPr>
          <w:t>doi.org/10.4067/S0717-75262004000200006</w:t>
        </w:r>
      </w:hyperlink>
    </w:p>
    <w:p w14:paraId="1BDB3BD0" w14:textId="77777777" w:rsidR="00256823" w:rsidRPr="00F163AD" w:rsidRDefault="00256823" w:rsidP="00A40A0C">
      <w:pPr>
        <w:spacing w:line="360" w:lineRule="auto"/>
        <w:jc w:val="both"/>
        <w:rPr>
          <w:rFonts w:ascii="Calibri" w:eastAsia="Times New Roman" w:hAnsi="Calibri" w:cs="Calibri"/>
          <w:lang w:val="es-ES"/>
        </w:rPr>
      </w:pPr>
      <w:r w:rsidRPr="00F163AD">
        <w:rPr>
          <w:rFonts w:ascii="Calibri" w:eastAsia="Times New Roman" w:hAnsi="Calibri" w:cs="Calibri"/>
          <w:lang w:val="en-US"/>
        </w:rPr>
        <w:t xml:space="preserve">Wiegel M, Meston C, Rosen R. The female sexual function index (FSFI): cross-validation and development of clinical cutoff scores. </w:t>
      </w:r>
      <w:r w:rsidRPr="00F163AD">
        <w:rPr>
          <w:rFonts w:ascii="Calibri" w:eastAsia="Times New Roman" w:hAnsi="Calibri" w:cs="Calibri"/>
          <w:lang w:val="es-ES"/>
        </w:rPr>
        <w:t xml:space="preserve">J Sex Marital </w:t>
      </w:r>
      <w:proofErr w:type="spellStart"/>
      <w:r w:rsidRPr="00F163AD">
        <w:rPr>
          <w:rFonts w:ascii="Calibri" w:eastAsia="Times New Roman" w:hAnsi="Calibri" w:cs="Calibri"/>
          <w:lang w:val="es-ES"/>
        </w:rPr>
        <w:t>Ther</w:t>
      </w:r>
      <w:proofErr w:type="spellEnd"/>
      <w:r w:rsidRPr="00F163AD">
        <w:rPr>
          <w:rFonts w:ascii="Calibri" w:eastAsia="Times New Roman" w:hAnsi="Calibri" w:cs="Calibri"/>
          <w:lang w:val="es-ES"/>
        </w:rPr>
        <w:t xml:space="preserve">. 2005 Jan-Feb;31(1):1-20. </w:t>
      </w:r>
      <w:proofErr w:type="spellStart"/>
      <w:r w:rsidRPr="00F163AD">
        <w:rPr>
          <w:rFonts w:ascii="Calibri" w:eastAsia="Times New Roman" w:hAnsi="Calibri" w:cs="Calibri"/>
          <w:lang w:val="es-ES"/>
        </w:rPr>
        <w:t>doi</w:t>
      </w:r>
      <w:proofErr w:type="spellEnd"/>
      <w:r w:rsidRPr="00F163AD">
        <w:rPr>
          <w:rFonts w:ascii="Calibri" w:eastAsia="Times New Roman" w:hAnsi="Calibri" w:cs="Calibri"/>
          <w:lang w:val="es-ES"/>
        </w:rPr>
        <w:t>: 10.1080/00926230590475206.</w:t>
      </w:r>
    </w:p>
    <w:p w14:paraId="1BDB3BD1" w14:textId="77777777" w:rsidR="00256823" w:rsidRPr="00F163AD" w:rsidRDefault="00256823" w:rsidP="00161457">
      <w:pPr>
        <w:spacing w:line="360" w:lineRule="auto"/>
        <w:jc w:val="both"/>
        <w:rPr>
          <w:rFonts w:ascii="Calibri" w:eastAsia="Times New Roman" w:hAnsi="Calibri" w:cs="Calibri"/>
          <w:lang w:val="en-US"/>
        </w:rPr>
      </w:pPr>
      <w:r>
        <w:fldChar w:fldCharType="begin"/>
      </w:r>
      <w:r>
        <w:instrText>HYPERLINK "http://www.scielo.org.mx/cgi-bin/wxis.exe/iah/?IsisScript=iah/iah.xis&amp;base=article%5Edlibrary&amp;format=iso.pft&amp;lang=e&amp;nextAction=lnk&amp;indexSearch=AU&amp;exprSearch=OLIVARES-ALBORNOZ,+CRISTINA+M." \h</w:instrText>
      </w:r>
      <w:r>
        <w:fldChar w:fldCharType="separate"/>
      </w:r>
      <w:r w:rsidRPr="00F163AD">
        <w:rPr>
          <w:rFonts w:ascii="Calibri" w:eastAsia="Times New Roman" w:hAnsi="Calibri" w:cs="Calibri"/>
        </w:rPr>
        <w:t>Olivares-Albornoz, C</w:t>
      </w:r>
      <w:r>
        <w:fldChar w:fldCharType="end"/>
      </w:r>
      <w:r w:rsidRPr="00F163AD">
        <w:rPr>
          <w:rFonts w:ascii="Calibri" w:eastAsia="Times New Roman" w:hAnsi="Calibri" w:cs="Calibri"/>
        </w:rPr>
        <w:t xml:space="preserve">. El rol histórico de la cesárea y su relación con la mortalidad materna. </w:t>
      </w:r>
      <w:proofErr w:type="spellStart"/>
      <w:r w:rsidRPr="00F163AD">
        <w:rPr>
          <w:rFonts w:ascii="Calibri" w:eastAsia="Times New Roman" w:hAnsi="Calibri" w:cs="Calibri"/>
          <w:lang w:val="en-US"/>
        </w:rPr>
        <w:t>Perinatol</w:t>
      </w:r>
      <w:proofErr w:type="spellEnd"/>
      <w:r w:rsidRPr="00F163AD">
        <w:rPr>
          <w:rFonts w:ascii="Calibri" w:eastAsia="Times New Roman" w:hAnsi="Calibri" w:cs="Calibri"/>
          <w:lang w:val="en-US"/>
        </w:rPr>
        <w:t xml:space="preserve">. </w:t>
      </w:r>
      <w:proofErr w:type="spellStart"/>
      <w:r w:rsidRPr="00F163AD">
        <w:rPr>
          <w:rFonts w:ascii="Calibri" w:eastAsia="Times New Roman" w:hAnsi="Calibri" w:cs="Calibri"/>
          <w:lang w:val="en-US"/>
        </w:rPr>
        <w:t>Reprod</w:t>
      </w:r>
      <w:proofErr w:type="spellEnd"/>
      <w:r w:rsidRPr="00F163AD">
        <w:rPr>
          <w:rFonts w:ascii="Calibri" w:eastAsia="Times New Roman" w:hAnsi="Calibri" w:cs="Calibri"/>
          <w:lang w:val="en-US"/>
        </w:rPr>
        <w:t xml:space="preserve">. Hum. [online]. 2021, vol.35, n.3, pp.99-103.  </w:t>
      </w:r>
      <w:hyperlink r:id="rId13">
        <w:r w:rsidRPr="00F163AD">
          <w:rPr>
            <w:rFonts w:ascii="Calibri" w:eastAsia="Times New Roman" w:hAnsi="Calibri" w:cs="Calibri"/>
            <w:lang w:val="en-US"/>
          </w:rPr>
          <w:t>doi.org/10.24875/per.20000020</w:t>
        </w:r>
      </w:hyperlink>
      <w:r w:rsidRPr="00F163AD">
        <w:rPr>
          <w:rFonts w:ascii="Calibri" w:eastAsia="Times New Roman" w:hAnsi="Calibri" w:cs="Calibri"/>
          <w:lang w:val="en-US"/>
        </w:rPr>
        <w:t>.</w:t>
      </w:r>
    </w:p>
    <w:p w14:paraId="1BDB3BD2" w14:textId="77777777" w:rsidR="00256823" w:rsidRPr="00F163AD" w:rsidRDefault="00256823" w:rsidP="00161457">
      <w:pPr>
        <w:spacing w:line="360" w:lineRule="auto"/>
        <w:jc w:val="both"/>
        <w:rPr>
          <w:rFonts w:ascii="Calibri" w:eastAsia="Times New Roman" w:hAnsi="Calibri" w:cs="Calibri"/>
          <w:lang w:val="en-US"/>
        </w:rPr>
      </w:pPr>
      <w:proofErr w:type="spellStart"/>
      <w:r w:rsidRPr="00F163AD">
        <w:rPr>
          <w:rFonts w:ascii="Calibri" w:eastAsia="Times New Roman" w:hAnsi="Calibri" w:cs="Calibri"/>
          <w:lang w:val="en-US"/>
        </w:rPr>
        <w:t>Sperstad</w:t>
      </w:r>
      <w:proofErr w:type="spellEnd"/>
      <w:r w:rsidRPr="00F163AD">
        <w:rPr>
          <w:rFonts w:ascii="Calibri" w:eastAsia="Times New Roman" w:hAnsi="Calibri" w:cs="Calibri"/>
          <w:lang w:val="en-US"/>
        </w:rPr>
        <w:t xml:space="preserve"> JB, Tennfjord MK, Hilde G, </w:t>
      </w:r>
      <w:proofErr w:type="spellStart"/>
      <w:r w:rsidRPr="00F163AD">
        <w:rPr>
          <w:rFonts w:ascii="Calibri" w:eastAsia="Times New Roman" w:hAnsi="Calibri" w:cs="Calibri"/>
          <w:lang w:val="en-US"/>
        </w:rPr>
        <w:t>Ellström</w:t>
      </w:r>
      <w:proofErr w:type="spellEnd"/>
      <w:r w:rsidRPr="00F163AD">
        <w:rPr>
          <w:rFonts w:ascii="Calibri" w:eastAsia="Times New Roman" w:hAnsi="Calibri" w:cs="Calibri"/>
          <w:lang w:val="en-US"/>
        </w:rPr>
        <w:t xml:space="preserve">-Engh M, </w:t>
      </w:r>
      <w:proofErr w:type="spellStart"/>
      <w:r w:rsidRPr="00F163AD">
        <w:rPr>
          <w:rFonts w:ascii="Calibri" w:eastAsia="Times New Roman" w:hAnsi="Calibri" w:cs="Calibri"/>
          <w:lang w:val="en-US"/>
        </w:rPr>
        <w:t>Bø</w:t>
      </w:r>
      <w:proofErr w:type="spellEnd"/>
      <w:r w:rsidRPr="00F163AD">
        <w:rPr>
          <w:rFonts w:ascii="Calibri" w:eastAsia="Times New Roman" w:hAnsi="Calibri" w:cs="Calibri"/>
          <w:lang w:val="en-US"/>
        </w:rPr>
        <w:t xml:space="preserve"> K. Diastasis recti abdominis during pregnancy and 12 months after childbirth: prevalence, risk factors and report of lumbopelvic pain. Br J Sports Med. 2016 Sep;50(17):1092-6.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xml:space="preserve">: 10.1136/bjsports-2016-096065. </w:t>
      </w:r>
    </w:p>
    <w:p w14:paraId="1BDB3BD3" w14:textId="77777777" w:rsidR="00256823" w:rsidRPr="00F163AD" w:rsidRDefault="00256823" w:rsidP="00161457">
      <w:pPr>
        <w:spacing w:line="360" w:lineRule="auto"/>
        <w:jc w:val="both"/>
        <w:rPr>
          <w:rFonts w:ascii="Calibri" w:eastAsia="Times New Roman" w:hAnsi="Calibri" w:cs="Calibri"/>
          <w:lang w:val="en-US"/>
        </w:rPr>
      </w:pPr>
      <w:r w:rsidRPr="00F163AD">
        <w:rPr>
          <w:rFonts w:ascii="Calibri" w:eastAsia="Times New Roman" w:hAnsi="Calibri" w:cs="Calibri"/>
          <w:lang w:val="en-US"/>
        </w:rPr>
        <w:t xml:space="preserve">Leeman LM, Rogers RG. Sex after childbirth: postpartum sexual function. </w:t>
      </w:r>
      <w:proofErr w:type="spellStart"/>
      <w:r w:rsidRPr="00F163AD">
        <w:rPr>
          <w:rFonts w:ascii="Calibri" w:eastAsia="Times New Roman" w:hAnsi="Calibri" w:cs="Calibri"/>
          <w:lang w:val="en-US"/>
        </w:rPr>
        <w:t>Obstet</w:t>
      </w:r>
      <w:proofErr w:type="spellEnd"/>
      <w:r w:rsidRPr="00F163AD">
        <w:rPr>
          <w:rFonts w:ascii="Calibri" w:eastAsia="Times New Roman" w:hAnsi="Calibri" w:cs="Calibri"/>
          <w:lang w:val="en-US"/>
        </w:rPr>
        <w:t xml:space="preserve"> Gynecol. 2012 Mar;119(3):647-55.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xml:space="preserve">: 10.1097/AOG.0b013e3182479611. </w:t>
      </w:r>
    </w:p>
    <w:p w14:paraId="1BDB3BD4" w14:textId="77777777" w:rsidR="00256823" w:rsidRPr="00F163AD" w:rsidRDefault="00256823" w:rsidP="00161457">
      <w:pPr>
        <w:spacing w:line="360" w:lineRule="auto"/>
        <w:jc w:val="both"/>
        <w:rPr>
          <w:rFonts w:ascii="Calibri" w:eastAsia="Times New Roman" w:hAnsi="Calibri" w:cs="Calibri"/>
        </w:rPr>
      </w:pPr>
      <w:proofErr w:type="spellStart"/>
      <w:r w:rsidRPr="00F163AD">
        <w:rPr>
          <w:rFonts w:ascii="Calibri" w:eastAsia="Times New Roman" w:hAnsi="Calibri" w:cs="Calibri"/>
        </w:rPr>
        <w:t>Matthies</w:t>
      </w:r>
      <w:proofErr w:type="spellEnd"/>
      <w:r w:rsidRPr="00F163AD">
        <w:rPr>
          <w:rFonts w:ascii="Calibri" w:eastAsia="Times New Roman" w:hAnsi="Calibri" w:cs="Calibri"/>
        </w:rPr>
        <w:t xml:space="preserve"> LM, </w:t>
      </w:r>
      <w:proofErr w:type="spellStart"/>
      <w:r w:rsidRPr="00F163AD">
        <w:rPr>
          <w:rFonts w:ascii="Calibri" w:eastAsia="Times New Roman" w:hAnsi="Calibri" w:cs="Calibri"/>
        </w:rPr>
        <w:t>Wallwiener</w:t>
      </w:r>
      <w:proofErr w:type="spellEnd"/>
      <w:r w:rsidRPr="00F163AD">
        <w:rPr>
          <w:rFonts w:ascii="Calibri" w:eastAsia="Times New Roman" w:hAnsi="Calibri" w:cs="Calibri"/>
        </w:rPr>
        <w:t xml:space="preserve"> M, Sohn C, </w:t>
      </w:r>
      <w:proofErr w:type="spellStart"/>
      <w:r w:rsidRPr="00F163AD">
        <w:rPr>
          <w:rFonts w:ascii="Calibri" w:eastAsia="Times New Roman" w:hAnsi="Calibri" w:cs="Calibri"/>
        </w:rPr>
        <w:t>Reck</w:t>
      </w:r>
      <w:proofErr w:type="spellEnd"/>
      <w:r w:rsidRPr="00F163AD">
        <w:rPr>
          <w:rFonts w:ascii="Calibri" w:eastAsia="Times New Roman" w:hAnsi="Calibri" w:cs="Calibri"/>
        </w:rPr>
        <w:t xml:space="preserve"> C, Müller M, </w:t>
      </w:r>
      <w:proofErr w:type="spellStart"/>
      <w:r w:rsidRPr="00F163AD">
        <w:rPr>
          <w:rFonts w:ascii="Calibri" w:eastAsia="Times New Roman" w:hAnsi="Calibri" w:cs="Calibri"/>
        </w:rPr>
        <w:t>Wallwiener</w:t>
      </w:r>
      <w:proofErr w:type="spellEnd"/>
      <w:r w:rsidRPr="00F163AD">
        <w:rPr>
          <w:rFonts w:ascii="Calibri" w:eastAsia="Times New Roman" w:hAnsi="Calibri" w:cs="Calibri"/>
        </w:rPr>
        <w:t xml:space="preserve"> S. La influencia de la calidad de la pareja y la lactancia materna en la función sexual femenina posparto. </w:t>
      </w:r>
      <w:proofErr w:type="spellStart"/>
      <w:r w:rsidRPr="00F163AD">
        <w:rPr>
          <w:rFonts w:ascii="Calibri" w:eastAsia="Times New Roman" w:hAnsi="Calibri" w:cs="Calibri"/>
        </w:rPr>
        <w:t>Arch</w:t>
      </w:r>
      <w:proofErr w:type="spellEnd"/>
      <w:r w:rsidRPr="00F163AD">
        <w:rPr>
          <w:rFonts w:ascii="Calibri" w:eastAsia="Times New Roman" w:hAnsi="Calibri" w:cs="Calibri"/>
        </w:rPr>
        <w:t xml:space="preserve"> </w:t>
      </w:r>
      <w:proofErr w:type="spellStart"/>
      <w:r w:rsidRPr="00F163AD">
        <w:rPr>
          <w:rFonts w:ascii="Calibri" w:eastAsia="Times New Roman" w:hAnsi="Calibri" w:cs="Calibri"/>
        </w:rPr>
        <w:t>Gynecol</w:t>
      </w:r>
      <w:proofErr w:type="spellEnd"/>
      <w:r w:rsidRPr="00F163AD">
        <w:rPr>
          <w:rFonts w:ascii="Calibri" w:eastAsia="Times New Roman" w:hAnsi="Calibri" w:cs="Calibri"/>
        </w:rPr>
        <w:t xml:space="preserve"> </w:t>
      </w:r>
      <w:proofErr w:type="spellStart"/>
      <w:r w:rsidRPr="00F163AD">
        <w:rPr>
          <w:rFonts w:ascii="Calibri" w:eastAsia="Times New Roman" w:hAnsi="Calibri" w:cs="Calibri"/>
        </w:rPr>
        <w:t>Obstet</w:t>
      </w:r>
      <w:proofErr w:type="spellEnd"/>
      <w:r w:rsidRPr="00F163AD">
        <w:rPr>
          <w:rFonts w:ascii="Calibri" w:eastAsia="Times New Roman" w:hAnsi="Calibri" w:cs="Calibri"/>
        </w:rPr>
        <w:t xml:space="preserve"> 299, 69–77 (2019). </w:t>
      </w:r>
      <w:r>
        <w:fldChar w:fldCharType="begin"/>
      </w:r>
      <w:r>
        <w:instrText>HYPERLINK "https://doi.org/10.1007/s00404-018-4925-z"</w:instrText>
      </w:r>
      <w:r>
        <w:fldChar w:fldCharType="separate"/>
      </w:r>
      <w:r w:rsidRPr="00F163AD">
        <w:rPr>
          <w:rFonts w:ascii="Calibri" w:eastAsia="Times New Roman" w:hAnsi="Calibri" w:cs="Calibri"/>
        </w:rPr>
        <w:t>doi.org/10.1007/s00404-018-4925-z</w:t>
      </w:r>
      <w:r>
        <w:fldChar w:fldCharType="end"/>
      </w:r>
    </w:p>
    <w:p w14:paraId="1BDB3BD5" w14:textId="77777777" w:rsidR="00256823" w:rsidRPr="00F163AD" w:rsidRDefault="00256823" w:rsidP="00161457">
      <w:pPr>
        <w:spacing w:line="360" w:lineRule="auto"/>
        <w:jc w:val="both"/>
        <w:rPr>
          <w:rFonts w:ascii="Calibri" w:eastAsia="Times New Roman" w:hAnsi="Calibri" w:cs="Calibri"/>
          <w:lang w:val="en-US"/>
        </w:rPr>
      </w:pPr>
      <w:r w:rsidRPr="00F163AD">
        <w:rPr>
          <w:rFonts w:ascii="Calibri" w:eastAsia="Times New Roman" w:hAnsi="Calibri" w:cs="Calibri"/>
          <w:lang w:val="en-US"/>
        </w:rPr>
        <w:t xml:space="preserve">Basson R. Human sexual response. </w:t>
      </w:r>
      <w:proofErr w:type="spellStart"/>
      <w:r w:rsidRPr="00F163AD">
        <w:rPr>
          <w:rFonts w:ascii="Calibri" w:eastAsia="Times New Roman" w:hAnsi="Calibri" w:cs="Calibri"/>
          <w:lang w:val="en-US"/>
        </w:rPr>
        <w:t>Handb</w:t>
      </w:r>
      <w:proofErr w:type="spellEnd"/>
      <w:r w:rsidRPr="00F163AD">
        <w:rPr>
          <w:rFonts w:ascii="Calibri" w:eastAsia="Times New Roman" w:hAnsi="Calibri" w:cs="Calibri"/>
          <w:lang w:val="en-US"/>
        </w:rPr>
        <w:t xml:space="preserve"> Clin Neurol. </w:t>
      </w:r>
      <w:proofErr w:type="gramStart"/>
      <w:r w:rsidRPr="00F163AD">
        <w:rPr>
          <w:rFonts w:ascii="Calibri" w:eastAsia="Times New Roman" w:hAnsi="Calibri" w:cs="Calibri"/>
          <w:lang w:val="en-US"/>
        </w:rPr>
        <w:t>2015;130:11</w:t>
      </w:r>
      <w:proofErr w:type="gramEnd"/>
      <w:r w:rsidRPr="00F163AD">
        <w:rPr>
          <w:rFonts w:ascii="Calibri" w:eastAsia="Times New Roman" w:hAnsi="Calibri" w:cs="Calibri"/>
          <w:lang w:val="en-US"/>
        </w:rPr>
        <w:t xml:space="preserve">-18.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10.1016/B978-0-444-63247-0.00002-X.</w:t>
      </w:r>
    </w:p>
    <w:p w14:paraId="1BDB3BD6" w14:textId="77777777" w:rsidR="00256823" w:rsidRPr="00F163AD" w:rsidRDefault="00256823" w:rsidP="00161457">
      <w:pPr>
        <w:spacing w:line="360" w:lineRule="auto"/>
        <w:jc w:val="both"/>
        <w:rPr>
          <w:rFonts w:ascii="Calibri" w:eastAsia="Times New Roman" w:hAnsi="Calibri" w:cs="Calibri"/>
          <w:lang w:val="en-US"/>
        </w:rPr>
      </w:pPr>
      <w:r w:rsidRPr="00F163AD">
        <w:rPr>
          <w:rFonts w:ascii="Calibri" w:eastAsia="Times New Roman" w:hAnsi="Calibri" w:cs="Calibri"/>
          <w:lang w:val="en-US"/>
        </w:rPr>
        <w:t xml:space="preserve">Schütze S, </w:t>
      </w:r>
      <w:proofErr w:type="spellStart"/>
      <w:r w:rsidRPr="00F163AD">
        <w:rPr>
          <w:rFonts w:ascii="Calibri" w:eastAsia="Times New Roman" w:hAnsi="Calibri" w:cs="Calibri"/>
          <w:lang w:val="en-US"/>
        </w:rPr>
        <w:t>Heinloth</w:t>
      </w:r>
      <w:proofErr w:type="spellEnd"/>
      <w:r w:rsidRPr="00F163AD">
        <w:rPr>
          <w:rFonts w:ascii="Calibri" w:eastAsia="Times New Roman" w:hAnsi="Calibri" w:cs="Calibri"/>
          <w:lang w:val="en-US"/>
        </w:rPr>
        <w:t xml:space="preserve"> M, Uhde M, Schütze J, </w:t>
      </w:r>
      <w:proofErr w:type="spellStart"/>
      <w:r w:rsidRPr="00F163AD">
        <w:rPr>
          <w:rFonts w:ascii="Calibri" w:eastAsia="Times New Roman" w:hAnsi="Calibri" w:cs="Calibri"/>
          <w:lang w:val="en-US"/>
        </w:rPr>
        <w:t>Hüner</w:t>
      </w:r>
      <w:proofErr w:type="spellEnd"/>
      <w:r w:rsidRPr="00F163AD">
        <w:rPr>
          <w:rFonts w:ascii="Calibri" w:eastAsia="Times New Roman" w:hAnsi="Calibri" w:cs="Calibri"/>
          <w:lang w:val="en-US"/>
        </w:rPr>
        <w:t xml:space="preserve"> B, Janni W, et al. The effect of pelvic floor muscle training on pelvic floor function and sexuality postpartum. A randomized study including 300 primiparous. Arch </w:t>
      </w:r>
      <w:proofErr w:type="spellStart"/>
      <w:r w:rsidRPr="00F163AD">
        <w:rPr>
          <w:rFonts w:ascii="Calibri" w:eastAsia="Times New Roman" w:hAnsi="Calibri" w:cs="Calibri"/>
          <w:lang w:val="en-US"/>
        </w:rPr>
        <w:t>Gynecol</w:t>
      </w:r>
      <w:proofErr w:type="spellEnd"/>
      <w:r w:rsidRPr="00F163AD">
        <w:rPr>
          <w:rFonts w:ascii="Calibri" w:eastAsia="Times New Roman" w:hAnsi="Calibri" w:cs="Calibri"/>
          <w:lang w:val="en-US"/>
        </w:rPr>
        <w:t xml:space="preserve"> Obstet. 2022 Sep;306(3):785-793. </w:t>
      </w:r>
      <w:proofErr w:type="spellStart"/>
      <w:r w:rsidRPr="00F163AD">
        <w:rPr>
          <w:rFonts w:ascii="Calibri" w:eastAsia="Times New Roman" w:hAnsi="Calibri" w:cs="Calibri"/>
          <w:lang w:val="en-US"/>
        </w:rPr>
        <w:t>doi</w:t>
      </w:r>
      <w:proofErr w:type="spellEnd"/>
      <w:r w:rsidRPr="00F163AD">
        <w:rPr>
          <w:rFonts w:ascii="Calibri" w:eastAsia="Times New Roman" w:hAnsi="Calibri" w:cs="Calibri"/>
          <w:lang w:val="en-US"/>
        </w:rPr>
        <w:t>: 10.1007/s00404-022-06542-z. </w:t>
      </w:r>
    </w:p>
    <w:p w14:paraId="1BDB3BD7" w14:textId="77777777" w:rsidR="00256823" w:rsidRPr="00F163AD" w:rsidRDefault="00256823" w:rsidP="00D9175A">
      <w:pPr>
        <w:spacing w:line="360" w:lineRule="auto"/>
        <w:jc w:val="both"/>
        <w:rPr>
          <w:rFonts w:ascii="Calibri" w:eastAsia="Times New Roman" w:hAnsi="Calibri" w:cs="Calibri"/>
          <w:lang w:val="en-US"/>
        </w:rPr>
      </w:pPr>
    </w:p>
    <w:p w14:paraId="1BDB3BD8" w14:textId="77777777" w:rsidR="00256823" w:rsidRPr="00F163AD" w:rsidRDefault="00256823" w:rsidP="00D9175A">
      <w:pPr>
        <w:spacing w:line="360" w:lineRule="auto"/>
        <w:jc w:val="both"/>
        <w:rPr>
          <w:rFonts w:ascii="Calibri" w:eastAsia="Times New Roman" w:hAnsi="Calibri" w:cs="Calibri"/>
          <w:lang w:val="en-US"/>
        </w:rPr>
      </w:pPr>
    </w:p>
    <w:p w14:paraId="1BDB3BD9" w14:textId="77777777" w:rsidR="00256823" w:rsidRPr="00F163AD" w:rsidRDefault="00256823" w:rsidP="00D9175A">
      <w:pPr>
        <w:spacing w:line="360" w:lineRule="auto"/>
        <w:jc w:val="both"/>
        <w:rPr>
          <w:rFonts w:ascii="Calibri" w:eastAsia="Times New Roman" w:hAnsi="Calibri" w:cs="Calibri"/>
          <w:lang w:val="en-US"/>
        </w:rPr>
      </w:pPr>
    </w:p>
    <w:p w14:paraId="1BDB3BDA" w14:textId="77777777" w:rsidR="00256823" w:rsidRPr="00F163AD" w:rsidRDefault="00256823" w:rsidP="00D9175A">
      <w:pPr>
        <w:spacing w:line="360" w:lineRule="auto"/>
        <w:jc w:val="both"/>
        <w:rPr>
          <w:rFonts w:ascii="Calibri" w:eastAsia="Times New Roman" w:hAnsi="Calibri" w:cs="Calibri"/>
          <w:lang w:val="en-US"/>
        </w:rPr>
      </w:pPr>
    </w:p>
    <w:p w14:paraId="1BDB3BDB" w14:textId="77777777" w:rsidR="00256823" w:rsidRPr="00F163AD" w:rsidRDefault="00256823" w:rsidP="00D9175A">
      <w:pPr>
        <w:spacing w:line="360" w:lineRule="auto"/>
        <w:jc w:val="both"/>
        <w:rPr>
          <w:rFonts w:ascii="Calibri" w:eastAsia="Times New Roman" w:hAnsi="Calibri" w:cs="Calibri"/>
          <w:lang w:val="en-US"/>
        </w:rPr>
      </w:pPr>
    </w:p>
    <w:p w14:paraId="1BDB3BDC" w14:textId="77777777" w:rsidR="00256823" w:rsidRPr="00F163AD" w:rsidRDefault="00256823" w:rsidP="00D9175A">
      <w:pPr>
        <w:spacing w:line="360" w:lineRule="auto"/>
        <w:jc w:val="both"/>
        <w:rPr>
          <w:rFonts w:ascii="Calibri" w:eastAsia="Times New Roman" w:hAnsi="Calibri" w:cs="Calibri"/>
          <w:lang w:val="en-US"/>
        </w:rPr>
      </w:pPr>
    </w:p>
    <w:p w14:paraId="1BDB3BDD" w14:textId="77777777" w:rsidR="00256823" w:rsidRPr="00F163AD" w:rsidRDefault="00256823" w:rsidP="00D9175A">
      <w:pPr>
        <w:spacing w:line="360" w:lineRule="auto"/>
        <w:rPr>
          <w:rFonts w:ascii="Calibri" w:hAnsi="Calibri" w:cs="Calibri"/>
          <w:b/>
          <w:bCs/>
        </w:rPr>
      </w:pPr>
      <w:r w:rsidRPr="00F163AD">
        <w:rPr>
          <w:rFonts w:ascii="Calibri" w:hAnsi="Calibri" w:cs="Calibri"/>
          <w:b/>
          <w:bCs/>
        </w:rPr>
        <w:t>Tabla I. Diferencia de distribuciones de mediciones de diástasis abdominal según el tipo de parto.</w:t>
      </w:r>
    </w:p>
    <w:tbl>
      <w:tblPr>
        <w:tblW w:w="9660" w:type="dxa"/>
        <w:tblInd w:w="10" w:type="dxa"/>
        <w:tblCellMar>
          <w:left w:w="10" w:type="dxa"/>
          <w:right w:w="10" w:type="dxa"/>
        </w:tblCellMar>
        <w:tblLook w:val="04A0" w:firstRow="1" w:lastRow="0" w:firstColumn="1" w:lastColumn="0" w:noHBand="0" w:noVBand="1"/>
      </w:tblPr>
      <w:tblGrid>
        <w:gridCol w:w="1545"/>
        <w:gridCol w:w="1440"/>
        <w:gridCol w:w="1020"/>
        <w:gridCol w:w="1110"/>
        <w:gridCol w:w="1485"/>
        <w:gridCol w:w="990"/>
        <w:gridCol w:w="1155"/>
        <w:gridCol w:w="915"/>
      </w:tblGrid>
      <w:tr w:rsidR="00D9175A" w:rsidRPr="00F163AD" w14:paraId="1BDB3BE1" w14:textId="77777777">
        <w:trPr>
          <w:trHeight w:val="304"/>
        </w:trPr>
        <w:tc>
          <w:tcPr>
            <w:tcW w:w="1545" w:type="dxa"/>
            <w:noWrap/>
            <w:hideMark/>
          </w:tcPr>
          <w:p w14:paraId="1BDB3BDE" w14:textId="77777777" w:rsidR="00256823" w:rsidRPr="00F163AD" w:rsidRDefault="00256823">
            <w:pPr>
              <w:spacing w:line="360" w:lineRule="auto"/>
              <w:rPr>
                <w:rFonts w:ascii="Calibri" w:hAnsi="Calibri" w:cs="Calibri"/>
                <w:sz w:val="22"/>
                <w:szCs w:val="22"/>
              </w:rPr>
            </w:pPr>
          </w:p>
        </w:tc>
        <w:tc>
          <w:tcPr>
            <w:tcW w:w="7200" w:type="dxa"/>
            <w:gridSpan w:val="6"/>
            <w:noWrap/>
            <w:vAlign w:val="center"/>
            <w:hideMark/>
          </w:tcPr>
          <w:p w14:paraId="1BDB3BDF"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Tipo de parto</w:t>
            </w:r>
          </w:p>
        </w:tc>
        <w:tc>
          <w:tcPr>
            <w:tcW w:w="915" w:type="dxa"/>
            <w:noWrap/>
            <w:vAlign w:val="center"/>
            <w:hideMark/>
          </w:tcPr>
          <w:p w14:paraId="1BDB3BE0" w14:textId="77777777" w:rsidR="00256823" w:rsidRPr="00F163AD" w:rsidRDefault="00256823">
            <w:pPr>
              <w:spacing w:line="360" w:lineRule="auto"/>
              <w:jc w:val="center"/>
              <w:rPr>
                <w:rFonts w:ascii="Calibri" w:hAnsi="Calibri" w:cs="Calibri"/>
                <w:color w:val="000000"/>
                <w:sz w:val="22"/>
                <w:szCs w:val="22"/>
              </w:rPr>
            </w:pPr>
          </w:p>
        </w:tc>
      </w:tr>
      <w:tr w:rsidR="00D9175A" w:rsidRPr="00F163AD" w14:paraId="1BDB3BE6" w14:textId="77777777">
        <w:trPr>
          <w:trHeight w:val="304"/>
        </w:trPr>
        <w:tc>
          <w:tcPr>
            <w:tcW w:w="1545" w:type="dxa"/>
            <w:noWrap/>
            <w:hideMark/>
          </w:tcPr>
          <w:p w14:paraId="1BDB3BE2" w14:textId="77777777" w:rsidR="00256823" w:rsidRPr="00F163AD" w:rsidRDefault="00256823">
            <w:pPr>
              <w:spacing w:line="360" w:lineRule="auto"/>
              <w:rPr>
                <w:rFonts w:ascii="Calibri" w:hAnsi="Calibri" w:cs="Calibri"/>
                <w:sz w:val="22"/>
                <w:szCs w:val="22"/>
              </w:rPr>
            </w:pPr>
          </w:p>
        </w:tc>
        <w:tc>
          <w:tcPr>
            <w:tcW w:w="3570" w:type="dxa"/>
            <w:gridSpan w:val="3"/>
            <w:noWrap/>
            <w:vAlign w:val="center"/>
            <w:hideMark/>
          </w:tcPr>
          <w:p w14:paraId="1BDB3BE3" w14:textId="77777777" w:rsidR="00256823" w:rsidRPr="00F163AD" w:rsidRDefault="00256823">
            <w:pPr>
              <w:spacing w:line="360" w:lineRule="auto"/>
              <w:jc w:val="center"/>
              <w:rPr>
                <w:rFonts w:ascii="Calibri" w:hAnsi="Calibri" w:cs="Calibri"/>
                <w:b/>
                <w:bCs/>
                <w:color w:val="000000"/>
                <w:sz w:val="22"/>
                <w:szCs w:val="22"/>
              </w:rPr>
            </w:pPr>
            <w:r w:rsidRPr="00F163AD">
              <w:rPr>
                <w:rFonts w:ascii="Calibri" w:hAnsi="Calibri" w:cs="Calibri"/>
                <w:b/>
                <w:bCs/>
                <w:color w:val="000000"/>
                <w:sz w:val="22"/>
                <w:szCs w:val="22"/>
              </w:rPr>
              <w:t>Vaginal</w:t>
            </w:r>
          </w:p>
        </w:tc>
        <w:tc>
          <w:tcPr>
            <w:tcW w:w="3630" w:type="dxa"/>
            <w:gridSpan w:val="3"/>
            <w:noWrap/>
            <w:vAlign w:val="center"/>
            <w:hideMark/>
          </w:tcPr>
          <w:p w14:paraId="1BDB3BE4" w14:textId="77777777" w:rsidR="00256823" w:rsidRPr="00F163AD" w:rsidRDefault="00256823">
            <w:pPr>
              <w:spacing w:line="360" w:lineRule="auto"/>
              <w:jc w:val="center"/>
              <w:rPr>
                <w:rFonts w:ascii="Calibri" w:hAnsi="Calibri" w:cs="Calibri"/>
                <w:b/>
                <w:bCs/>
                <w:color w:val="000000"/>
                <w:sz w:val="22"/>
                <w:szCs w:val="22"/>
              </w:rPr>
            </w:pPr>
            <w:r w:rsidRPr="00F163AD">
              <w:rPr>
                <w:rFonts w:ascii="Calibri" w:hAnsi="Calibri" w:cs="Calibri"/>
                <w:b/>
                <w:bCs/>
                <w:color w:val="000000" w:themeColor="text1"/>
                <w:sz w:val="22"/>
                <w:szCs w:val="22"/>
              </w:rPr>
              <w:t>Cesárea</w:t>
            </w:r>
          </w:p>
        </w:tc>
        <w:tc>
          <w:tcPr>
            <w:tcW w:w="915" w:type="dxa"/>
            <w:noWrap/>
            <w:vAlign w:val="center"/>
            <w:hideMark/>
          </w:tcPr>
          <w:p w14:paraId="1BDB3BE5" w14:textId="77777777" w:rsidR="00256823" w:rsidRPr="00F163AD" w:rsidRDefault="00256823">
            <w:pPr>
              <w:spacing w:line="360" w:lineRule="auto"/>
              <w:jc w:val="center"/>
              <w:rPr>
                <w:rFonts w:ascii="Calibri" w:hAnsi="Calibri" w:cs="Calibri"/>
                <w:color w:val="000000"/>
                <w:sz w:val="22"/>
                <w:szCs w:val="22"/>
              </w:rPr>
            </w:pPr>
          </w:p>
        </w:tc>
      </w:tr>
      <w:tr w:rsidR="00D9175A" w:rsidRPr="00F163AD" w14:paraId="1BDB3BEF" w14:textId="77777777">
        <w:trPr>
          <w:trHeight w:val="304"/>
        </w:trPr>
        <w:tc>
          <w:tcPr>
            <w:tcW w:w="1545" w:type="dxa"/>
            <w:noWrap/>
            <w:hideMark/>
          </w:tcPr>
          <w:p w14:paraId="1BDB3BE7" w14:textId="77777777" w:rsidR="00256823" w:rsidRPr="00F163AD" w:rsidRDefault="00256823">
            <w:pPr>
              <w:spacing w:line="360" w:lineRule="auto"/>
              <w:rPr>
                <w:rFonts w:ascii="Calibri" w:hAnsi="Calibri" w:cs="Calibri"/>
                <w:sz w:val="22"/>
                <w:szCs w:val="22"/>
              </w:rPr>
            </w:pPr>
          </w:p>
        </w:tc>
        <w:tc>
          <w:tcPr>
            <w:tcW w:w="1440" w:type="dxa"/>
            <w:noWrap/>
            <w:vAlign w:val="center"/>
            <w:hideMark/>
          </w:tcPr>
          <w:p w14:paraId="1BDB3BE8"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Media (D.E.)</w:t>
            </w:r>
          </w:p>
        </w:tc>
        <w:tc>
          <w:tcPr>
            <w:tcW w:w="1020" w:type="dxa"/>
            <w:noWrap/>
            <w:vAlign w:val="center"/>
            <w:hideMark/>
          </w:tcPr>
          <w:p w14:paraId="1BDB3BE9"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Mediana</w:t>
            </w:r>
          </w:p>
        </w:tc>
        <w:tc>
          <w:tcPr>
            <w:tcW w:w="1110" w:type="dxa"/>
            <w:noWrap/>
            <w:vAlign w:val="center"/>
            <w:hideMark/>
          </w:tcPr>
          <w:p w14:paraId="1BDB3BEA" w14:textId="77777777" w:rsidR="00256823" w:rsidRPr="00F163AD" w:rsidRDefault="00256823">
            <w:pPr>
              <w:spacing w:line="360" w:lineRule="auto"/>
              <w:jc w:val="center"/>
              <w:rPr>
                <w:rFonts w:ascii="Calibri" w:hAnsi="Calibri" w:cs="Calibri"/>
                <w:color w:val="000000"/>
                <w:sz w:val="22"/>
                <w:szCs w:val="22"/>
              </w:rPr>
            </w:pPr>
            <w:proofErr w:type="spellStart"/>
            <w:r w:rsidRPr="00F163AD">
              <w:rPr>
                <w:rFonts w:ascii="Calibri" w:hAnsi="Calibri" w:cs="Calibri"/>
                <w:color w:val="000000" w:themeColor="text1"/>
                <w:sz w:val="22"/>
                <w:szCs w:val="22"/>
              </w:rPr>
              <w:t>Mín-Máx</w:t>
            </w:r>
            <w:proofErr w:type="spellEnd"/>
          </w:p>
        </w:tc>
        <w:tc>
          <w:tcPr>
            <w:tcW w:w="1485" w:type="dxa"/>
            <w:noWrap/>
            <w:vAlign w:val="center"/>
            <w:hideMark/>
          </w:tcPr>
          <w:p w14:paraId="1BDB3BEB"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Media (D.E.)</w:t>
            </w:r>
          </w:p>
        </w:tc>
        <w:tc>
          <w:tcPr>
            <w:tcW w:w="990" w:type="dxa"/>
            <w:noWrap/>
            <w:vAlign w:val="center"/>
            <w:hideMark/>
          </w:tcPr>
          <w:p w14:paraId="1BDB3BEC"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Mediana</w:t>
            </w:r>
          </w:p>
        </w:tc>
        <w:tc>
          <w:tcPr>
            <w:tcW w:w="1155" w:type="dxa"/>
            <w:noWrap/>
            <w:vAlign w:val="center"/>
            <w:hideMark/>
          </w:tcPr>
          <w:p w14:paraId="1BDB3BED" w14:textId="77777777" w:rsidR="00256823" w:rsidRPr="00F163AD" w:rsidRDefault="00256823">
            <w:pPr>
              <w:spacing w:line="360" w:lineRule="auto"/>
              <w:jc w:val="center"/>
              <w:rPr>
                <w:rFonts w:ascii="Calibri" w:hAnsi="Calibri" w:cs="Calibri"/>
                <w:color w:val="000000"/>
                <w:sz w:val="22"/>
                <w:szCs w:val="22"/>
              </w:rPr>
            </w:pPr>
            <w:proofErr w:type="spellStart"/>
            <w:r w:rsidRPr="00F163AD">
              <w:rPr>
                <w:rFonts w:ascii="Calibri" w:hAnsi="Calibri" w:cs="Calibri"/>
                <w:color w:val="000000" w:themeColor="text1"/>
                <w:sz w:val="22"/>
                <w:szCs w:val="22"/>
              </w:rPr>
              <w:t>Mín-Máx</w:t>
            </w:r>
            <w:proofErr w:type="spellEnd"/>
          </w:p>
        </w:tc>
        <w:tc>
          <w:tcPr>
            <w:tcW w:w="915" w:type="dxa"/>
            <w:noWrap/>
            <w:vAlign w:val="center"/>
            <w:hideMark/>
          </w:tcPr>
          <w:p w14:paraId="1BDB3BEE"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p-valor</w:t>
            </w:r>
          </w:p>
        </w:tc>
      </w:tr>
      <w:tr w:rsidR="00D9175A" w:rsidRPr="00F163AD" w14:paraId="1BDB3BF8" w14:textId="77777777">
        <w:trPr>
          <w:trHeight w:val="304"/>
        </w:trPr>
        <w:tc>
          <w:tcPr>
            <w:tcW w:w="1545" w:type="dxa"/>
            <w:noWrap/>
            <w:hideMark/>
          </w:tcPr>
          <w:p w14:paraId="1BDB3BF0"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themeColor="text1"/>
                <w:sz w:val="22"/>
                <w:szCs w:val="22"/>
              </w:rPr>
              <w:t xml:space="preserve">Nivel supraumbilical </w:t>
            </w:r>
          </w:p>
        </w:tc>
        <w:tc>
          <w:tcPr>
            <w:tcW w:w="1440" w:type="dxa"/>
            <w:noWrap/>
            <w:vAlign w:val="center"/>
            <w:hideMark/>
          </w:tcPr>
          <w:p w14:paraId="1BDB3BF1"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1,58(0,61)</w:t>
            </w:r>
          </w:p>
        </w:tc>
        <w:tc>
          <w:tcPr>
            <w:tcW w:w="1020" w:type="dxa"/>
            <w:noWrap/>
            <w:vAlign w:val="center"/>
            <w:hideMark/>
          </w:tcPr>
          <w:p w14:paraId="1BDB3BF2"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1,5</w:t>
            </w:r>
          </w:p>
        </w:tc>
        <w:tc>
          <w:tcPr>
            <w:tcW w:w="1110" w:type="dxa"/>
            <w:noWrap/>
            <w:vAlign w:val="center"/>
            <w:hideMark/>
          </w:tcPr>
          <w:p w14:paraId="1BDB3BF3"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0,5-3</w:t>
            </w:r>
          </w:p>
        </w:tc>
        <w:tc>
          <w:tcPr>
            <w:tcW w:w="1485" w:type="dxa"/>
            <w:noWrap/>
            <w:vAlign w:val="center"/>
            <w:hideMark/>
          </w:tcPr>
          <w:p w14:paraId="1BDB3BF4"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1,45(0,56)</w:t>
            </w:r>
          </w:p>
        </w:tc>
        <w:tc>
          <w:tcPr>
            <w:tcW w:w="990" w:type="dxa"/>
            <w:noWrap/>
            <w:vAlign w:val="center"/>
            <w:hideMark/>
          </w:tcPr>
          <w:p w14:paraId="1BDB3BF5"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1,5</w:t>
            </w:r>
          </w:p>
        </w:tc>
        <w:tc>
          <w:tcPr>
            <w:tcW w:w="1155" w:type="dxa"/>
            <w:noWrap/>
            <w:vAlign w:val="center"/>
            <w:hideMark/>
          </w:tcPr>
          <w:p w14:paraId="1BDB3BF6"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0-3</w:t>
            </w:r>
          </w:p>
        </w:tc>
        <w:tc>
          <w:tcPr>
            <w:tcW w:w="915" w:type="dxa"/>
            <w:noWrap/>
            <w:vAlign w:val="center"/>
            <w:hideMark/>
          </w:tcPr>
          <w:p w14:paraId="1BDB3BF7"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0,3936</w:t>
            </w:r>
          </w:p>
        </w:tc>
      </w:tr>
      <w:tr w:rsidR="00D9175A" w:rsidRPr="00F163AD" w14:paraId="1BDB3C01" w14:textId="77777777">
        <w:trPr>
          <w:trHeight w:val="304"/>
        </w:trPr>
        <w:tc>
          <w:tcPr>
            <w:tcW w:w="1545" w:type="dxa"/>
            <w:noWrap/>
            <w:hideMark/>
          </w:tcPr>
          <w:p w14:paraId="1BDB3BF9"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themeColor="text1"/>
                <w:sz w:val="22"/>
                <w:szCs w:val="22"/>
              </w:rPr>
              <w:t xml:space="preserve">Nivel umbilical </w:t>
            </w:r>
          </w:p>
        </w:tc>
        <w:tc>
          <w:tcPr>
            <w:tcW w:w="1440" w:type="dxa"/>
            <w:noWrap/>
            <w:vAlign w:val="center"/>
            <w:hideMark/>
          </w:tcPr>
          <w:p w14:paraId="1BDB3BFA"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1,86(0,91)</w:t>
            </w:r>
          </w:p>
        </w:tc>
        <w:tc>
          <w:tcPr>
            <w:tcW w:w="1020" w:type="dxa"/>
            <w:noWrap/>
            <w:vAlign w:val="center"/>
            <w:hideMark/>
          </w:tcPr>
          <w:p w14:paraId="1BDB3BFB"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1,5</w:t>
            </w:r>
          </w:p>
        </w:tc>
        <w:tc>
          <w:tcPr>
            <w:tcW w:w="1110" w:type="dxa"/>
            <w:noWrap/>
            <w:vAlign w:val="center"/>
            <w:hideMark/>
          </w:tcPr>
          <w:p w14:paraId="1BDB3BFC"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0-4,5</w:t>
            </w:r>
          </w:p>
        </w:tc>
        <w:tc>
          <w:tcPr>
            <w:tcW w:w="1485" w:type="dxa"/>
            <w:noWrap/>
            <w:vAlign w:val="center"/>
            <w:hideMark/>
          </w:tcPr>
          <w:p w14:paraId="1BDB3BFD"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1,98(0,67)</w:t>
            </w:r>
          </w:p>
        </w:tc>
        <w:tc>
          <w:tcPr>
            <w:tcW w:w="990" w:type="dxa"/>
            <w:noWrap/>
            <w:vAlign w:val="center"/>
            <w:hideMark/>
          </w:tcPr>
          <w:p w14:paraId="1BDB3BFE"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1,5</w:t>
            </w:r>
          </w:p>
        </w:tc>
        <w:tc>
          <w:tcPr>
            <w:tcW w:w="1155" w:type="dxa"/>
            <w:noWrap/>
            <w:vAlign w:val="center"/>
            <w:hideMark/>
          </w:tcPr>
          <w:p w14:paraId="1BDB3BFF"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1-3</w:t>
            </w:r>
          </w:p>
        </w:tc>
        <w:tc>
          <w:tcPr>
            <w:tcW w:w="915" w:type="dxa"/>
            <w:noWrap/>
            <w:vAlign w:val="center"/>
            <w:hideMark/>
          </w:tcPr>
          <w:p w14:paraId="1BDB3C00"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0,2451</w:t>
            </w:r>
          </w:p>
        </w:tc>
      </w:tr>
      <w:tr w:rsidR="00D9175A" w:rsidRPr="00F163AD" w14:paraId="1BDB3C0A" w14:textId="77777777">
        <w:trPr>
          <w:trHeight w:val="304"/>
        </w:trPr>
        <w:tc>
          <w:tcPr>
            <w:tcW w:w="1545" w:type="dxa"/>
            <w:noWrap/>
            <w:hideMark/>
          </w:tcPr>
          <w:p w14:paraId="1BDB3C02"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themeColor="text1"/>
                <w:sz w:val="22"/>
                <w:szCs w:val="22"/>
              </w:rPr>
              <w:t>Nivel infraumbilical</w:t>
            </w:r>
          </w:p>
        </w:tc>
        <w:tc>
          <w:tcPr>
            <w:tcW w:w="1440" w:type="dxa"/>
            <w:noWrap/>
            <w:vAlign w:val="center"/>
            <w:hideMark/>
          </w:tcPr>
          <w:p w14:paraId="1BDB3C03"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1,66(0,81)</w:t>
            </w:r>
          </w:p>
        </w:tc>
        <w:tc>
          <w:tcPr>
            <w:tcW w:w="1020" w:type="dxa"/>
            <w:noWrap/>
            <w:vAlign w:val="center"/>
            <w:hideMark/>
          </w:tcPr>
          <w:p w14:paraId="1BDB3C04"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1,5</w:t>
            </w:r>
          </w:p>
        </w:tc>
        <w:tc>
          <w:tcPr>
            <w:tcW w:w="1110" w:type="dxa"/>
            <w:noWrap/>
            <w:vAlign w:val="center"/>
            <w:hideMark/>
          </w:tcPr>
          <w:p w14:paraId="1BDB3C05"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0-4,5</w:t>
            </w:r>
          </w:p>
        </w:tc>
        <w:tc>
          <w:tcPr>
            <w:tcW w:w="1485" w:type="dxa"/>
            <w:noWrap/>
            <w:vAlign w:val="center"/>
            <w:hideMark/>
          </w:tcPr>
          <w:p w14:paraId="1BDB3C06"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1,6(0,72)</w:t>
            </w:r>
          </w:p>
        </w:tc>
        <w:tc>
          <w:tcPr>
            <w:tcW w:w="990" w:type="dxa"/>
            <w:noWrap/>
            <w:vAlign w:val="center"/>
            <w:hideMark/>
          </w:tcPr>
          <w:p w14:paraId="1BDB3C07"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1,5</w:t>
            </w:r>
          </w:p>
        </w:tc>
        <w:tc>
          <w:tcPr>
            <w:tcW w:w="1155" w:type="dxa"/>
            <w:noWrap/>
            <w:vAlign w:val="center"/>
            <w:hideMark/>
          </w:tcPr>
          <w:p w14:paraId="1BDB3C08"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0-3</w:t>
            </w:r>
          </w:p>
        </w:tc>
        <w:tc>
          <w:tcPr>
            <w:tcW w:w="915" w:type="dxa"/>
            <w:noWrap/>
            <w:vAlign w:val="center"/>
            <w:hideMark/>
          </w:tcPr>
          <w:p w14:paraId="1BDB3C09"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themeColor="text1"/>
                <w:sz w:val="22"/>
                <w:szCs w:val="22"/>
              </w:rPr>
              <w:t>0,3936</w:t>
            </w:r>
          </w:p>
        </w:tc>
      </w:tr>
    </w:tbl>
    <w:p w14:paraId="1BDB3C0B" w14:textId="77777777" w:rsidR="00256823" w:rsidRPr="00F163AD" w:rsidRDefault="00256823" w:rsidP="00D9175A">
      <w:pPr>
        <w:rPr>
          <w:rFonts w:ascii="Calibri" w:hAnsi="Calibri" w:cs="Calibri"/>
          <w:sz w:val="18"/>
          <w:szCs w:val="18"/>
        </w:rPr>
      </w:pPr>
      <w:r w:rsidRPr="00F163AD">
        <w:rPr>
          <w:rFonts w:ascii="Calibri" w:hAnsi="Calibri" w:cs="Calibri"/>
          <w:sz w:val="18"/>
          <w:szCs w:val="18"/>
        </w:rPr>
        <w:t>Fuente: Elaboración propia.</w:t>
      </w:r>
    </w:p>
    <w:p w14:paraId="1BDB3C0C" w14:textId="77777777" w:rsidR="00256823" w:rsidRPr="00F163AD" w:rsidRDefault="00256823" w:rsidP="00EB7C38">
      <w:pPr>
        <w:spacing w:line="360" w:lineRule="auto"/>
        <w:jc w:val="both"/>
        <w:rPr>
          <w:rFonts w:ascii="Calibri" w:hAnsi="Calibri" w:cs="Calibri"/>
          <w:sz w:val="18"/>
          <w:szCs w:val="18"/>
        </w:rPr>
      </w:pPr>
      <w:r w:rsidRPr="00F163AD">
        <w:rPr>
          <w:rFonts w:ascii="Calibri" w:hAnsi="Calibri" w:cs="Calibri"/>
          <w:b/>
          <w:bCs/>
        </w:rPr>
        <w:t>Tabla II. Diferencia de distribuciones de las mediciones de DRA según IMC.</w:t>
      </w:r>
    </w:p>
    <w:tbl>
      <w:tblPr>
        <w:tblW w:w="1042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416"/>
        <w:gridCol w:w="1050"/>
        <w:gridCol w:w="510"/>
        <w:gridCol w:w="711"/>
        <w:gridCol w:w="416"/>
        <w:gridCol w:w="1050"/>
        <w:gridCol w:w="510"/>
        <w:gridCol w:w="711"/>
        <w:gridCol w:w="549"/>
        <w:gridCol w:w="1050"/>
        <w:gridCol w:w="565"/>
        <w:gridCol w:w="711"/>
        <w:gridCol w:w="766"/>
      </w:tblGrid>
      <w:tr w:rsidR="0072188C" w:rsidRPr="00F163AD" w14:paraId="1BDB3C0E" w14:textId="77777777" w:rsidTr="009C5D3E">
        <w:trPr>
          <w:trHeight w:val="385"/>
        </w:trPr>
        <w:tc>
          <w:tcPr>
            <w:tcW w:w="10420" w:type="dxa"/>
            <w:gridSpan w:val="14"/>
            <w:tcBorders>
              <w:left w:val="nil"/>
              <w:right w:val="nil"/>
            </w:tcBorders>
            <w:noWrap/>
            <w:vAlign w:val="center"/>
            <w:hideMark/>
          </w:tcPr>
          <w:p w14:paraId="1BDB3C0D" w14:textId="77777777" w:rsidR="00256823" w:rsidRPr="00F163AD" w:rsidRDefault="00256823" w:rsidP="00C7594A">
            <w:pPr>
              <w:jc w:val="center"/>
              <w:rPr>
                <w:rFonts w:ascii="Calibri" w:hAnsi="Calibri" w:cs="Calibri"/>
                <w:color w:val="000000"/>
              </w:rPr>
            </w:pPr>
            <w:r w:rsidRPr="00F163AD">
              <w:rPr>
                <w:rFonts w:ascii="Calibri" w:hAnsi="Calibri" w:cs="Calibri"/>
                <w:color w:val="000000" w:themeColor="text1"/>
                <w:sz w:val="22"/>
                <w:szCs w:val="22"/>
              </w:rPr>
              <w:t>IMC</w:t>
            </w:r>
          </w:p>
        </w:tc>
      </w:tr>
      <w:tr w:rsidR="00D6153C" w:rsidRPr="00F163AD" w14:paraId="1BDB3C14" w14:textId="77777777" w:rsidTr="009C5D3E">
        <w:trPr>
          <w:trHeight w:val="385"/>
        </w:trPr>
        <w:tc>
          <w:tcPr>
            <w:tcW w:w="1405" w:type="dxa"/>
            <w:tcBorders>
              <w:left w:val="nil"/>
              <w:bottom w:val="single" w:sz="4" w:space="0" w:color="auto"/>
              <w:right w:val="nil"/>
            </w:tcBorders>
            <w:noWrap/>
            <w:vAlign w:val="center"/>
            <w:hideMark/>
          </w:tcPr>
          <w:p w14:paraId="1BDB3C0F" w14:textId="77777777" w:rsidR="00256823" w:rsidRPr="00F163AD" w:rsidRDefault="00256823" w:rsidP="00C7594A">
            <w:pPr>
              <w:rPr>
                <w:rFonts w:ascii="Calibri" w:hAnsi="Calibri" w:cs="Calibri"/>
                <w:sz w:val="20"/>
                <w:szCs w:val="20"/>
              </w:rPr>
            </w:pPr>
          </w:p>
        </w:tc>
        <w:tc>
          <w:tcPr>
            <w:tcW w:w="2687" w:type="dxa"/>
            <w:gridSpan w:val="4"/>
            <w:tcBorders>
              <w:left w:val="nil"/>
              <w:bottom w:val="single" w:sz="4" w:space="0" w:color="auto"/>
              <w:right w:val="nil"/>
            </w:tcBorders>
            <w:noWrap/>
            <w:vAlign w:val="center"/>
            <w:hideMark/>
          </w:tcPr>
          <w:p w14:paraId="1BDB3C10" w14:textId="77777777" w:rsidR="00256823" w:rsidRPr="00F163AD" w:rsidRDefault="00256823" w:rsidP="00C7594A">
            <w:pPr>
              <w:jc w:val="center"/>
              <w:rPr>
                <w:rFonts w:ascii="Calibri" w:hAnsi="Calibri" w:cs="Calibri"/>
                <w:b/>
                <w:bCs/>
                <w:color w:val="000000"/>
              </w:rPr>
            </w:pPr>
            <w:r w:rsidRPr="00F163AD">
              <w:rPr>
                <w:rFonts w:ascii="Calibri" w:hAnsi="Calibri" w:cs="Calibri"/>
                <w:b/>
                <w:bCs/>
                <w:color w:val="000000" w:themeColor="text1"/>
                <w:sz w:val="22"/>
                <w:szCs w:val="22"/>
              </w:rPr>
              <w:t>Normal</w:t>
            </w:r>
          </w:p>
        </w:tc>
        <w:tc>
          <w:tcPr>
            <w:tcW w:w="2687" w:type="dxa"/>
            <w:gridSpan w:val="4"/>
            <w:tcBorders>
              <w:left w:val="nil"/>
              <w:bottom w:val="single" w:sz="4" w:space="0" w:color="auto"/>
              <w:right w:val="nil"/>
            </w:tcBorders>
            <w:noWrap/>
            <w:vAlign w:val="center"/>
            <w:hideMark/>
          </w:tcPr>
          <w:p w14:paraId="1BDB3C11" w14:textId="77777777" w:rsidR="00256823" w:rsidRPr="00F163AD" w:rsidRDefault="00256823" w:rsidP="00C7594A">
            <w:pPr>
              <w:jc w:val="center"/>
              <w:rPr>
                <w:rFonts w:ascii="Calibri" w:hAnsi="Calibri" w:cs="Calibri"/>
                <w:b/>
                <w:bCs/>
                <w:color w:val="000000" w:themeColor="text1"/>
                <w:sz w:val="22"/>
                <w:szCs w:val="22"/>
              </w:rPr>
            </w:pPr>
            <w:r w:rsidRPr="00F163AD">
              <w:rPr>
                <w:rFonts w:ascii="Calibri" w:hAnsi="Calibri" w:cs="Calibri"/>
                <w:b/>
                <w:bCs/>
                <w:color w:val="000000" w:themeColor="text1"/>
                <w:sz w:val="22"/>
                <w:szCs w:val="22"/>
              </w:rPr>
              <w:t>Sobrepeso</w:t>
            </w:r>
          </w:p>
        </w:tc>
        <w:tc>
          <w:tcPr>
            <w:tcW w:w="2875" w:type="dxa"/>
            <w:gridSpan w:val="4"/>
            <w:tcBorders>
              <w:left w:val="nil"/>
              <w:bottom w:val="single" w:sz="4" w:space="0" w:color="auto"/>
              <w:right w:val="nil"/>
            </w:tcBorders>
            <w:noWrap/>
            <w:vAlign w:val="center"/>
            <w:hideMark/>
          </w:tcPr>
          <w:p w14:paraId="1BDB3C12" w14:textId="77777777" w:rsidR="00256823" w:rsidRPr="00F163AD" w:rsidRDefault="00256823" w:rsidP="00C7594A">
            <w:pPr>
              <w:jc w:val="center"/>
              <w:rPr>
                <w:rFonts w:ascii="Calibri" w:hAnsi="Calibri" w:cs="Calibri"/>
                <w:b/>
                <w:bCs/>
                <w:color w:val="000000" w:themeColor="text1"/>
                <w:sz w:val="22"/>
                <w:szCs w:val="22"/>
              </w:rPr>
            </w:pPr>
            <w:r w:rsidRPr="00F163AD">
              <w:rPr>
                <w:rFonts w:ascii="Calibri" w:hAnsi="Calibri" w:cs="Calibri"/>
                <w:b/>
                <w:bCs/>
                <w:color w:val="000000" w:themeColor="text1"/>
                <w:sz w:val="22"/>
                <w:szCs w:val="22"/>
              </w:rPr>
              <w:t>Obesidad</w:t>
            </w:r>
          </w:p>
        </w:tc>
        <w:tc>
          <w:tcPr>
            <w:tcW w:w="766" w:type="dxa"/>
            <w:tcBorders>
              <w:left w:val="nil"/>
              <w:bottom w:val="single" w:sz="4" w:space="0" w:color="auto"/>
              <w:right w:val="nil"/>
            </w:tcBorders>
            <w:noWrap/>
            <w:vAlign w:val="center"/>
            <w:hideMark/>
          </w:tcPr>
          <w:p w14:paraId="1BDB3C13" w14:textId="77777777" w:rsidR="00256823" w:rsidRPr="00F163AD" w:rsidRDefault="00256823" w:rsidP="00C7594A">
            <w:pPr>
              <w:jc w:val="center"/>
              <w:rPr>
                <w:rFonts w:ascii="Calibri" w:hAnsi="Calibri" w:cs="Calibri"/>
                <w:color w:val="000000"/>
              </w:rPr>
            </w:pPr>
          </w:p>
        </w:tc>
      </w:tr>
      <w:tr w:rsidR="00D6153C" w:rsidRPr="00F163AD" w14:paraId="1BDB3C25" w14:textId="77777777" w:rsidTr="0038796E">
        <w:trPr>
          <w:trHeight w:val="385"/>
        </w:trPr>
        <w:tc>
          <w:tcPr>
            <w:tcW w:w="1405" w:type="dxa"/>
            <w:tcBorders>
              <w:left w:val="nil"/>
              <w:bottom w:val="single" w:sz="4" w:space="0" w:color="auto"/>
              <w:right w:val="nil"/>
            </w:tcBorders>
            <w:noWrap/>
            <w:vAlign w:val="center"/>
            <w:hideMark/>
          </w:tcPr>
          <w:p w14:paraId="1BDB3C15" w14:textId="77777777" w:rsidR="00256823" w:rsidRPr="00F163AD" w:rsidRDefault="00256823" w:rsidP="00736448">
            <w:pPr>
              <w:spacing w:line="360" w:lineRule="auto"/>
              <w:jc w:val="center"/>
              <w:rPr>
                <w:rFonts w:ascii="Calibri" w:hAnsi="Calibri" w:cs="Calibri"/>
                <w:color w:val="000000" w:themeColor="text1"/>
                <w:sz w:val="20"/>
                <w:szCs w:val="20"/>
              </w:rPr>
            </w:pPr>
          </w:p>
        </w:tc>
        <w:tc>
          <w:tcPr>
            <w:tcW w:w="416" w:type="dxa"/>
            <w:tcBorders>
              <w:left w:val="nil"/>
              <w:bottom w:val="single" w:sz="4" w:space="0" w:color="auto"/>
              <w:right w:val="nil"/>
            </w:tcBorders>
            <w:noWrap/>
            <w:vAlign w:val="center"/>
            <w:hideMark/>
          </w:tcPr>
          <w:p w14:paraId="1BDB3C16"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n</w:t>
            </w:r>
          </w:p>
        </w:tc>
        <w:tc>
          <w:tcPr>
            <w:tcW w:w="1050" w:type="dxa"/>
            <w:tcBorders>
              <w:left w:val="nil"/>
              <w:bottom w:val="single" w:sz="4" w:space="0" w:color="auto"/>
              <w:right w:val="nil"/>
            </w:tcBorders>
            <w:noWrap/>
            <w:vAlign w:val="center"/>
            <w:hideMark/>
          </w:tcPr>
          <w:p w14:paraId="1BDB3C17"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Media (D.E.)</w:t>
            </w:r>
          </w:p>
        </w:tc>
        <w:tc>
          <w:tcPr>
            <w:tcW w:w="510" w:type="dxa"/>
            <w:tcBorders>
              <w:left w:val="nil"/>
              <w:bottom w:val="single" w:sz="4" w:space="0" w:color="auto"/>
              <w:right w:val="nil"/>
            </w:tcBorders>
            <w:noWrap/>
            <w:vAlign w:val="center"/>
            <w:hideMark/>
          </w:tcPr>
          <w:p w14:paraId="1BDB3C18"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M</w:t>
            </w:r>
            <w:r w:rsidRPr="00F163AD">
              <w:rPr>
                <w:rFonts w:ascii="Calibri" w:hAnsi="Calibri" w:cs="Calibri"/>
                <w:i/>
                <w:iCs/>
                <w:color w:val="000000" w:themeColor="text1"/>
                <w:sz w:val="22"/>
                <w:szCs w:val="22"/>
              </w:rPr>
              <w:t>e</w:t>
            </w:r>
          </w:p>
        </w:tc>
        <w:tc>
          <w:tcPr>
            <w:tcW w:w="711" w:type="dxa"/>
            <w:tcBorders>
              <w:left w:val="nil"/>
              <w:bottom w:val="single" w:sz="4" w:space="0" w:color="auto"/>
              <w:right w:val="nil"/>
            </w:tcBorders>
            <w:noWrap/>
            <w:vAlign w:val="center"/>
            <w:hideMark/>
          </w:tcPr>
          <w:p w14:paraId="1BDB3C19"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Mín.-Máx.</w:t>
            </w:r>
          </w:p>
        </w:tc>
        <w:tc>
          <w:tcPr>
            <w:tcW w:w="416" w:type="dxa"/>
            <w:tcBorders>
              <w:left w:val="nil"/>
              <w:bottom w:val="single" w:sz="4" w:space="0" w:color="auto"/>
              <w:right w:val="nil"/>
            </w:tcBorders>
            <w:noWrap/>
            <w:vAlign w:val="center"/>
            <w:hideMark/>
          </w:tcPr>
          <w:p w14:paraId="1BDB3C1A"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n</w:t>
            </w:r>
          </w:p>
        </w:tc>
        <w:tc>
          <w:tcPr>
            <w:tcW w:w="1050" w:type="dxa"/>
            <w:tcBorders>
              <w:left w:val="nil"/>
              <w:bottom w:val="single" w:sz="4" w:space="0" w:color="auto"/>
              <w:right w:val="nil"/>
            </w:tcBorders>
            <w:noWrap/>
            <w:vAlign w:val="center"/>
            <w:hideMark/>
          </w:tcPr>
          <w:p w14:paraId="1BDB3C1B"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Media</w:t>
            </w:r>
          </w:p>
          <w:p w14:paraId="1BDB3C1C"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(D.E.)</w:t>
            </w:r>
          </w:p>
        </w:tc>
        <w:tc>
          <w:tcPr>
            <w:tcW w:w="510" w:type="dxa"/>
            <w:tcBorders>
              <w:left w:val="nil"/>
              <w:bottom w:val="single" w:sz="4" w:space="0" w:color="auto"/>
              <w:right w:val="nil"/>
            </w:tcBorders>
            <w:noWrap/>
            <w:vAlign w:val="center"/>
            <w:hideMark/>
          </w:tcPr>
          <w:p w14:paraId="1BDB3C1D"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M</w:t>
            </w:r>
            <w:r w:rsidRPr="00F163AD">
              <w:rPr>
                <w:rFonts w:ascii="Calibri" w:hAnsi="Calibri" w:cs="Calibri"/>
                <w:i/>
                <w:iCs/>
                <w:color w:val="000000" w:themeColor="text1"/>
                <w:sz w:val="22"/>
                <w:szCs w:val="22"/>
              </w:rPr>
              <w:t>e</w:t>
            </w:r>
          </w:p>
        </w:tc>
        <w:tc>
          <w:tcPr>
            <w:tcW w:w="711" w:type="dxa"/>
            <w:tcBorders>
              <w:left w:val="nil"/>
              <w:bottom w:val="single" w:sz="4" w:space="0" w:color="auto"/>
              <w:right w:val="nil"/>
            </w:tcBorders>
            <w:noWrap/>
            <w:vAlign w:val="center"/>
            <w:hideMark/>
          </w:tcPr>
          <w:p w14:paraId="1BDB3C1E"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Mín.-Máx.</w:t>
            </w:r>
          </w:p>
        </w:tc>
        <w:tc>
          <w:tcPr>
            <w:tcW w:w="549" w:type="dxa"/>
            <w:tcBorders>
              <w:left w:val="nil"/>
              <w:bottom w:val="single" w:sz="4" w:space="0" w:color="auto"/>
              <w:right w:val="nil"/>
            </w:tcBorders>
            <w:noWrap/>
            <w:vAlign w:val="center"/>
            <w:hideMark/>
          </w:tcPr>
          <w:p w14:paraId="1BDB3C1F"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n</w:t>
            </w:r>
          </w:p>
        </w:tc>
        <w:tc>
          <w:tcPr>
            <w:tcW w:w="1050" w:type="dxa"/>
            <w:tcBorders>
              <w:left w:val="nil"/>
              <w:bottom w:val="single" w:sz="4" w:space="0" w:color="auto"/>
              <w:right w:val="nil"/>
            </w:tcBorders>
            <w:noWrap/>
            <w:vAlign w:val="center"/>
            <w:hideMark/>
          </w:tcPr>
          <w:p w14:paraId="1BDB3C20"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Media</w:t>
            </w:r>
          </w:p>
          <w:p w14:paraId="1BDB3C21"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(D.E.)</w:t>
            </w:r>
          </w:p>
        </w:tc>
        <w:tc>
          <w:tcPr>
            <w:tcW w:w="565" w:type="dxa"/>
            <w:tcBorders>
              <w:left w:val="nil"/>
              <w:bottom w:val="single" w:sz="4" w:space="0" w:color="auto"/>
              <w:right w:val="nil"/>
            </w:tcBorders>
            <w:noWrap/>
            <w:vAlign w:val="center"/>
            <w:hideMark/>
          </w:tcPr>
          <w:p w14:paraId="1BDB3C22" w14:textId="77777777" w:rsidR="00256823" w:rsidRPr="00F163AD" w:rsidRDefault="00256823" w:rsidP="00736448">
            <w:pPr>
              <w:spacing w:line="360" w:lineRule="auto"/>
              <w:jc w:val="center"/>
              <w:rPr>
                <w:rFonts w:ascii="Calibri" w:hAnsi="Calibri" w:cs="Calibri"/>
                <w:color w:val="000000" w:themeColor="text1"/>
                <w:sz w:val="22"/>
                <w:szCs w:val="22"/>
              </w:rPr>
            </w:pPr>
            <w:r w:rsidRPr="00F163AD">
              <w:rPr>
                <w:rFonts w:ascii="Calibri" w:hAnsi="Calibri" w:cs="Calibri"/>
                <w:color w:val="000000" w:themeColor="text1"/>
                <w:sz w:val="22"/>
                <w:szCs w:val="22"/>
              </w:rPr>
              <w:t>M</w:t>
            </w:r>
            <w:r w:rsidRPr="00F163AD">
              <w:rPr>
                <w:rFonts w:ascii="Calibri" w:hAnsi="Calibri" w:cs="Calibri"/>
                <w:i/>
                <w:iCs/>
                <w:color w:val="000000" w:themeColor="text1"/>
                <w:sz w:val="22"/>
                <w:szCs w:val="22"/>
              </w:rPr>
              <w:t>e</w:t>
            </w:r>
            <w:r w:rsidRPr="00F163AD">
              <w:rPr>
                <w:rFonts w:ascii="Calibri" w:hAnsi="Calibri" w:cs="Calibri"/>
                <w:color w:val="000000" w:themeColor="text1"/>
                <w:sz w:val="22"/>
                <w:szCs w:val="22"/>
              </w:rPr>
              <w:t>.</w:t>
            </w:r>
          </w:p>
        </w:tc>
        <w:tc>
          <w:tcPr>
            <w:tcW w:w="711" w:type="dxa"/>
            <w:tcBorders>
              <w:left w:val="nil"/>
              <w:bottom w:val="single" w:sz="4" w:space="0" w:color="auto"/>
              <w:right w:val="nil"/>
            </w:tcBorders>
            <w:noWrap/>
            <w:vAlign w:val="center"/>
            <w:hideMark/>
          </w:tcPr>
          <w:p w14:paraId="1BDB3C23" w14:textId="77777777" w:rsidR="00256823" w:rsidRPr="00F163AD" w:rsidRDefault="00256823" w:rsidP="00C7594A">
            <w:pPr>
              <w:jc w:val="center"/>
              <w:rPr>
                <w:rFonts w:ascii="Calibri" w:hAnsi="Calibri" w:cs="Calibri"/>
                <w:color w:val="000000" w:themeColor="text1"/>
                <w:sz w:val="22"/>
                <w:szCs w:val="22"/>
              </w:rPr>
            </w:pPr>
            <w:r w:rsidRPr="00F163AD">
              <w:rPr>
                <w:rFonts w:ascii="Calibri" w:hAnsi="Calibri" w:cs="Calibri"/>
                <w:color w:val="000000" w:themeColor="text1"/>
                <w:sz w:val="22"/>
                <w:szCs w:val="22"/>
              </w:rPr>
              <w:t>Mín.-Máx.</w:t>
            </w:r>
          </w:p>
        </w:tc>
        <w:tc>
          <w:tcPr>
            <w:tcW w:w="766" w:type="dxa"/>
            <w:tcBorders>
              <w:left w:val="nil"/>
              <w:bottom w:val="single" w:sz="4" w:space="0" w:color="auto"/>
              <w:right w:val="nil"/>
            </w:tcBorders>
            <w:noWrap/>
            <w:vAlign w:val="center"/>
            <w:hideMark/>
          </w:tcPr>
          <w:p w14:paraId="1BDB3C24" w14:textId="77777777" w:rsidR="00256823" w:rsidRPr="00F163AD" w:rsidRDefault="00256823" w:rsidP="00C7594A">
            <w:pPr>
              <w:jc w:val="center"/>
              <w:rPr>
                <w:rFonts w:ascii="Calibri" w:hAnsi="Calibri" w:cs="Calibri"/>
                <w:color w:val="000000" w:themeColor="text1"/>
                <w:sz w:val="22"/>
                <w:szCs w:val="22"/>
              </w:rPr>
            </w:pPr>
            <w:r w:rsidRPr="00F163AD">
              <w:rPr>
                <w:rFonts w:ascii="Calibri" w:hAnsi="Calibri" w:cs="Calibri"/>
                <w:color w:val="000000" w:themeColor="text1"/>
                <w:sz w:val="22"/>
                <w:szCs w:val="22"/>
              </w:rPr>
              <w:t>p-valor</w:t>
            </w:r>
          </w:p>
        </w:tc>
      </w:tr>
      <w:tr w:rsidR="00D6153C" w:rsidRPr="00F163AD" w14:paraId="1BDB3C34" w14:textId="77777777" w:rsidTr="009C5D3E">
        <w:trPr>
          <w:trHeight w:val="385"/>
        </w:trPr>
        <w:tc>
          <w:tcPr>
            <w:tcW w:w="1405" w:type="dxa"/>
            <w:tcBorders>
              <w:top w:val="single" w:sz="4" w:space="0" w:color="auto"/>
              <w:left w:val="nil"/>
              <w:bottom w:val="single" w:sz="4" w:space="0" w:color="auto"/>
              <w:right w:val="nil"/>
            </w:tcBorders>
            <w:noWrap/>
            <w:vAlign w:val="center"/>
            <w:hideMark/>
          </w:tcPr>
          <w:p w14:paraId="1BDB3C26" w14:textId="77777777" w:rsidR="00256823" w:rsidRPr="00F163AD" w:rsidRDefault="00256823" w:rsidP="00E237D4">
            <w:pPr>
              <w:spacing w:line="360" w:lineRule="auto"/>
              <w:rPr>
                <w:rFonts w:ascii="Calibri" w:hAnsi="Calibri" w:cs="Calibri"/>
                <w:color w:val="000000" w:themeColor="text1"/>
                <w:sz w:val="20"/>
                <w:szCs w:val="20"/>
              </w:rPr>
            </w:pPr>
            <w:r w:rsidRPr="00F163AD">
              <w:rPr>
                <w:rFonts w:ascii="Calibri" w:hAnsi="Calibri" w:cs="Calibri"/>
                <w:color w:val="000000" w:themeColor="text1"/>
                <w:sz w:val="20"/>
                <w:szCs w:val="20"/>
              </w:rPr>
              <w:t>Nivel supraumbilical</w:t>
            </w:r>
          </w:p>
        </w:tc>
        <w:tc>
          <w:tcPr>
            <w:tcW w:w="416" w:type="dxa"/>
            <w:tcBorders>
              <w:top w:val="single" w:sz="4" w:space="0" w:color="auto"/>
              <w:left w:val="nil"/>
              <w:bottom w:val="single" w:sz="4" w:space="0" w:color="auto"/>
              <w:right w:val="nil"/>
            </w:tcBorders>
            <w:noWrap/>
            <w:vAlign w:val="center"/>
            <w:hideMark/>
          </w:tcPr>
          <w:p w14:paraId="1BDB3C27" w14:textId="77777777" w:rsidR="00256823" w:rsidRPr="00F163AD" w:rsidRDefault="00256823" w:rsidP="00736448">
            <w:pPr>
              <w:spacing w:line="360" w:lineRule="auto"/>
              <w:jc w:val="center"/>
              <w:rPr>
                <w:rFonts w:ascii="Calibri" w:hAnsi="Calibri" w:cs="Calibri"/>
                <w:color w:val="000000" w:themeColor="text1"/>
                <w:sz w:val="20"/>
                <w:szCs w:val="20"/>
              </w:rPr>
            </w:pPr>
            <w:r w:rsidRPr="00F163AD">
              <w:rPr>
                <w:rFonts w:ascii="Calibri" w:hAnsi="Calibri" w:cs="Calibri"/>
                <w:color w:val="000000" w:themeColor="text1"/>
                <w:sz w:val="20"/>
                <w:szCs w:val="20"/>
              </w:rPr>
              <w:t>13</w:t>
            </w:r>
          </w:p>
        </w:tc>
        <w:tc>
          <w:tcPr>
            <w:tcW w:w="1050" w:type="dxa"/>
            <w:tcBorders>
              <w:top w:val="single" w:sz="4" w:space="0" w:color="auto"/>
              <w:left w:val="nil"/>
              <w:bottom w:val="single" w:sz="4" w:space="0" w:color="auto"/>
              <w:right w:val="nil"/>
            </w:tcBorders>
            <w:noWrap/>
            <w:vAlign w:val="center"/>
            <w:hideMark/>
          </w:tcPr>
          <w:p w14:paraId="1BDB3C28"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1,33(0,64)</w:t>
            </w:r>
          </w:p>
        </w:tc>
        <w:tc>
          <w:tcPr>
            <w:tcW w:w="510" w:type="dxa"/>
            <w:tcBorders>
              <w:top w:val="single" w:sz="4" w:space="0" w:color="auto"/>
              <w:left w:val="nil"/>
              <w:bottom w:val="single" w:sz="4" w:space="0" w:color="auto"/>
              <w:right w:val="nil"/>
            </w:tcBorders>
            <w:noWrap/>
            <w:vAlign w:val="center"/>
            <w:hideMark/>
          </w:tcPr>
          <w:p w14:paraId="1BDB3C29"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1,5</w:t>
            </w:r>
          </w:p>
        </w:tc>
        <w:tc>
          <w:tcPr>
            <w:tcW w:w="711" w:type="dxa"/>
            <w:tcBorders>
              <w:top w:val="single" w:sz="4" w:space="0" w:color="auto"/>
              <w:left w:val="nil"/>
              <w:bottom w:val="single" w:sz="4" w:space="0" w:color="auto"/>
              <w:right w:val="nil"/>
            </w:tcBorders>
            <w:noWrap/>
            <w:vAlign w:val="center"/>
            <w:hideMark/>
          </w:tcPr>
          <w:p w14:paraId="1BDB3C2A"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0,5-3</w:t>
            </w:r>
          </w:p>
        </w:tc>
        <w:tc>
          <w:tcPr>
            <w:tcW w:w="416" w:type="dxa"/>
            <w:tcBorders>
              <w:top w:val="single" w:sz="4" w:space="0" w:color="auto"/>
              <w:left w:val="nil"/>
              <w:bottom w:val="single" w:sz="4" w:space="0" w:color="auto"/>
              <w:right w:val="nil"/>
            </w:tcBorders>
            <w:noWrap/>
            <w:vAlign w:val="center"/>
            <w:hideMark/>
          </w:tcPr>
          <w:p w14:paraId="1BDB3C2B"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37</w:t>
            </w:r>
          </w:p>
        </w:tc>
        <w:tc>
          <w:tcPr>
            <w:tcW w:w="1050" w:type="dxa"/>
            <w:tcBorders>
              <w:top w:val="single" w:sz="4" w:space="0" w:color="auto"/>
              <w:left w:val="nil"/>
              <w:bottom w:val="single" w:sz="4" w:space="0" w:color="auto"/>
              <w:right w:val="nil"/>
            </w:tcBorders>
            <w:noWrap/>
            <w:vAlign w:val="center"/>
            <w:hideMark/>
          </w:tcPr>
          <w:p w14:paraId="1BDB3C2C"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1,47(0,58)</w:t>
            </w:r>
          </w:p>
        </w:tc>
        <w:tc>
          <w:tcPr>
            <w:tcW w:w="510" w:type="dxa"/>
            <w:tcBorders>
              <w:top w:val="single" w:sz="4" w:space="0" w:color="auto"/>
              <w:left w:val="nil"/>
              <w:bottom w:val="single" w:sz="4" w:space="0" w:color="auto"/>
              <w:right w:val="nil"/>
            </w:tcBorders>
            <w:noWrap/>
            <w:vAlign w:val="center"/>
            <w:hideMark/>
          </w:tcPr>
          <w:p w14:paraId="1BDB3C2D"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1,5</w:t>
            </w:r>
          </w:p>
        </w:tc>
        <w:tc>
          <w:tcPr>
            <w:tcW w:w="711" w:type="dxa"/>
            <w:tcBorders>
              <w:top w:val="single" w:sz="4" w:space="0" w:color="auto"/>
              <w:left w:val="nil"/>
              <w:bottom w:val="single" w:sz="4" w:space="0" w:color="auto"/>
              <w:right w:val="nil"/>
            </w:tcBorders>
            <w:noWrap/>
            <w:vAlign w:val="center"/>
            <w:hideMark/>
          </w:tcPr>
          <w:p w14:paraId="1BDB3C2E"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0-3</w:t>
            </w:r>
          </w:p>
        </w:tc>
        <w:tc>
          <w:tcPr>
            <w:tcW w:w="549" w:type="dxa"/>
            <w:tcBorders>
              <w:top w:val="single" w:sz="4" w:space="0" w:color="auto"/>
              <w:left w:val="nil"/>
              <w:bottom w:val="single" w:sz="4" w:space="0" w:color="auto"/>
              <w:right w:val="nil"/>
            </w:tcBorders>
            <w:noWrap/>
            <w:vAlign w:val="center"/>
            <w:hideMark/>
          </w:tcPr>
          <w:p w14:paraId="1BDB3C2F"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49</w:t>
            </w:r>
          </w:p>
        </w:tc>
        <w:tc>
          <w:tcPr>
            <w:tcW w:w="1050" w:type="dxa"/>
            <w:tcBorders>
              <w:top w:val="single" w:sz="4" w:space="0" w:color="auto"/>
              <w:left w:val="nil"/>
              <w:bottom w:val="single" w:sz="4" w:space="0" w:color="auto"/>
              <w:right w:val="nil"/>
            </w:tcBorders>
            <w:noWrap/>
            <w:vAlign w:val="center"/>
            <w:hideMark/>
          </w:tcPr>
          <w:p w14:paraId="1BDB3C30"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1,59(0,58)</w:t>
            </w:r>
          </w:p>
        </w:tc>
        <w:tc>
          <w:tcPr>
            <w:tcW w:w="565" w:type="dxa"/>
            <w:tcBorders>
              <w:top w:val="single" w:sz="4" w:space="0" w:color="auto"/>
              <w:left w:val="nil"/>
              <w:bottom w:val="single" w:sz="4" w:space="0" w:color="auto"/>
              <w:right w:val="nil"/>
            </w:tcBorders>
            <w:noWrap/>
            <w:vAlign w:val="center"/>
            <w:hideMark/>
          </w:tcPr>
          <w:p w14:paraId="1BDB3C31" w14:textId="77777777" w:rsidR="00256823" w:rsidRPr="00F163AD" w:rsidRDefault="00256823" w:rsidP="00F335E3">
            <w:pPr>
              <w:spacing w:line="360" w:lineRule="auto"/>
              <w:jc w:val="center"/>
              <w:rPr>
                <w:rFonts w:ascii="Calibri" w:hAnsi="Calibri" w:cs="Calibri"/>
                <w:color w:val="000000" w:themeColor="text1"/>
                <w:sz w:val="20"/>
                <w:szCs w:val="20"/>
              </w:rPr>
            </w:pPr>
            <w:r w:rsidRPr="00F163AD">
              <w:rPr>
                <w:rFonts w:ascii="Calibri" w:hAnsi="Calibri" w:cs="Calibri"/>
                <w:color w:val="000000" w:themeColor="text1"/>
                <w:sz w:val="20"/>
                <w:szCs w:val="20"/>
              </w:rPr>
              <w:t>1,5</w:t>
            </w:r>
          </w:p>
        </w:tc>
        <w:tc>
          <w:tcPr>
            <w:tcW w:w="711" w:type="dxa"/>
            <w:tcBorders>
              <w:top w:val="single" w:sz="4" w:space="0" w:color="auto"/>
              <w:left w:val="nil"/>
              <w:bottom w:val="single" w:sz="4" w:space="0" w:color="auto"/>
              <w:right w:val="nil"/>
            </w:tcBorders>
            <w:noWrap/>
            <w:vAlign w:val="center"/>
            <w:hideMark/>
          </w:tcPr>
          <w:p w14:paraId="1BDB3C32" w14:textId="77777777" w:rsidR="00256823" w:rsidRPr="00F163AD" w:rsidRDefault="00256823" w:rsidP="00F335E3">
            <w:pPr>
              <w:spacing w:line="360" w:lineRule="auto"/>
              <w:jc w:val="center"/>
              <w:rPr>
                <w:rFonts w:ascii="Calibri" w:hAnsi="Calibri" w:cs="Calibri"/>
                <w:color w:val="000000" w:themeColor="text1"/>
                <w:sz w:val="20"/>
                <w:szCs w:val="20"/>
              </w:rPr>
            </w:pPr>
            <w:r w:rsidRPr="00F163AD">
              <w:rPr>
                <w:rFonts w:ascii="Calibri" w:hAnsi="Calibri" w:cs="Calibri"/>
                <w:color w:val="000000" w:themeColor="text1"/>
                <w:sz w:val="20"/>
                <w:szCs w:val="20"/>
              </w:rPr>
              <w:t>0,5-3</w:t>
            </w:r>
          </w:p>
        </w:tc>
        <w:tc>
          <w:tcPr>
            <w:tcW w:w="766" w:type="dxa"/>
            <w:tcBorders>
              <w:top w:val="single" w:sz="4" w:space="0" w:color="auto"/>
              <w:left w:val="nil"/>
              <w:bottom w:val="single" w:sz="4" w:space="0" w:color="auto"/>
              <w:right w:val="nil"/>
            </w:tcBorders>
            <w:noWrap/>
            <w:vAlign w:val="center"/>
            <w:hideMark/>
          </w:tcPr>
          <w:p w14:paraId="1BDB3C33" w14:textId="77777777" w:rsidR="00256823" w:rsidRPr="00F163AD" w:rsidRDefault="00256823" w:rsidP="00C7594A">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0.1848</w:t>
            </w:r>
          </w:p>
        </w:tc>
      </w:tr>
      <w:tr w:rsidR="00D6153C" w:rsidRPr="00F163AD" w14:paraId="1BDB3C43" w14:textId="77777777" w:rsidTr="009C5D3E">
        <w:trPr>
          <w:trHeight w:val="385"/>
        </w:trPr>
        <w:tc>
          <w:tcPr>
            <w:tcW w:w="1405" w:type="dxa"/>
            <w:tcBorders>
              <w:top w:val="single" w:sz="4" w:space="0" w:color="auto"/>
              <w:left w:val="nil"/>
              <w:bottom w:val="single" w:sz="4" w:space="0" w:color="auto"/>
              <w:right w:val="nil"/>
            </w:tcBorders>
            <w:noWrap/>
            <w:vAlign w:val="center"/>
            <w:hideMark/>
          </w:tcPr>
          <w:p w14:paraId="1BDB3C35" w14:textId="77777777" w:rsidR="00256823" w:rsidRPr="00F163AD" w:rsidRDefault="00256823" w:rsidP="00E237D4">
            <w:pPr>
              <w:spacing w:line="360" w:lineRule="auto"/>
              <w:rPr>
                <w:rFonts w:ascii="Calibri" w:hAnsi="Calibri" w:cs="Calibri"/>
                <w:color w:val="000000" w:themeColor="text1"/>
                <w:sz w:val="20"/>
                <w:szCs w:val="20"/>
              </w:rPr>
            </w:pPr>
            <w:r w:rsidRPr="00F163AD">
              <w:rPr>
                <w:rFonts w:ascii="Calibri" w:hAnsi="Calibri" w:cs="Calibri"/>
                <w:color w:val="000000" w:themeColor="text1"/>
                <w:sz w:val="20"/>
                <w:szCs w:val="20"/>
              </w:rPr>
              <w:t>Nivel umbilical</w:t>
            </w:r>
          </w:p>
        </w:tc>
        <w:tc>
          <w:tcPr>
            <w:tcW w:w="416" w:type="dxa"/>
            <w:tcBorders>
              <w:top w:val="single" w:sz="4" w:space="0" w:color="auto"/>
              <w:left w:val="nil"/>
              <w:bottom w:val="single" w:sz="4" w:space="0" w:color="auto"/>
              <w:right w:val="nil"/>
            </w:tcBorders>
            <w:noWrap/>
            <w:vAlign w:val="center"/>
            <w:hideMark/>
          </w:tcPr>
          <w:p w14:paraId="1BDB3C36" w14:textId="77777777" w:rsidR="00256823" w:rsidRPr="00F163AD" w:rsidRDefault="00256823" w:rsidP="00736448">
            <w:pPr>
              <w:spacing w:line="360" w:lineRule="auto"/>
              <w:jc w:val="center"/>
              <w:rPr>
                <w:rFonts w:ascii="Calibri" w:hAnsi="Calibri" w:cs="Calibri"/>
                <w:color w:val="000000" w:themeColor="text1"/>
                <w:sz w:val="20"/>
                <w:szCs w:val="20"/>
              </w:rPr>
            </w:pPr>
            <w:r w:rsidRPr="00F163AD">
              <w:rPr>
                <w:rFonts w:ascii="Calibri" w:hAnsi="Calibri" w:cs="Calibri"/>
                <w:color w:val="000000" w:themeColor="text1"/>
                <w:sz w:val="20"/>
                <w:szCs w:val="20"/>
              </w:rPr>
              <w:t>13</w:t>
            </w:r>
          </w:p>
        </w:tc>
        <w:tc>
          <w:tcPr>
            <w:tcW w:w="1050" w:type="dxa"/>
            <w:tcBorders>
              <w:top w:val="single" w:sz="4" w:space="0" w:color="auto"/>
              <w:left w:val="nil"/>
              <w:bottom w:val="single" w:sz="4" w:space="0" w:color="auto"/>
              <w:right w:val="nil"/>
            </w:tcBorders>
            <w:noWrap/>
            <w:vAlign w:val="center"/>
            <w:hideMark/>
          </w:tcPr>
          <w:p w14:paraId="1BDB3C37"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1,5(0,79)</w:t>
            </w:r>
          </w:p>
        </w:tc>
        <w:tc>
          <w:tcPr>
            <w:tcW w:w="510" w:type="dxa"/>
            <w:tcBorders>
              <w:top w:val="single" w:sz="4" w:space="0" w:color="auto"/>
              <w:left w:val="nil"/>
              <w:bottom w:val="single" w:sz="4" w:space="0" w:color="auto"/>
              <w:right w:val="nil"/>
            </w:tcBorders>
            <w:noWrap/>
            <w:vAlign w:val="center"/>
            <w:hideMark/>
          </w:tcPr>
          <w:p w14:paraId="1BDB3C38"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1,5</w:t>
            </w:r>
          </w:p>
        </w:tc>
        <w:tc>
          <w:tcPr>
            <w:tcW w:w="711" w:type="dxa"/>
            <w:tcBorders>
              <w:top w:val="single" w:sz="4" w:space="0" w:color="auto"/>
              <w:left w:val="nil"/>
              <w:bottom w:val="single" w:sz="4" w:space="0" w:color="auto"/>
              <w:right w:val="nil"/>
            </w:tcBorders>
            <w:noWrap/>
            <w:vAlign w:val="center"/>
            <w:hideMark/>
          </w:tcPr>
          <w:p w14:paraId="1BDB3C39"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0-3</w:t>
            </w:r>
          </w:p>
        </w:tc>
        <w:tc>
          <w:tcPr>
            <w:tcW w:w="416" w:type="dxa"/>
            <w:tcBorders>
              <w:top w:val="single" w:sz="4" w:space="0" w:color="auto"/>
              <w:left w:val="nil"/>
              <w:bottom w:val="single" w:sz="4" w:space="0" w:color="auto"/>
              <w:right w:val="nil"/>
            </w:tcBorders>
            <w:noWrap/>
            <w:vAlign w:val="center"/>
            <w:hideMark/>
          </w:tcPr>
          <w:p w14:paraId="1BDB3C3A"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37</w:t>
            </w:r>
          </w:p>
        </w:tc>
        <w:tc>
          <w:tcPr>
            <w:tcW w:w="1050" w:type="dxa"/>
            <w:tcBorders>
              <w:top w:val="single" w:sz="4" w:space="0" w:color="auto"/>
              <w:left w:val="nil"/>
              <w:bottom w:val="single" w:sz="4" w:space="0" w:color="auto"/>
              <w:right w:val="nil"/>
            </w:tcBorders>
            <w:noWrap/>
            <w:vAlign w:val="center"/>
            <w:hideMark/>
          </w:tcPr>
          <w:p w14:paraId="1BDB3C3B"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1,92(0,65)</w:t>
            </w:r>
          </w:p>
        </w:tc>
        <w:tc>
          <w:tcPr>
            <w:tcW w:w="510" w:type="dxa"/>
            <w:tcBorders>
              <w:top w:val="single" w:sz="4" w:space="0" w:color="auto"/>
              <w:left w:val="nil"/>
              <w:bottom w:val="single" w:sz="4" w:space="0" w:color="auto"/>
              <w:right w:val="nil"/>
            </w:tcBorders>
            <w:noWrap/>
            <w:vAlign w:val="center"/>
            <w:hideMark/>
          </w:tcPr>
          <w:p w14:paraId="1BDB3C3C"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1,5</w:t>
            </w:r>
          </w:p>
        </w:tc>
        <w:tc>
          <w:tcPr>
            <w:tcW w:w="711" w:type="dxa"/>
            <w:tcBorders>
              <w:top w:val="single" w:sz="4" w:space="0" w:color="auto"/>
              <w:left w:val="nil"/>
              <w:bottom w:val="single" w:sz="4" w:space="0" w:color="auto"/>
              <w:right w:val="nil"/>
            </w:tcBorders>
            <w:noWrap/>
            <w:vAlign w:val="center"/>
            <w:hideMark/>
          </w:tcPr>
          <w:p w14:paraId="1BDB3C3D"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0,5-3</w:t>
            </w:r>
          </w:p>
        </w:tc>
        <w:tc>
          <w:tcPr>
            <w:tcW w:w="549" w:type="dxa"/>
            <w:tcBorders>
              <w:top w:val="single" w:sz="4" w:space="0" w:color="auto"/>
              <w:left w:val="nil"/>
              <w:bottom w:val="single" w:sz="4" w:space="0" w:color="auto"/>
              <w:right w:val="nil"/>
            </w:tcBorders>
            <w:noWrap/>
            <w:vAlign w:val="center"/>
            <w:hideMark/>
          </w:tcPr>
          <w:p w14:paraId="1BDB3C3E"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49</w:t>
            </w:r>
          </w:p>
        </w:tc>
        <w:tc>
          <w:tcPr>
            <w:tcW w:w="1050" w:type="dxa"/>
            <w:tcBorders>
              <w:top w:val="single" w:sz="4" w:space="0" w:color="auto"/>
              <w:left w:val="nil"/>
              <w:bottom w:val="single" w:sz="4" w:space="0" w:color="auto"/>
              <w:right w:val="nil"/>
            </w:tcBorders>
            <w:noWrap/>
            <w:vAlign w:val="center"/>
            <w:hideMark/>
          </w:tcPr>
          <w:p w14:paraId="1BDB3C3F"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2,04(0,87)</w:t>
            </w:r>
          </w:p>
        </w:tc>
        <w:tc>
          <w:tcPr>
            <w:tcW w:w="565" w:type="dxa"/>
            <w:tcBorders>
              <w:top w:val="single" w:sz="4" w:space="0" w:color="auto"/>
              <w:left w:val="nil"/>
              <w:bottom w:val="single" w:sz="4" w:space="0" w:color="auto"/>
              <w:right w:val="nil"/>
            </w:tcBorders>
            <w:noWrap/>
            <w:vAlign w:val="center"/>
            <w:hideMark/>
          </w:tcPr>
          <w:p w14:paraId="1BDB3C40" w14:textId="77777777" w:rsidR="00256823" w:rsidRPr="00F163AD" w:rsidRDefault="00256823" w:rsidP="00F335E3">
            <w:pPr>
              <w:spacing w:line="360" w:lineRule="auto"/>
              <w:jc w:val="center"/>
              <w:rPr>
                <w:rFonts w:ascii="Calibri" w:hAnsi="Calibri" w:cs="Calibri"/>
                <w:color w:val="000000" w:themeColor="text1"/>
                <w:sz w:val="20"/>
                <w:szCs w:val="20"/>
              </w:rPr>
            </w:pPr>
            <w:r w:rsidRPr="00F163AD">
              <w:rPr>
                <w:rFonts w:ascii="Calibri" w:hAnsi="Calibri" w:cs="Calibri"/>
                <w:color w:val="000000" w:themeColor="text1"/>
                <w:sz w:val="20"/>
                <w:szCs w:val="20"/>
              </w:rPr>
              <w:t>1,5</w:t>
            </w:r>
          </w:p>
        </w:tc>
        <w:tc>
          <w:tcPr>
            <w:tcW w:w="711" w:type="dxa"/>
            <w:tcBorders>
              <w:top w:val="single" w:sz="4" w:space="0" w:color="auto"/>
              <w:left w:val="nil"/>
              <w:bottom w:val="single" w:sz="4" w:space="0" w:color="auto"/>
              <w:right w:val="nil"/>
            </w:tcBorders>
            <w:noWrap/>
            <w:vAlign w:val="center"/>
            <w:hideMark/>
          </w:tcPr>
          <w:p w14:paraId="1BDB3C41" w14:textId="77777777" w:rsidR="00256823" w:rsidRPr="00F163AD" w:rsidRDefault="00256823" w:rsidP="00F335E3">
            <w:pPr>
              <w:spacing w:line="360" w:lineRule="auto"/>
              <w:jc w:val="center"/>
              <w:rPr>
                <w:rFonts w:ascii="Calibri" w:hAnsi="Calibri" w:cs="Calibri"/>
                <w:color w:val="000000" w:themeColor="text1"/>
                <w:sz w:val="20"/>
                <w:szCs w:val="20"/>
              </w:rPr>
            </w:pPr>
            <w:r w:rsidRPr="00F163AD">
              <w:rPr>
                <w:rFonts w:ascii="Calibri" w:hAnsi="Calibri" w:cs="Calibri"/>
                <w:color w:val="000000" w:themeColor="text1"/>
                <w:sz w:val="20"/>
                <w:szCs w:val="20"/>
              </w:rPr>
              <w:t>0,5-4,5</w:t>
            </w:r>
          </w:p>
        </w:tc>
        <w:tc>
          <w:tcPr>
            <w:tcW w:w="766" w:type="dxa"/>
            <w:tcBorders>
              <w:top w:val="single" w:sz="4" w:space="0" w:color="auto"/>
              <w:left w:val="nil"/>
              <w:bottom w:val="single" w:sz="4" w:space="0" w:color="auto"/>
              <w:right w:val="nil"/>
            </w:tcBorders>
            <w:noWrap/>
            <w:vAlign w:val="center"/>
            <w:hideMark/>
          </w:tcPr>
          <w:p w14:paraId="1BDB3C42" w14:textId="77777777" w:rsidR="00256823" w:rsidRPr="00F163AD" w:rsidRDefault="00256823" w:rsidP="00C7594A">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0.0718</w:t>
            </w:r>
          </w:p>
        </w:tc>
      </w:tr>
      <w:tr w:rsidR="00D6153C" w:rsidRPr="00F163AD" w14:paraId="1BDB3C52" w14:textId="77777777" w:rsidTr="009C5D3E">
        <w:trPr>
          <w:trHeight w:val="385"/>
        </w:trPr>
        <w:tc>
          <w:tcPr>
            <w:tcW w:w="1405" w:type="dxa"/>
            <w:tcBorders>
              <w:top w:val="single" w:sz="4" w:space="0" w:color="auto"/>
              <w:left w:val="nil"/>
              <w:right w:val="nil"/>
            </w:tcBorders>
            <w:noWrap/>
            <w:vAlign w:val="center"/>
            <w:hideMark/>
          </w:tcPr>
          <w:p w14:paraId="1BDB3C44" w14:textId="77777777" w:rsidR="00256823" w:rsidRPr="00F163AD" w:rsidRDefault="00256823" w:rsidP="00E237D4">
            <w:pPr>
              <w:spacing w:line="360" w:lineRule="auto"/>
              <w:rPr>
                <w:rFonts w:ascii="Calibri" w:hAnsi="Calibri" w:cs="Calibri"/>
                <w:color w:val="000000" w:themeColor="text1"/>
                <w:sz w:val="20"/>
                <w:szCs w:val="20"/>
              </w:rPr>
            </w:pPr>
            <w:r w:rsidRPr="00F163AD">
              <w:rPr>
                <w:rFonts w:ascii="Calibri" w:hAnsi="Calibri" w:cs="Calibri"/>
                <w:color w:val="000000" w:themeColor="text1"/>
                <w:sz w:val="20"/>
                <w:szCs w:val="20"/>
              </w:rPr>
              <w:t>Nivel infraumbilical</w:t>
            </w:r>
          </w:p>
        </w:tc>
        <w:tc>
          <w:tcPr>
            <w:tcW w:w="416" w:type="dxa"/>
            <w:tcBorders>
              <w:top w:val="single" w:sz="4" w:space="0" w:color="auto"/>
              <w:left w:val="nil"/>
              <w:right w:val="nil"/>
            </w:tcBorders>
            <w:noWrap/>
            <w:vAlign w:val="center"/>
            <w:hideMark/>
          </w:tcPr>
          <w:p w14:paraId="1BDB3C45" w14:textId="77777777" w:rsidR="00256823" w:rsidRPr="00F163AD" w:rsidRDefault="00256823" w:rsidP="00736448">
            <w:pPr>
              <w:spacing w:line="360" w:lineRule="auto"/>
              <w:jc w:val="center"/>
              <w:rPr>
                <w:rFonts w:ascii="Calibri" w:hAnsi="Calibri" w:cs="Calibri"/>
                <w:color w:val="000000" w:themeColor="text1"/>
                <w:sz w:val="20"/>
                <w:szCs w:val="20"/>
              </w:rPr>
            </w:pPr>
            <w:r w:rsidRPr="00F163AD">
              <w:rPr>
                <w:rFonts w:ascii="Calibri" w:hAnsi="Calibri" w:cs="Calibri"/>
                <w:color w:val="000000" w:themeColor="text1"/>
                <w:sz w:val="20"/>
                <w:szCs w:val="20"/>
              </w:rPr>
              <w:t>13</w:t>
            </w:r>
          </w:p>
        </w:tc>
        <w:tc>
          <w:tcPr>
            <w:tcW w:w="1050" w:type="dxa"/>
            <w:tcBorders>
              <w:top w:val="single" w:sz="4" w:space="0" w:color="auto"/>
              <w:left w:val="nil"/>
              <w:right w:val="nil"/>
            </w:tcBorders>
            <w:noWrap/>
            <w:vAlign w:val="center"/>
            <w:hideMark/>
          </w:tcPr>
          <w:p w14:paraId="1BDB3C46"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1,42(1,06)</w:t>
            </w:r>
          </w:p>
        </w:tc>
        <w:tc>
          <w:tcPr>
            <w:tcW w:w="510" w:type="dxa"/>
            <w:tcBorders>
              <w:top w:val="single" w:sz="4" w:space="0" w:color="auto"/>
              <w:left w:val="nil"/>
              <w:right w:val="nil"/>
            </w:tcBorders>
            <w:noWrap/>
            <w:vAlign w:val="center"/>
            <w:hideMark/>
          </w:tcPr>
          <w:p w14:paraId="1BDB3C47"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1,5</w:t>
            </w:r>
          </w:p>
        </w:tc>
        <w:tc>
          <w:tcPr>
            <w:tcW w:w="711" w:type="dxa"/>
            <w:tcBorders>
              <w:top w:val="single" w:sz="4" w:space="0" w:color="auto"/>
              <w:left w:val="nil"/>
              <w:right w:val="nil"/>
            </w:tcBorders>
            <w:noWrap/>
            <w:vAlign w:val="center"/>
            <w:hideMark/>
          </w:tcPr>
          <w:p w14:paraId="1BDB3C48"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0-4,5</w:t>
            </w:r>
          </w:p>
        </w:tc>
        <w:tc>
          <w:tcPr>
            <w:tcW w:w="416" w:type="dxa"/>
            <w:tcBorders>
              <w:top w:val="single" w:sz="4" w:space="0" w:color="auto"/>
              <w:left w:val="nil"/>
              <w:right w:val="nil"/>
            </w:tcBorders>
            <w:noWrap/>
            <w:vAlign w:val="center"/>
            <w:hideMark/>
          </w:tcPr>
          <w:p w14:paraId="1BDB3C49"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37</w:t>
            </w:r>
          </w:p>
        </w:tc>
        <w:tc>
          <w:tcPr>
            <w:tcW w:w="1050" w:type="dxa"/>
            <w:tcBorders>
              <w:top w:val="single" w:sz="4" w:space="0" w:color="auto"/>
              <w:left w:val="nil"/>
              <w:right w:val="nil"/>
            </w:tcBorders>
            <w:noWrap/>
            <w:vAlign w:val="center"/>
            <w:hideMark/>
          </w:tcPr>
          <w:p w14:paraId="1BDB3C4A"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1,48(0,69)</w:t>
            </w:r>
          </w:p>
        </w:tc>
        <w:tc>
          <w:tcPr>
            <w:tcW w:w="510" w:type="dxa"/>
            <w:tcBorders>
              <w:top w:val="single" w:sz="4" w:space="0" w:color="auto"/>
              <w:left w:val="nil"/>
              <w:right w:val="nil"/>
            </w:tcBorders>
            <w:noWrap/>
            <w:vAlign w:val="center"/>
            <w:hideMark/>
          </w:tcPr>
          <w:p w14:paraId="1BDB3C4B"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1,5</w:t>
            </w:r>
          </w:p>
        </w:tc>
        <w:tc>
          <w:tcPr>
            <w:tcW w:w="711" w:type="dxa"/>
            <w:tcBorders>
              <w:top w:val="single" w:sz="4" w:space="0" w:color="auto"/>
              <w:left w:val="nil"/>
              <w:right w:val="nil"/>
            </w:tcBorders>
            <w:noWrap/>
            <w:vAlign w:val="center"/>
            <w:hideMark/>
          </w:tcPr>
          <w:p w14:paraId="1BDB3C4C"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0-3</w:t>
            </w:r>
          </w:p>
        </w:tc>
        <w:tc>
          <w:tcPr>
            <w:tcW w:w="549" w:type="dxa"/>
            <w:tcBorders>
              <w:top w:val="single" w:sz="4" w:space="0" w:color="auto"/>
              <w:left w:val="nil"/>
              <w:right w:val="nil"/>
            </w:tcBorders>
            <w:noWrap/>
            <w:vAlign w:val="center"/>
            <w:hideMark/>
          </w:tcPr>
          <w:p w14:paraId="1BDB3C4D"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49</w:t>
            </w:r>
          </w:p>
        </w:tc>
        <w:tc>
          <w:tcPr>
            <w:tcW w:w="1050" w:type="dxa"/>
            <w:tcBorders>
              <w:top w:val="single" w:sz="4" w:space="0" w:color="auto"/>
              <w:left w:val="nil"/>
              <w:right w:val="nil"/>
            </w:tcBorders>
            <w:noWrap/>
            <w:vAlign w:val="center"/>
            <w:hideMark/>
          </w:tcPr>
          <w:p w14:paraId="1BDB3C4E" w14:textId="77777777" w:rsidR="00256823" w:rsidRPr="00F163AD" w:rsidRDefault="00256823" w:rsidP="00736448">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1,79(0,71)</w:t>
            </w:r>
          </w:p>
        </w:tc>
        <w:tc>
          <w:tcPr>
            <w:tcW w:w="565" w:type="dxa"/>
            <w:tcBorders>
              <w:top w:val="single" w:sz="4" w:space="0" w:color="auto"/>
              <w:left w:val="nil"/>
              <w:right w:val="nil"/>
            </w:tcBorders>
            <w:noWrap/>
            <w:vAlign w:val="center"/>
            <w:hideMark/>
          </w:tcPr>
          <w:p w14:paraId="1BDB3C4F" w14:textId="77777777" w:rsidR="00256823" w:rsidRPr="00F163AD" w:rsidRDefault="00256823" w:rsidP="00F335E3">
            <w:pPr>
              <w:spacing w:line="360" w:lineRule="auto"/>
              <w:jc w:val="center"/>
              <w:rPr>
                <w:rFonts w:ascii="Calibri" w:hAnsi="Calibri" w:cs="Calibri"/>
                <w:color w:val="000000" w:themeColor="text1"/>
                <w:sz w:val="20"/>
                <w:szCs w:val="20"/>
              </w:rPr>
            </w:pPr>
            <w:r w:rsidRPr="00F163AD">
              <w:rPr>
                <w:rFonts w:ascii="Calibri" w:hAnsi="Calibri" w:cs="Calibri"/>
                <w:color w:val="000000" w:themeColor="text1"/>
                <w:sz w:val="20"/>
                <w:szCs w:val="20"/>
              </w:rPr>
              <w:t>1,5</w:t>
            </w:r>
          </w:p>
        </w:tc>
        <w:tc>
          <w:tcPr>
            <w:tcW w:w="711" w:type="dxa"/>
            <w:tcBorders>
              <w:top w:val="single" w:sz="4" w:space="0" w:color="auto"/>
              <w:left w:val="nil"/>
              <w:right w:val="nil"/>
            </w:tcBorders>
            <w:noWrap/>
            <w:vAlign w:val="center"/>
            <w:hideMark/>
          </w:tcPr>
          <w:p w14:paraId="1BDB3C50" w14:textId="77777777" w:rsidR="00256823" w:rsidRPr="00F163AD" w:rsidRDefault="00256823" w:rsidP="00F335E3">
            <w:pPr>
              <w:spacing w:line="360" w:lineRule="auto"/>
              <w:jc w:val="center"/>
              <w:rPr>
                <w:rFonts w:ascii="Calibri" w:hAnsi="Calibri" w:cs="Calibri"/>
                <w:color w:val="000000" w:themeColor="text1"/>
                <w:sz w:val="20"/>
                <w:szCs w:val="20"/>
              </w:rPr>
            </w:pPr>
            <w:r w:rsidRPr="00F163AD">
              <w:rPr>
                <w:rFonts w:ascii="Calibri" w:hAnsi="Calibri" w:cs="Calibri"/>
                <w:color w:val="000000" w:themeColor="text1"/>
                <w:sz w:val="20"/>
                <w:szCs w:val="20"/>
              </w:rPr>
              <w:t>0-3</w:t>
            </w:r>
          </w:p>
        </w:tc>
        <w:tc>
          <w:tcPr>
            <w:tcW w:w="766" w:type="dxa"/>
            <w:tcBorders>
              <w:top w:val="single" w:sz="4" w:space="0" w:color="auto"/>
              <w:left w:val="nil"/>
              <w:right w:val="nil"/>
            </w:tcBorders>
            <w:noWrap/>
            <w:vAlign w:val="center"/>
            <w:hideMark/>
          </w:tcPr>
          <w:p w14:paraId="1BDB3C51" w14:textId="77777777" w:rsidR="00256823" w:rsidRPr="00F163AD" w:rsidRDefault="00256823" w:rsidP="00C7594A">
            <w:pPr>
              <w:jc w:val="center"/>
              <w:rPr>
                <w:rFonts w:ascii="Calibri" w:hAnsi="Calibri" w:cs="Calibri"/>
                <w:color w:val="000000" w:themeColor="text1"/>
                <w:sz w:val="20"/>
                <w:szCs w:val="20"/>
              </w:rPr>
            </w:pPr>
            <w:r w:rsidRPr="00F163AD">
              <w:rPr>
                <w:rFonts w:ascii="Calibri" w:hAnsi="Calibri" w:cs="Calibri"/>
                <w:color w:val="000000" w:themeColor="text1"/>
                <w:sz w:val="20"/>
                <w:szCs w:val="20"/>
              </w:rPr>
              <w:t>0.0653</w:t>
            </w:r>
          </w:p>
        </w:tc>
      </w:tr>
    </w:tbl>
    <w:p w14:paraId="1BDB3C53" w14:textId="77777777" w:rsidR="00256823" w:rsidRPr="00F163AD" w:rsidRDefault="00256823" w:rsidP="00D6153C">
      <w:pPr>
        <w:ind w:left="-284"/>
        <w:rPr>
          <w:rFonts w:ascii="Calibri" w:hAnsi="Calibri" w:cs="Calibri"/>
          <w:sz w:val="18"/>
          <w:szCs w:val="18"/>
        </w:rPr>
      </w:pPr>
      <w:r w:rsidRPr="00F163AD">
        <w:rPr>
          <w:rFonts w:ascii="Calibri" w:hAnsi="Calibri" w:cs="Calibri"/>
          <w:sz w:val="18"/>
          <w:szCs w:val="18"/>
        </w:rPr>
        <w:t>Fuente: Elaboración propia.</w:t>
      </w:r>
    </w:p>
    <w:p w14:paraId="1BDB3C54" w14:textId="77777777" w:rsidR="00256823" w:rsidRPr="00F163AD" w:rsidRDefault="00256823" w:rsidP="00D10D95">
      <w:pPr>
        <w:rPr>
          <w:rFonts w:ascii="Calibri" w:hAnsi="Calibri" w:cs="Calibri"/>
          <w:b/>
          <w:bCs/>
        </w:rPr>
      </w:pPr>
      <w:r w:rsidRPr="00F163AD">
        <w:rPr>
          <w:rFonts w:ascii="Calibri" w:hAnsi="Calibri" w:cs="Calibri"/>
          <w:b/>
          <w:bCs/>
        </w:rPr>
        <w:lastRenderedPageBreak/>
        <w:t>Tabla III. Mediciones de la diástasis supraumbilical, umbilical e infraumbilical</w:t>
      </w:r>
    </w:p>
    <w:tbl>
      <w:tblPr>
        <w:tblW w:w="7225" w:type="dxa"/>
        <w:tblInd w:w="10" w:type="dxa"/>
        <w:tblCellMar>
          <w:left w:w="10" w:type="dxa"/>
          <w:right w:w="10" w:type="dxa"/>
        </w:tblCellMar>
        <w:tblLook w:val="04A0" w:firstRow="1" w:lastRow="0" w:firstColumn="1" w:lastColumn="0" w:noHBand="0" w:noVBand="1"/>
      </w:tblPr>
      <w:tblGrid>
        <w:gridCol w:w="2404"/>
        <w:gridCol w:w="993"/>
        <w:gridCol w:w="1418"/>
        <w:gridCol w:w="1134"/>
        <w:gridCol w:w="1276"/>
      </w:tblGrid>
      <w:tr w:rsidR="00D10D95" w:rsidRPr="00F163AD" w14:paraId="1BDB3C5A" w14:textId="77777777">
        <w:trPr>
          <w:trHeight w:val="320"/>
        </w:trPr>
        <w:tc>
          <w:tcPr>
            <w:tcW w:w="2404" w:type="dxa"/>
            <w:noWrap/>
            <w:vAlign w:val="center"/>
            <w:hideMark/>
          </w:tcPr>
          <w:p w14:paraId="1BDB3C55" w14:textId="77777777" w:rsidR="00256823" w:rsidRPr="00F163AD" w:rsidRDefault="00256823">
            <w:pPr>
              <w:spacing w:line="360" w:lineRule="auto"/>
              <w:rPr>
                <w:rFonts w:ascii="Calibri" w:hAnsi="Calibri" w:cs="Calibri"/>
                <w:sz w:val="22"/>
                <w:szCs w:val="22"/>
              </w:rPr>
            </w:pPr>
          </w:p>
        </w:tc>
        <w:tc>
          <w:tcPr>
            <w:tcW w:w="993" w:type="dxa"/>
            <w:noWrap/>
            <w:vAlign w:val="center"/>
            <w:hideMark/>
          </w:tcPr>
          <w:p w14:paraId="1BDB3C56"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n</w:t>
            </w:r>
          </w:p>
        </w:tc>
        <w:tc>
          <w:tcPr>
            <w:tcW w:w="1418" w:type="dxa"/>
            <w:noWrap/>
            <w:vAlign w:val="center"/>
            <w:hideMark/>
          </w:tcPr>
          <w:p w14:paraId="1BDB3C57"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 xml:space="preserve">Media </w:t>
            </w:r>
            <w:r w:rsidRPr="00F163AD">
              <w:rPr>
                <w:rFonts w:ascii="Calibri" w:hAnsi="Calibri" w:cs="Calibri"/>
              </w:rPr>
              <w:t>(</w:t>
            </w:r>
            <w:r w:rsidRPr="00F163AD">
              <w:rPr>
                <w:rFonts w:ascii="Calibri" w:hAnsi="Calibri" w:cs="Calibri"/>
                <w:sz w:val="22"/>
                <w:szCs w:val="22"/>
              </w:rPr>
              <w:t>D.E.)</w:t>
            </w:r>
          </w:p>
        </w:tc>
        <w:tc>
          <w:tcPr>
            <w:tcW w:w="1134" w:type="dxa"/>
            <w:noWrap/>
            <w:vAlign w:val="center"/>
            <w:hideMark/>
          </w:tcPr>
          <w:p w14:paraId="1BDB3C58"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Mediana</w:t>
            </w:r>
          </w:p>
        </w:tc>
        <w:tc>
          <w:tcPr>
            <w:tcW w:w="1276" w:type="dxa"/>
            <w:noWrap/>
            <w:vAlign w:val="center"/>
            <w:hideMark/>
          </w:tcPr>
          <w:p w14:paraId="1BDB3C59"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Mín.-Máx.</w:t>
            </w:r>
          </w:p>
        </w:tc>
      </w:tr>
      <w:tr w:rsidR="00D10D95" w:rsidRPr="00F163AD" w14:paraId="1BDB3C60" w14:textId="77777777">
        <w:trPr>
          <w:trHeight w:val="320"/>
        </w:trPr>
        <w:tc>
          <w:tcPr>
            <w:tcW w:w="2404" w:type="dxa"/>
            <w:noWrap/>
            <w:vAlign w:val="center"/>
            <w:hideMark/>
          </w:tcPr>
          <w:p w14:paraId="1BDB3C5B"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Nivel Supraumbilical</w:t>
            </w:r>
          </w:p>
        </w:tc>
        <w:tc>
          <w:tcPr>
            <w:tcW w:w="993" w:type="dxa"/>
            <w:noWrap/>
            <w:vAlign w:val="center"/>
            <w:hideMark/>
          </w:tcPr>
          <w:p w14:paraId="1BDB3C5C"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99</w:t>
            </w:r>
          </w:p>
        </w:tc>
        <w:tc>
          <w:tcPr>
            <w:tcW w:w="1418" w:type="dxa"/>
            <w:noWrap/>
            <w:vAlign w:val="center"/>
            <w:hideMark/>
          </w:tcPr>
          <w:p w14:paraId="1BDB3C5D"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1,92(0,79)</w:t>
            </w:r>
          </w:p>
        </w:tc>
        <w:tc>
          <w:tcPr>
            <w:tcW w:w="1134" w:type="dxa"/>
            <w:noWrap/>
            <w:vAlign w:val="center"/>
            <w:hideMark/>
          </w:tcPr>
          <w:p w14:paraId="1BDB3C5E"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1,5</w:t>
            </w:r>
          </w:p>
        </w:tc>
        <w:tc>
          <w:tcPr>
            <w:tcW w:w="1276" w:type="dxa"/>
            <w:noWrap/>
            <w:vAlign w:val="center"/>
            <w:hideMark/>
          </w:tcPr>
          <w:p w14:paraId="1BDB3C5F"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0-4,5</w:t>
            </w:r>
          </w:p>
        </w:tc>
      </w:tr>
      <w:tr w:rsidR="00D10D95" w:rsidRPr="00F163AD" w14:paraId="1BDB3C66" w14:textId="77777777">
        <w:trPr>
          <w:trHeight w:val="320"/>
        </w:trPr>
        <w:tc>
          <w:tcPr>
            <w:tcW w:w="2404" w:type="dxa"/>
            <w:noWrap/>
            <w:vAlign w:val="center"/>
            <w:hideMark/>
          </w:tcPr>
          <w:p w14:paraId="1BDB3C61"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Nivel umbilical</w:t>
            </w:r>
          </w:p>
        </w:tc>
        <w:tc>
          <w:tcPr>
            <w:tcW w:w="993" w:type="dxa"/>
            <w:noWrap/>
            <w:vAlign w:val="center"/>
            <w:hideMark/>
          </w:tcPr>
          <w:p w14:paraId="1BDB3C62"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99</w:t>
            </w:r>
          </w:p>
        </w:tc>
        <w:tc>
          <w:tcPr>
            <w:tcW w:w="1418" w:type="dxa"/>
            <w:noWrap/>
            <w:vAlign w:val="center"/>
            <w:hideMark/>
          </w:tcPr>
          <w:p w14:paraId="1BDB3C63"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1,92(0,79)</w:t>
            </w:r>
          </w:p>
        </w:tc>
        <w:tc>
          <w:tcPr>
            <w:tcW w:w="1134" w:type="dxa"/>
            <w:noWrap/>
            <w:vAlign w:val="center"/>
            <w:hideMark/>
          </w:tcPr>
          <w:p w14:paraId="1BDB3C64"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1,5</w:t>
            </w:r>
          </w:p>
        </w:tc>
        <w:tc>
          <w:tcPr>
            <w:tcW w:w="1276" w:type="dxa"/>
            <w:noWrap/>
            <w:vAlign w:val="center"/>
            <w:hideMark/>
          </w:tcPr>
          <w:p w14:paraId="1BDB3C65"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0-4,5</w:t>
            </w:r>
          </w:p>
        </w:tc>
      </w:tr>
      <w:tr w:rsidR="00D10D95" w:rsidRPr="00F163AD" w14:paraId="1BDB3C6C" w14:textId="77777777">
        <w:trPr>
          <w:trHeight w:val="320"/>
        </w:trPr>
        <w:tc>
          <w:tcPr>
            <w:tcW w:w="2404" w:type="dxa"/>
            <w:noWrap/>
            <w:vAlign w:val="center"/>
            <w:hideMark/>
          </w:tcPr>
          <w:p w14:paraId="1BDB3C67"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Nivel infraumbilical</w:t>
            </w:r>
          </w:p>
        </w:tc>
        <w:tc>
          <w:tcPr>
            <w:tcW w:w="993" w:type="dxa"/>
            <w:noWrap/>
            <w:vAlign w:val="center"/>
            <w:hideMark/>
          </w:tcPr>
          <w:p w14:paraId="1BDB3C68"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99</w:t>
            </w:r>
          </w:p>
        </w:tc>
        <w:tc>
          <w:tcPr>
            <w:tcW w:w="1418" w:type="dxa"/>
            <w:noWrap/>
            <w:vAlign w:val="center"/>
            <w:hideMark/>
          </w:tcPr>
          <w:p w14:paraId="1BDB3C69"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1,63(0,76)</w:t>
            </w:r>
          </w:p>
        </w:tc>
        <w:tc>
          <w:tcPr>
            <w:tcW w:w="1134" w:type="dxa"/>
            <w:noWrap/>
            <w:vAlign w:val="center"/>
            <w:hideMark/>
          </w:tcPr>
          <w:p w14:paraId="1BDB3C6A"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1,5</w:t>
            </w:r>
          </w:p>
        </w:tc>
        <w:tc>
          <w:tcPr>
            <w:tcW w:w="1276" w:type="dxa"/>
            <w:noWrap/>
            <w:vAlign w:val="center"/>
            <w:hideMark/>
          </w:tcPr>
          <w:p w14:paraId="1BDB3C6B" w14:textId="77777777" w:rsidR="00256823" w:rsidRPr="00F163AD" w:rsidRDefault="00256823">
            <w:pPr>
              <w:spacing w:line="360" w:lineRule="auto"/>
              <w:rPr>
                <w:rFonts w:ascii="Calibri" w:hAnsi="Calibri" w:cs="Calibri"/>
                <w:sz w:val="22"/>
                <w:szCs w:val="22"/>
              </w:rPr>
            </w:pPr>
            <w:r w:rsidRPr="00F163AD">
              <w:rPr>
                <w:rFonts w:ascii="Calibri" w:hAnsi="Calibri" w:cs="Calibri"/>
                <w:sz w:val="22"/>
                <w:szCs w:val="22"/>
              </w:rPr>
              <w:t>0-4,5</w:t>
            </w:r>
          </w:p>
        </w:tc>
      </w:tr>
    </w:tbl>
    <w:p w14:paraId="1BDB3C6D" w14:textId="77777777" w:rsidR="00256823" w:rsidRPr="00F163AD" w:rsidRDefault="00256823" w:rsidP="00D10D95">
      <w:pPr>
        <w:rPr>
          <w:rFonts w:ascii="Calibri" w:hAnsi="Calibri" w:cs="Calibri"/>
          <w:sz w:val="18"/>
          <w:szCs w:val="18"/>
        </w:rPr>
      </w:pPr>
      <w:r w:rsidRPr="00F163AD">
        <w:rPr>
          <w:rFonts w:ascii="Calibri" w:hAnsi="Calibri" w:cs="Calibri"/>
          <w:sz w:val="18"/>
          <w:szCs w:val="18"/>
        </w:rPr>
        <w:t>Fuente: Elaboración propia</w:t>
      </w:r>
    </w:p>
    <w:p w14:paraId="1BDB3C6E" w14:textId="77777777" w:rsidR="00256823" w:rsidRPr="00F163AD" w:rsidRDefault="00256823" w:rsidP="00D9175A">
      <w:pPr>
        <w:spacing w:line="360" w:lineRule="auto"/>
        <w:jc w:val="both"/>
        <w:rPr>
          <w:rFonts w:ascii="Calibri" w:eastAsia="Times New Roman" w:hAnsi="Calibri" w:cs="Calibri"/>
          <w:lang w:val="en-US"/>
        </w:rPr>
      </w:pPr>
    </w:p>
    <w:p w14:paraId="1BDB3C6F" w14:textId="77777777" w:rsidR="00256823" w:rsidRPr="00F163AD" w:rsidRDefault="00256823" w:rsidP="00D10D95">
      <w:pPr>
        <w:rPr>
          <w:rFonts w:ascii="Calibri" w:hAnsi="Calibri" w:cs="Calibri"/>
          <w:b/>
          <w:bCs/>
        </w:rPr>
      </w:pPr>
    </w:p>
    <w:p w14:paraId="1BDB3C70" w14:textId="77777777" w:rsidR="00256823" w:rsidRPr="00F163AD" w:rsidRDefault="00256823" w:rsidP="00D10D95">
      <w:pPr>
        <w:rPr>
          <w:rFonts w:ascii="Calibri" w:hAnsi="Calibri" w:cs="Calibri"/>
          <w:b/>
          <w:bCs/>
        </w:rPr>
      </w:pPr>
      <w:r w:rsidRPr="00F163AD">
        <w:rPr>
          <w:rFonts w:ascii="Calibri" w:hAnsi="Calibri" w:cs="Calibri"/>
          <w:b/>
          <w:bCs/>
        </w:rPr>
        <w:t xml:space="preserve">Tabla IV. Descripción de dominios e Índice de Función Sexual Femenina. </w:t>
      </w:r>
    </w:p>
    <w:tbl>
      <w:tblPr>
        <w:tblW w:w="8515" w:type="dxa"/>
        <w:tblInd w:w="10" w:type="dxa"/>
        <w:tblCellMar>
          <w:left w:w="10" w:type="dxa"/>
          <w:right w:w="10" w:type="dxa"/>
        </w:tblCellMar>
        <w:tblLook w:val="04A0" w:firstRow="1" w:lastRow="0" w:firstColumn="1" w:lastColumn="0" w:noHBand="0" w:noVBand="1"/>
      </w:tblPr>
      <w:tblGrid>
        <w:gridCol w:w="2475"/>
        <w:gridCol w:w="1520"/>
        <w:gridCol w:w="1600"/>
        <w:gridCol w:w="1600"/>
        <w:gridCol w:w="1320"/>
      </w:tblGrid>
      <w:tr w:rsidR="00D10D95" w:rsidRPr="00F163AD" w14:paraId="1BDB3C76" w14:textId="77777777">
        <w:trPr>
          <w:trHeight w:val="320"/>
        </w:trPr>
        <w:tc>
          <w:tcPr>
            <w:tcW w:w="2475" w:type="dxa"/>
            <w:noWrap/>
            <w:vAlign w:val="center"/>
            <w:hideMark/>
          </w:tcPr>
          <w:p w14:paraId="1BDB3C71" w14:textId="77777777" w:rsidR="00256823" w:rsidRPr="00F163AD" w:rsidRDefault="00256823">
            <w:pPr>
              <w:spacing w:line="360" w:lineRule="auto"/>
              <w:rPr>
                <w:rFonts w:ascii="Calibri" w:hAnsi="Calibri" w:cs="Calibri"/>
                <w:sz w:val="22"/>
                <w:szCs w:val="22"/>
              </w:rPr>
            </w:pPr>
          </w:p>
        </w:tc>
        <w:tc>
          <w:tcPr>
            <w:tcW w:w="1520" w:type="dxa"/>
            <w:noWrap/>
            <w:vAlign w:val="center"/>
            <w:hideMark/>
          </w:tcPr>
          <w:p w14:paraId="1BDB3C72"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n</w:t>
            </w:r>
          </w:p>
        </w:tc>
        <w:tc>
          <w:tcPr>
            <w:tcW w:w="1600" w:type="dxa"/>
            <w:noWrap/>
            <w:vAlign w:val="center"/>
            <w:hideMark/>
          </w:tcPr>
          <w:p w14:paraId="1BDB3C73"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Media (D.E.)</w:t>
            </w:r>
          </w:p>
        </w:tc>
        <w:tc>
          <w:tcPr>
            <w:tcW w:w="1600" w:type="dxa"/>
            <w:noWrap/>
            <w:vAlign w:val="center"/>
            <w:hideMark/>
          </w:tcPr>
          <w:p w14:paraId="1BDB3C74"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Mediana</w:t>
            </w:r>
          </w:p>
        </w:tc>
        <w:tc>
          <w:tcPr>
            <w:tcW w:w="1320" w:type="dxa"/>
            <w:noWrap/>
            <w:vAlign w:val="center"/>
            <w:hideMark/>
          </w:tcPr>
          <w:p w14:paraId="1BDB3C75"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Mín.-Máx.</w:t>
            </w:r>
          </w:p>
        </w:tc>
      </w:tr>
      <w:tr w:rsidR="00D10D95" w:rsidRPr="00F163AD" w14:paraId="1BDB3C7C" w14:textId="77777777">
        <w:trPr>
          <w:trHeight w:val="320"/>
        </w:trPr>
        <w:tc>
          <w:tcPr>
            <w:tcW w:w="2475" w:type="dxa"/>
            <w:noWrap/>
            <w:vAlign w:val="center"/>
            <w:hideMark/>
          </w:tcPr>
          <w:p w14:paraId="1BDB3C77"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Dominio deseo</w:t>
            </w:r>
          </w:p>
        </w:tc>
        <w:tc>
          <w:tcPr>
            <w:tcW w:w="1520" w:type="dxa"/>
            <w:noWrap/>
            <w:vAlign w:val="center"/>
            <w:hideMark/>
          </w:tcPr>
          <w:p w14:paraId="1BDB3C78"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72</w:t>
            </w:r>
          </w:p>
        </w:tc>
        <w:tc>
          <w:tcPr>
            <w:tcW w:w="1600" w:type="dxa"/>
            <w:noWrap/>
            <w:vAlign w:val="center"/>
            <w:hideMark/>
          </w:tcPr>
          <w:p w14:paraId="1BDB3C79"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3,3(1,1)</w:t>
            </w:r>
          </w:p>
        </w:tc>
        <w:tc>
          <w:tcPr>
            <w:tcW w:w="1600" w:type="dxa"/>
            <w:noWrap/>
            <w:vAlign w:val="center"/>
            <w:hideMark/>
          </w:tcPr>
          <w:p w14:paraId="1BDB3C7A"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3,6</w:t>
            </w:r>
          </w:p>
        </w:tc>
        <w:tc>
          <w:tcPr>
            <w:tcW w:w="1320" w:type="dxa"/>
            <w:noWrap/>
            <w:vAlign w:val="center"/>
            <w:hideMark/>
          </w:tcPr>
          <w:p w14:paraId="1BDB3C7B"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1,2-5,4</w:t>
            </w:r>
          </w:p>
        </w:tc>
      </w:tr>
      <w:tr w:rsidR="00D10D95" w:rsidRPr="00F163AD" w14:paraId="1BDB3C82" w14:textId="77777777">
        <w:trPr>
          <w:trHeight w:val="320"/>
        </w:trPr>
        <w:tc>
          <w:tcPr>
            <w:tcW w:w="2475" w:type="dxa"/>
            <w:noWrap/>
            <w:vAlign w:val="center"/>
            <w:hideMark/>
          </w:tcPr>
          <w:p w14:paraId="1BDB3C7D"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Dominio excitación</w:t>
            </w:r>
          </w:p>
        </w:tc>
        <w:tc>
          <w:tcPr>
            <w:tcW w:w="1520" w:type="dxa"/>
            <w:noWrap/>
            <w:vAlign w:val="center"/>
            <w:hideMark/>
          </w:tcPr>
          <w:p w14:paraId="1BDB3C7E"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72</w:t>
            </w:r>
          </w:p>
        </w:tc>
        <w:tc>
          <w:tcPr>
            <w:tcW w:w="1600" w:type="dxa"/>
            <w:noWrap/>
            <w:vAlign w:val="center"/>
            <w:hideMark/>
          </w:tcPr>
          <w:p w14:paraId="1BDB3C7F"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4,4(0,9)</w:t>
            </w:r>
          </w:p>
        </w:tc>
        <w:tc>
          <w:tcPr>
            <w:tcW w:w="1600" w:type="dxa"/>
            <w:noWrap/>
            <w:vAlign w:val="center"/>
            <w:hideMark/>
          </w:tcPr>
          <w:p w14:paraId="1BDB3C80"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4,5</w:t>
            </w:r>
          </w:p>
        </w:tc>
        <w:tc>
          <w:tcPr>
            <w:tcW w:w="1320" w:type="dxa"/>
            <w:noWrap/>
            <w:vAlign w:val="center"/>
            <w:hideMark/>
          </w:tcPr>
          <w:p w14:paraId="1BDB3C81"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2,1-6</w:t>
            </w:r>
          </w:p>
        </w:tc>
      </w:tr>
      <w:tr w:rsidR="00D10D95" w:rsidRPr="00F163AD" w14:paraId="1BDB3C88" w14:textId="77777777">
        <w:trPr>
          <w:trHeight w:val="320"/>
        </w:trPr>
        <w:tc>
          <w:tcPr>
            <w:tcW w:w="2475" w:type="dxa"/>
            <w:noWrap/>
            <w:vAlign w:val="center"/>
            <w:hideMark/>
          </w:tcPr>
          <w:p w14:paraId="1BDB3C83"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Dominio lubricación</w:t>
            </w:r>
          </w:p>
        </w:tc>
        <w:tc>
          <w:tcPr>
            <w:tcW w:w="1520" w:type="dxa"/>
            <w:noWrap/>
            <w:vAlign w:val="center"/>
            <w:hideMark/>
          </w:tcPr>
          <w:p w14:paraId="1BDB3C84"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72</w:t>
            </w:r>
          </w:p>
        </w:tc>
        <w:tc>
          <w:tcPr>
            <w:tcW w:w="1600" w:type="dxa"/>
            <w:noWrap/>
            <w:vAlign w:val="center"/>
            <w:hideMark/>
          </w:tcPr>
          <w:p w14:paraId="1BDB3C85"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4,9(1,1)</w:t>
            </w:r>
          </w:p>
        </w:tc>
        <w:tc>
          <w:tcPr>
            <w:tcW w:w="1600" w:type="dxa"/>
            <w:noWrap/>
            <w:vAlign w:val="center"/>
            <w:hideMark/>
          </w:tcPr>
          <w:p w14:paraId="1BDB3C86"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5,1</w:t>
            </w:r>
          </w:p>
        </w:tc>
        <w:tc>
          <w:tcPr>
            <w:tcW w:w="1320" w:type="dxa"/>
            <w:noWrap/>
            <w:vAlign w:val="center"/>
            <w:hideMark/>
          </w:tcPr>
          <w:p w14:paraId="1BDB3C87"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1,5-6</w:t>
            </w:r>
          </w:p>
        </w:tc>
      </w:tr>
      <w:tr w:rsidR="00D10D95" w:rsidRPr="00F163AD" w14:paraId="1BDB3C8E" w14:textId="77777777">
        <w:trPr>
          <w:trHeight w:val="320"/>
        </w:trPr>
        <w:tc>
          <w:tcPr>
            <w:tcW w:w="2475" w:type="dxa"/>
            <w:noWrap/>
            <w:vAlign w:val="center"/>
            <w:hideMark/>
          </w:tcPr>
          <w:p w14:paraId="1BDB3C89"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Dominio orgasmo</w:t>
            </w:r>
          </w:p>
        </w:tc>
        <w:tc>
          <w:tcPr>
            <w:tcW w:w="1520" w:type="dxa"/>
            <w:noWrap/>
            <w:vAlign w:val="center"/>
            <w:hideMark/>
          </w:tcPr>
          <w:p w14:paraId="1BDB3C8A"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72</w:t>
            </w:r>
          </w:p>
        </w:tc>
        <w:tc>
          <w:tcPr>
            <w:tcW w:w="1600" w:type="dxa"/>
            <w:noWrap/>
            <w:vAlign w:val="center"/>
            <w:hideMark/>
          </w:tcPr>
          <w:p w14:paraId="1BDB3C8B"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4,8(0,9)</w:t>
            </w:r>
          </w:p>
        </w:tc>
        <w:tc>
          <w:tcPr>
            <w:tcW w:w="1600" w:type="dxa"/>
            <w:noWrap/>
            <w:vAlign w:val="center"/>
            <w:hideMark/>
          </w:tcPr>
          <w:p w14:paraId="1BDB3C8C"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5,2</w:t>
            </w:r>
          </w:p>
        </w:tc>
        <w:tc>
          <w:tcPr>
            <w:tcW w:w="1320" w:type="dxa"/>
            <w:noWrap/>
            <w:vAlign w:val="center"/>
            <w:hideMark/>
          </w:tcPr>
          <w:p w14:paraId="1BDB3C8D"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2,8-6</w:t>
            </w:r>
          </w:p>
        </w:tc>
      </w:tr>
      <w:tr w:rsidR="00D10D95" w:rsidRPr="00F163AD" w14:paraId="1BDB3C94" w14:textId="77777777">
        <w:trPr>
          <w:trHeight w:val="320"/>
        </w:trPr>
        <w:tc>
          <w:tcPr>
            <w:tcW w:w="2475" w:type="dxa"/>
            <w:noWrap/>
            <w:vAlign w:val="center"/>
            <w:hideMark/>
          </w:tcPr>
          <w:p w14:paraId="1BDB3C8F"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Dominio satisfacción</w:t>
            </w:r>
          </w:p>
        </w:tc>
        <w:tc>
          <w:tcPr>
            <w:tcW w:w="1520" w:type="dxa"/>
            <w:noWrap/>
            <w:vAlign w:val="center"/>
            <w:hideMark/>
          </w:tcPr>
          <w:p w14:paraId="1BDB3C90"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72</w:t>
            </w:r>
          </w:p>
        </w:tc>
        <w:tc>
          <w:tcPr>
            <w:tcW w:w="1600" w:type="dxa"/>
            <w:noWrap/>
            <w:vAlign w:val="center"/>
            <w:hideMark/>
          </w:tcPr>
          <w:p w14:paraId="1BDB3C91"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5,3(0,9)</w:t>
            </w:r>
          </w:p>
        </w:tc>
        <w:tc>
          <w:tcPr>
            <w:tcW w:w="1600" w:type="dxa"/>
            <w:noWrap/>
            <w:vAlign w:val="center"/>
            <w:hideMark/>
          </w:tcPr>
          <w:p w14:paraId="1BDB3C92"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5,6</w:t>
            </w:r>
          </w:p>
        </w:tc>
        <w:tc>
          <w:tcPr>
            <w:tcW w:w="1320" w:type="dxa"/>
            <w:noWrap/>
            <w:vAlign w:val="center"/>
            <w:hideMark/>
          </w:tcPr>
          <w:p w14:paraId="1BDB3C93"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1,6-6</w:t>
            </w:r>
          </w:p>
        </w:tc>
      </w:tr>
      <w:tr w:rsidR="00D10D95" w:rsidRPr="00F163AD" w14:paraId="1BDB3C9A" w14:textId="77777777">
        <w:trPr>
          <w:trHeight w:val="320"/>
        </w:trPr>
        <w:tc>
          <w:tcPr>
            <w:tcW w:w="2475" w:type="dxa"/>
            <w:noWrap/>
            <w:vAlign w:val="center"/>
            <w:hideMark/>
          </w:tcPr>
          <w:p w14:paraId="1BDB3C95"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Dominio dolor</w:t>
            </w:r>
          </w:p>
        </w:tc>
        <w:tc>
          <w:tcPr>
            <w:tcW w:w="1520" w:type="dxa"/>
            <w:noWrap/>
            <w:vAlign w:val="center"/>
            <w:hideMark/>
          </w:tcPr>
          <w:p w14:paraId="1BDB3C96"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72</w:t>
            </w:r>
          </w:p>
        </w:tc>
        <w:tc>
          <w:tcPr>
            <w:tcW w:w="1600" w:type="dxa"/>
            <w:noWrap/>
            <w:vAlign w:val="center"/>
            <w:hideMark/>
          </w:tcPr>
          <w:p w14:paraId="1BDB3C97"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4,7(1,3)</w:t>
            </w:r>
          </w:p>
        </w:tc>
        <w:tc>
          <w:tcPr>
            <w:tcW w:w="1600" w:type="dxa"/>
            <w:noWrap/>
            <w:vAlign w:val="center"/>
            <w:hideMark/>
          </w:tcPr>
          <w:p w14:paraId="1BDB3C98"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5</w:t>
            </w:r>
          </w:p>
        </w:tc>
        <w:tc>
          <w:tcPr>
            <w:tcW w:w="1320" w:type="dxa"/>
            <w:noWrap/>
            <w:vAlign w:val="center"/>
            <w:hideMark/>
          </w:tcPr>
          <w:p w14:paraId="1BDB3C99"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1,6-6</w:t>
            </w:r>
          </w:p>
        </w:tc>
      </w:tr>
      <w:tr w:rsidR="00D10D95" w:rsidRPr="00F163AD" w14:paraId="1BDB3CA0" w14:textId="77777777">
        <w:trPr>
          <w:trHeight w:val="320"/>
        </w:trPr>
        <w:tc>
          <w:tcPr>
            <w:tcW w:w="2475" w:type="dxa"/>
            <w:noWrap/>
            <w:vAlign w:val="center"/>
            <w:hideMark/>
          </w:tcPr>
          <w:p w14:paraId="1BDB3C9B"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Índice función sexual</w:t>
            </w:r>
          </w:p>
        </w:tc>
        <w:tc>
          <w:tcPr>
            <w:tcW w:w="1520" w:type="dxa"/>
            <w:noWrap/>
            <w:vAlign w:val="center"/>
            <w:hideMark/>
          </w:tcPr>
          <w:p w14:paraId="1BDB3C9C"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72</w:t>
            </w:r>
          </w:p>
        </w:tc>
        <w:tc>
          <w:tcPr>
            <w:tcW w:w="1600" w:type="dxa"/>
            <w:noWrap/>
            <w:vAlign w:val="center"/>
            <w:hideMark/>
          </w:tcPr>
          <w:p w14:paraId="1BDB3C9D"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27,5(4)</w:t>
            </w:r>
          </w:p>
        </w:tc>
        <w:tc>
          <w:tcPr>
            <w:tcW w:w="1600" w:type="dxa"/>
            <w:noWrap/>
            <w:vAlign w:val="center"/>
            <w:hideMark/>
          </w:tcPr>
          <w:p w14:paraId="1BDB3C9E"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28,1</w:t>
            </w:r>
          </w:p>
        </w:tc>
        <w:tc>
          <w:tcPr>
            <w:tcW w:w="1320" w:type="dxa"/>
            <w:noWrap/>
            <w:vAlign w:val="center"/>
            <w:hideMark/>
          </w:tcPr>
          <w:p w14:paraId="1BDB3C9F"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17,3-35</w:t>
            </w:r>
          </w:p>
        </w:tc>
      </w:tr>
    </w:tbl>
    <w:p w14:paraId="1BDB3CA1" w14:textId="77777777" w:rsidR="00256823" w:rsidRPr="00F163AD" w:rsidRDefault="00256823" w:rsidP="00D9175A">
      <w:pPr>
        <w:spacing w:line="360" w:lineRule="auto"/>
        <w:jc w:val="both"/>
        <w:rPr>
          <w:rFonts w:ascii="Calibri" w:hAnsi="Calibri" w:cs="Calibri"/>
          <w:sz w:val="18"/>
          <w:szCs w:val="18"/>
        </w:rPr>
      </w:pPr>
      <w:r w:rsidRPr="00F163AD">
        <w:rPr>
          <w:rFonts w:ascii="Calibri" w:hAnsi="Calibri" w:cs="Calibri"/>
          <w:sz w:val="18"/>
          <w:szCs w:val="18"/>
        </w:rPr>
        <w:t>Fuente: Elaboración propia</w:t>
      </w:r>
    </w:p>
    <w:p w14:paraId="1BDB3CA2" w14:textId="77777777" w:rsidR="00256823" w:rsidRPr="00F163AD" w:rsidRDefault="00256823" w:rsidP="00D10D95">
      <w:pPr>
        <w:spacing w:line="360" w:lineRule="auto"/>
        <w:rPr>
          <w:rFonts w:ascii="Calibri" w:hAnsi="Calibri" w:cs="Calibri"/>
          <w:b/>
          <w:bCs/>
        </w:rPr>
      </w:pPr>
    </w:p>
    <w:p w14:paraId="1BDB3CA3" w14:textId="77777777" w:rsidR="00256823" w:rsidRPr="00F163AD" w:rsidRDefault="00256823" w:rsidP="00D10D95">
      <w:pPr>
        <w:spacing w:line="360" w:lineRule="auto"/>
        <w:rPr>
          <w:rFonts w:ascii="Calibri" w:hAnsi="Calibri" w:cs="Calibri"/>
          <w:b/>
          <w:bCs/>
        </w:rPr>
      </w:pPr>
      <w:r w:rsidRPr="00F163AD">
        <w:rPr>
          <w:rFonts w:ascii="Calibri" w:hAnsi="Calibri" w:cs="Calibri"/>
          <w:b/>
          <w:bCs/>
        </w:rPr>
        <w:t>Tabla V. Correlación de mediciones de diástasis con dominios y puntaje total del Índice de función sexual femenino.</w:t>
      </w:r>
    </w:p>
    <w:tbl>
      <w:tblPr>
        <w:tblW w:w="8789" w:type="dxa"/>
        <w:tblInd w:w="10" w:type="dxa"/>
        <w:tblCellMar>
          <w:left w:w="10" w:type="dxa"/>
          <w:right w:w="10" w:type="dxa"/>
        </w:tblCellMar>
        <w:tblLook w:val="04A0" w:firstRow="1" w:lastRow="0" w:firstColumn="1" w:lastColumn="0" w:noHBand="0" w:noVBand="1"/>
      </w:tblPr>
      <w:tblGrid>
        <w:gridCol w:w="2127"/>
        <w:gridCol w:w="1230"/>
        <w:gridCol w:w="896"/>
        <w:gridCol w:w="1230"/>
        <w:gridCol w:w="896"/>
        <w:gridCol w:w="1418"/>
        <w:gridCol w:w="992"/>
      </w:tblGrid>
      <w:tr w:rsidR="00D10D95" w:rsidRPr="00F163AD" w14:paraId="1BDB3CA6" w14:textId="77777777">
        <w:trPr>
          <w:trHeight w:val="320"/>
        </w:trPr>
        <w:tc>
          <w:tcPr>
            <w:tcW w:w="2127" w:type="dxa"/>
            <w:noWrap/>
            <w:vAlign w:val="center"/>
            <w:hideMark/>
          </w:tcPr>
          <w:p w14:paraId="1BDB3CA4" w14:textId="77777777" w:rsidR="00256823" w:rsidRPr="00F163AD" w:rsidRDefault="00256823">
            <w:pPr>
              <w:spacing w:line="360" w:lineRule="auto"/>
              <w:rPr>
                <w:rFonts w:ascii="Calibri" w:hAnsi="Calibri" w:cs="Calibri"/>
                <w:sz w:val="22"/>
                <w:szCs w:val="22"/>
              </w:rPr>
            </w:pPr>
          </w:p>
        </w:tc>
        <w:tc>
          <w:tcPr>
            <w:tcW w:w="6662" w:type="dxa"/>
            <w:gridSpan w:val="6"/>
            <w:noWrap/>
            <w:vAlign w:val="center"/>
            <w:hideMark/>
          </w:tcPr>
          <w:p w14:paraId="1BDB3CA5"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Medición Diástasis (cm)</w:t>
            </w:r>
          </w:p>
        </w:tc>
      </w:tr>
      <w:tr w:rsidR="00D10D95" w:rsidRPr="00F163AD" w14:paraId="1BDB3CAB" w14:textId="77777777">
        <w:trPr>
          <w:trHeight w:val="320"/>
        </w:trPr>
        <w:tc>
          <w:tcPr>
            <w:tcW w:w="2127" w:type="dxa"/>
            <w:noWrap/>
            <w:vAlign w:val="center"/>
            <w:hideMark/>
          </w:tcPr>
          <w:p w14:paraId="1BDB3CA7" w14:textId="77777777" w:rsidR="00256823" w:rsidRPr="00F163AD" w:rsidRDefault="00256823">
            <w:pPr>
              <w:spacing w:line="360" w:lineRule="auto"/>
              <w:rPr>
                <w:rFonts w:ascii="Calibri" w:hAnsi="Calibri" w:cs="Calibri"/>
                <w:color w:val="000000"/>
                <w:sz w:val="22"/>
                <w:szCs w:val="22"/>
              </w:rPr>
            </w:pPr>
          </w:p>
        </w:tc>
        <w:tc>
          <w:tcPr>
            <w:tcW w:w="2126" w:type="dxa"/>
            <w:gridSpan w:val="2"/>
            <w:noWrap/>
            <w:vAlign w:val="center"/>
            <w:hideMark/>
          </w:tcPr>
          <w:p w14:paraId="1BDB3CA8" w14:textId="77777777" w:rsidR="00256823" w:rsidRPr="00F163AD" w:rsidRDefault="00256823">
            <w:pPr>
              <w:spacing w:line="360" w:lineRule="auto"/>
              <w:jc w:val="center"/>
              <w:rPr>
                <w:rFonts w:ascii="Calibri" w:hAnsi="Calibri" w:cs="Calibri"/>
                <w:b/>
                <w:bCs/>
                <w:color w:val="000000"/>
                <w:sz w:val="22"/>
                <w:szCs w:val="22"/>
              </w:rPr>
            </w:pPr>
            <w:r w:rsidRPr="00F163AD">
              <w:rPr>
                <w:rFonts w:ascii="Calibri" w:hAnsi="Calibri" w:cs="Calibri"/>
                <w:b/>
                <w:bCs/>
                <w:color w:val="000000"/>
                <w:sz w:val="22"/>
                <w:szCs w:val="22"/>
              </w:rPr>
              <w:t>Nivel supraumbilical</w:t>
            </w:r>
          </w:p>
        </w:tc>
        <w:tc>
          <w:tcPr>
            <w:tcW w:w="2126" w:type="dxa"/>
            <w:gridSpan w:val="2"/>
            <w:noWrap/>
            <w:vAlign w:val="center"/>
            <w:hideMark/>
          </w:tcPr>
          <w:p w14:paraId="1BDB3CA9" w14:textId="77777777" w:rsidR="00256823" w:rsidRPr="00F163AD" w:rsidRDefault="00256823">
            <w:pPr>
              <w:spacing w:line="360" w:lineRule="auto"/>
              <w:jc w:val="center"/>
              <w:rPr>
                <w:rFonts w:ascii="Calibri" w:hAnsi="Calibri" w:cs="Calibri"/>
                <w:b/>
                <w:bCs/>
                <w:color w:val="000000"/>
                <w:sz w:val="22"/>
                <w:szCs w:val="22"/>
              </w:rPr>
            </w:pPr>
            <w:r w:rsidRPr="00F163AD">
              <w:rPr>
                <w:rFonts w:ascii="Calibri" w:hAnsi="Calibri" w:cs="Calibri"/>
                <w:b/>
                <w:bCs/>
                <w:color w:val="000000"/>
                <w:sz w:val="22"/>
                <w:szCs w:val="22"/>
              </w:rPr>
              <w:t>Nivel umbilical</w:t>
            </w:r>
          </w:p>
        </w:tc>
        <w:tc>
          <w:tcPr>
            <w:tcW w:w="2410" w:type="dxa"/>
            <w:gridSpan w:val="2"/>
            <w:noWrap/>
            <w:vAlign w:val="center"/>
            <w:hideMark/>
          </w:tcPr>
          <w:p w14:paraId="1BDB3CAA" w14:textId="77777777" w:rsidR="00256823" w:rsidRPr="00F163AD" w:rsidRDefault="00256823">
            <w:pPr>
              <w:spacing w:line="360" w:lineRule="auto"/>
              <w:jc w:val="center"/>
              <w:rPr>
                <w:rFonts w:ascii="Calibri" w:hAnsi="Calibri" w:cs="Calibri"/>
                <w:b/>
                <w:bCs/>
                <w:color w:val="000000"/>
                <w:sz w:val="22"/>
                <w:szCs w:val="22"/>
              </w:rPr>
            </w:pPr>
            <w:r w:rsidRPr="00F163AD">
              <w:rPr>
                <w:rFonts w:ascii="Calibri" w:hAnsi="Calibri" w:cs="Calibri"/>
                <w:b/>
                <w:bCs/>
                <w:color w:val="000000"/>
                <w:sz w:val="22"/>
                <w:szCs w:val="22"/>
              </w:rPr>
              <w:t>Nivel infraumbilical</w:t>
            </w:r>
          </w:p>
        </w:tc>
      </w:tr>
      <w:tr w:rsidR="00D10D95" w:rsidRPr="00F163AD" w14:paraId="1BDB3CB3" w14:textId="77777777">
        <w:trPr>
          <w:trHeight w:val="340"/>
        </w:trPr>
        <w:tc>
          <w:tcPr>
            <w:tcW w:w="2127" w:type="dxa"/>
            <w:noWrap/>
            <w:vAlign w:val="center"/>
            <w:hideMark/>
          </w:tcPr>
          <w:p w14:paraId="1BDB3CAC" w14:textId="77777777" w:rsidR="00256823" w:rsidRPr="00F163AD" w:rsidRDefault="00256823">
            <w:pPr>
              <w:spacing w:line="360" w:lineRule="auto"/>
              <w:rPr>
                <w:rFonts w:ascii="Calibri" w:hAnsi="Calibri" w:cs="Calibri"/>
                <w:color w:val="000000"/>
                <w:sz w:val="22"/>
                <w:szCs w:val="22"/>
              </w:rPr>
            </w:pPr>
          </w:p>
        </w:tc>
        <w:tc>
          <w:tcPr>
            <w:tcW w:w="1230" w:type="dxa"/>
            <w:noWrap/>
            <w:vAlign w:val="center"/>
            <w:hideMark/>
          </w:tcPr>
          <w:p w14:paraId="1BDB3CAD"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Coeficiente</w:t>
            </w:r>
          </w:p>
        </w:tc>
        <w:tc>
          <w:tcPr>
            <w:tcW w:w="896" w:type="dxa"/>
            <w:noWrap/>
            <w:vAlign w:val="center"/>
            <w:hideMark/>
          </w:tcPr>
          <w:p w14:paraId="1BDB3CAE"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p-valor</w:t>
            </w:r>
          </w:p>
        </w:tc>
        <w:tc>
          <w:tcPr>
            <w:tcW w:w="1230" w:type="dxa"/>
            <w:noWrap/>
            <w:vAlign w:val="center"/>
            <w:hideMark/>
          </w:tcPr>
          <w:p w14:paraId="1BDB3CAF"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Coeficiente</w:t>
            </w:r>
          </w:p>
        </w:tc>
        <w:tc>
          <w:tcPr>
            <w:tcW w:w="896" w:type="dxa"/>
            <w:noWrap/>
            <w:vAlign w:val="center"/>
            <w:hideMark/>
          </w:tcPr>
          <w:p w14:paraId="1BDB3CB0"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p-valor</w:t>
            </w:r>
          </w:p>
        </w:tc>
        <w:tc>
          <w:tcPr>
            <w:tcW w:w="1418" w:type="dxa"/>
            <w:noWrap/>
            <w:vAlign w:val="center"/>
            <w:hideMark/>
          </w:tcPr>
          <w:p w14:paraId="1BDB3CB1"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Coeficiente</w:t>
            </w:r>
          </w:p>
        </w:tc>
        <w:tc>
          <w:tcPr>
            <w:tcW w:w="992" w:type="dxa"/>
            <w:noWrap/>
            <w:vAlign w:val="center"/>
            <w:hideMark/>
          </w:tcPr>
          <w:p w14:paraId="1BDB3CB2"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p-valor</w:t>
            </w:r>
          </w:p>
        </w:tc>
      </w:tr>
      <w:tr w:rsidR="00D10D95" w:rsidRPr="00F163AD" w14:paraId="1BDB3CBB" w14:textId="77777777">
        <w:trPr>
          <w:trHeight w:val="340"/>
        </w:trPr>
        <w:tc>
          <w:tcPr>
            <w:tcW w:w="2127" w:type="dxa"/>
            <w:noWrap/>
            <w:vAlign w:val="center"/>
            <w:hideMark/>
          </w:tcPr>
          <w:p w14:paraId="1BDB3CB4"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Dominio deseo</w:t>
            </w:r>
          </w:p>
        </w:tc>
        <w:tc>
          <w:tcPr>
            <w:tcW w:w="1230" w:type="dxa"/>
            <w:noWrap/>
            <w:vAlign w:val="center"/>
            <w:hideMark/>
          </w:tcPr>
          <w:p w14:paraId="1BDB3CB5"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0,1093</w:t>
            </w:r>
          </w:p>
        </w:tc>
        <w:tc>
          <w:tcPr>
            <w:tcW w:w="896" w:type="dxa"/>
            <w:noWrap/>
            <w:vAlign w:val="center"/>
            <w:hideMark/>
          </w:tcPr>
          <w:p w14:paraId="1BDB3CB6"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0,2815</w:t>
            </w:r>
          </w:p>
        </w:tc>
        <w:tc>
          <w:tcPr>
            <w:tcW w:w="1230" w:type="dxa"/>
            <w:noWrap/>
            <w:vAlign w:val="center"/>
            <w:hideMark/>
          </w:tcPr>
          <w:p w14:paraId="1BDB3CB7"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0,1367</w:t>
            </w:r>
          </w:p>
        </w:tc>
        <w:tc>
          <w:tcPr>
            <w:tcW w:w="896" w:type="dxa"/>
            <w:noWrap/>
            <w:vAlign w:val="center"/>
            <w:hideMark/>
          </w:tcPr>
          <w:p w14:paraId="1BDB3CB8"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0,1774</w:t>
            </w:r>
          </w:p>
        </w:tc>
        <w:tc>
          <w:tcPr>
            <w:tcW w:w="1418" w:type="dxa"/>
            <w:noWrap/>
            <w:vAlign w:val="center"/>
            <w:hideMark/>
          </w:tcPr>
          <w:p w14:paraId="1BDB3CB9"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0,1155</w:t>
            </w:r>
          </w:p>
        </w:tc>
        <w:tc>
          <w:tcPr>
            <w:tcW w:w="992" w:type="dxa"/>
            <w:noWrap/>
            <w:vAlign w:val="center"/>
            <w:hideMark/>
          </w:tcPr>
          <w:p w14:paraId="1BDB3CBA"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0,2549</w:t>
            </w:r>
          </w:p>
        </w:tc>
      </w:tr>
      <w:tr w:rsidR="00D10D95" w:rsidRPr="00F163AD" w14:paraId="1BDB3CC3" w14:textId="77777777">
        <w:trPr>
          <w:trHeight w:val="240"/>
        </w:trPr>
        <w:tc>
          <w:tcPr>
            <w:tcW w:w="2127" w:type="dxa"/>
            <w:noWrap/>
            <w:vAlign w:val="center"/>
            <w:hideMark/>
          </w:tcPr>
          <w:p w14:paraId="1BDB3CBC"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Dominio excitación</w:t>
            </w:r>
          </w:p>
        </w:tc>
        <w:tc>
          <w:tcPr>
            <w:tcW w:w="1230" w:type="dxa"/>
            <w:noWrap/>
            <w:vAlign w:val="center"/>
            <w:hideMark/>
          </w:tcPr>
          <w:p w14:paraId="1BDB3CBD"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0,0347</w:t>
            </w:r>
          </w:p>
        </w:tc>
        <w:tc>
          <w:tcPr>
            <w:tcW w:w="896" w:type="dxa"/>
            <w:noWrap/>
            <w:vAlign w:val="center"/>
            <w:hideMark/>
          </w:tcPr>
          <w:p w14:paraId="1BDB3CBE"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0,7722</w:t>
            </w:r>
          </w:p>
        </w:tc>
        <w:tc>
          <w:tcPr>
            <w:tcW w:w="1230" w:type="dxa"/>
            <w:noWrap/>
            <w:vAlign w:val="center"/>
            <w:hideMark/>
          </w:tcPr>
          <w:p w14:paraId="1BDB3CBF"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-0,056</w:t>
            </w:r>
          </w:p>
        </w:tc>
        <w:tc>
          <w:tcPr>
            <w:tcW w:w="896" w:type="dxa"/>
            <w:noWrap/>
            <w:vAlign w:val="center"/>
            <w:hideMark/>
          </w:tcPr>
          <w:p w14:paraId="1BDB3CC0"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0,6402</w:t>
            </w:r>
          </w:p>
        </w:tc>
        <w:tc>
          <w:tcPr>
            <w:tcW w:w="1418" w:type="dxa"/>
            <w:noWrap/>
            <w:vAlign w:val="center"/>
            <w:hideMark/>
          </w:tcPr>
          <w:p w14:paraId="1BDB3CC1"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-0,1421</w:t>
            </w:r>
          </w:p>
        </w:tc>
        <w:tc>
          <w:tcPr>
            <w:tcW w:w="992" w:type="dxa"/>
            <w:noWrap/>
            <w:vAlign w:val="center"/>
            <w:hideMark/>
          </w:tcPr>
          <w:p w14:paraId="1BDB3CC2"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0,2338</w:t>
            </w:r>
          </w:p>
        </w:tc>
      </w:tr>
      <w:tr w:rsidR="00D10D95" w:rsidRPr="00F163AD" w14:paraId="1BDB3CCB" w14:textId="77777777">
        <w:trPr>
          <w:trHeight w:val="340"/>
        </w:trPr>
        <w:tc>
          <w:tcPr>
            <w:tcW w:w="2127" w:type="dxa"/>
            <w:noWrap/>
            <w:vAlign w:val="center"/>
            <w:hideMark/>
          </w:tcPr>
          <w:p w14:paraId="1BDB3CC4"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Dominio lubricación</w:t>
            </w:r>
          </w:p>
        </w:tc>
        <w:tc>
          <w:tcPr>
            <w:tcW w:w="1230" w:type="dxa"/>
            <w:noWrap/>
            <w:vAlign w:val="center"/>
            <w:hideMark/>
          </w:tcPr>
          <w:p w14:paraId="1BDB3CC5"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0,2226</w:t>
            </w:r>
          </w:p>
        </w:tc>
        <w:tc>
          <w:tcPr>
            <w:tcW w:w="896" w:type="dxa"/>
            <w:noWrap/>
            <w:vAlign w:val="center"/>
            <w:hideMark/>
          </w:tcPr>
          <w:p w14:paraId="1BDB3CC6"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0,0602</w:t>
            </w:r>
          </w:p>
        </w:tc>
        <w:tc>
          <w:tcPr>
            <w:tcW w:w="1230" w:type="dxa"/>
            <w:noWrap/>
            <w:vAlign w:val="center"/>
            <w:hideMark/>
          </w:tcPr>
          <w:p w14:paraId="1BDB3CC7"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0,2028</w:t>
            </w:r>
          </w:p>
        </w:tc>
        <w:tc>
          <w:tcPr>
            <w:tcW w:w="896" w:type="dxa"/>
            <w:noWrap/>
            <w:vAlign w:val="center"/>
            <w:hideMark/>
          </w:tcPr>
          <w:p w14:paraId="1BDB3CC8"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0,0875</w:t>
            </w:r>
          </w:p>
        </w:tc>
        <w:tc>
          <w:tcPr>
            <w:tcW w:w="1418" w:type="dxa"/>
            <w:noWrap/>
            <w:vAlign w:val="center"/>
            <w:hideMark/>
          </w:tcPr>
          <w:p w14:paraId="1BDB3CC9"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0,0978</w:t>
            </w:r>
          </w:p>
        </w:tc>
        <w:tc>
          <w:tcPr>
            <w:tcW w:w="992" w:type="dxa"/>
            <w:noWrap/>
            <w:vAlign w:val="center"/>
            <w:hideMark/>
          </w:tcPr>
          <w:p w14:paraId="1BDB3CCA"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0,4139</w:t>
            </w:r>
          </w:p>
        </w:tc>
      </w:tr>
      <w:tr w:rsidR="00D10D95" w:rsidRPr="00F163AD" w14:paraId="1BDB3CD3" w14:textId="77777777">
        <w:trPr>
          <w:trHeight w:val="340"/>
        </w:trPr>
        <w:tc>
          <w:tcPr>
            <w:tcW w:w="2127" w:type="dxa"/>
            <w:noWrap/>
            <w:vAlign w:val="center"/>
            <w:hideMark/>
          </w:tcPr>
          <w:p w14:paraId="1BDB3CCC"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Dominio orgasmo</w:t>
            </w:r>
          </w:p>
        </w:tc>
        <w:tc>
          <w:tcPr>
            <w:tcW w:w="1230" w:type="dxa"/>
            <w:noWrap/>
            <w:vAlign w:val="center"/>
            <w:hideMark/>
          </w:tcPr>
          <w:p w14:paraId="1BDB3CCD"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0,1598</w:t>
            </w:r>
          </w:p>
        </w:tc>
        <w:tc>
          <w:tcPr>
            <w:tcW w:w="896" w:type="dxa"/>
            <w:noWrap/>
            <w:vAlign w:val="center"/>
            <w:hideMark/>
          </w:tcPr>
          <w:p w14:paraId="1BDB3CCE"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0,18</w:t>
            </w:r>
          </w:p>
        </w:tc>
        <w:tc>
          <w:tcPr>
            <w:tcW w:w="1230" w:type="dxa"/>
            <w:noWrap/>
            <w:vAlign w:val="center"/>
            <w:hideMark/>
          </w:tcPr>
          <w:p w14:paraId="1BDB3CCF"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0,118</w:t>
            </w:r>
          </w:p>
        </w:tc>
        <w:tc>
          <w:tcPr>
            <w:tcW w:w="896" w:type="dxa"/>
            <w:noWrap/>
            <w:vAlign w:val="center"/>
            <w:hideMark/>
          </w:tcPr>
          <w:p w14:paraId="1BDB3CD0"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0,3234</w:t>
            </w:r>
          </w:p>
        </w:tc>
        <w:tc>
          <w:tcPr>
            <w:tcW w:w="1418" w:type="dxa"/>
            <w:noWrap/>
            <w:vAlign w:val="center"/>
            <w:hideMark/>
          </w:tcPr>
          <w:p w14:paraId="1BDB3CD1"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-0,1315</w:t>
            </w:r>
          </w:p>
        </w:tc>
        <w:tc>
          <w:tcPr>
            <w:tcW w:w="992" w:type="dxa"/>
            <w:noWrap/>
            <w:vAlign w:val="center"/>
            <w:hideMark/>
          </w:tcPr>
          <w:p w14:paraId="1BDB3CD2"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0,2710</w:t>
            </w:r>
          </w:p>
        </w:tc>
      </w:tr>
      <w:tr w:rsidR="00D10D95" w:rsidRPr="00F163AD" w14:paraId="1BDB3CDB" w14:textId="77777777">
        <w:trPr>
          <w:trHeight w:val="340"/>
        </w:trPr>
        <w:tc>
          <w:tcPr>
            <w:tcW w:w="2127" w:type="dxa"/>
            <w:noWrap/>
            <w:vAlign w:val="center"/>
            <w:hideMark/>
          </w:tcPr>
          <w:p w14:paraId="1BDB3CD4"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Dominio satisfacción</w:t>
            </w:r>
          </w:p>
        </w:tc>
        <w:tc>
          <w:tcPr>
            <w:tcW w:w="1230" w:type="dxa"/>
            <w:noWrap/>
            <w:vAlign w:val="center"/>
            <w:hideMark/>
          </w:tcPr>
          <w:p w14:paraId="1BDB3CD5"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-0,1367</w:t>
            </w:r>
          </w:p>
        </w:tc>
        <w:tc>
          <w:tcPr>
            <w:tcW w:w="896" w:type="dxa"/>
            <w:noWrap/>
            <w:vAlign w:val="center"/>
            <w:hideMark/>
          </w:tcPr>
          <w:p w14:paraId="1BDB3CD6"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0,2523</w:t>
            </w:r>
          </w:p>
        </w:tc>
        <w:tc>
          <w:tcPr>
            <w:tcW w:w="1230" w:type="dxa"/>
            <w:noWrap/>
            <w:vAlign w:val="center"/>
            <w:hideMark/>
          </w:tcPr>
          <w:p w14:paraId="1BDB3CD7"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-0,118</w:t>
            </w:r>
          </w:p>
        </w:tc>
        <w:tc>
          <w:tcPr>
            <w:tcW w:w="896" w:type="dxa"/>
            <w:noWrap/>
            <w:vAlign w:val="center"/>
            <w:hideMark/>
          </w:tcPr>
          <w:p w14:paraId="1BDB3CD8"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0,3233</w:t>
            </w:r>
          </w:p>
        </w:tc>
        <w:tc>
          <w:tcPr>
            <w:tcW w:w="1418" w:type="dxa"/>
            <w:noWrap/>
            <w:vAlign w:val="center"/>
            <w:hideMark/>
          </w:tcPr>
          <w:p w14:paraId="1BDB3CD9"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-0,2704</w:t>
            </w:r>
          </w:p>
        </w:tc>
        <w:tc>
          <w:tcPr>
            <w:tcW w:w="992" w:type="dxa"/>
            <w:noWrap/>
            <w:vAlign w:val="center"/>
            <w:hideMark/>
          </w:tcPr>
          <w:p w14:paraId="1BDB3CDA" w14:textId="77777777" w:rsidR="00256823" w:rsidRPr="00F163AD" w:rsidRDefault="00256823">
            <w:pPr>
              <w:spacing w:line="360" w:lineRule="auto"/>
              <w:jc w:val="center"/>
              <w:rPr>
                <w:rFonts w:ascii="Calibri" w:hAnsi="Calibri" w:cs="Calibri"/>
                <w:b/>
                <w:bCs/>
                <w:color w:val="000000"/>
                <w:sz w:val="22"/>
                <w:szCs w:val="22"/>
              </w:rPr>
            </w:pPr>
            <w:r w:rsidRPr="00F163AD">
              <w:rPr>
                <w:rFonts w:ascii="Calibri" w:hAnsi="Calibri" w:cs="Calibri"/>
                <w:b/>
                <w:bCs/>
                <w:color w:val="000000"/>
                <w:sz w:val="22"/>
                <w:szCs w:val="22"/>
              </w:rPr>
              <w:t>0,0216</w:t>
            </w:r>
          </w:p>
        </w:tc>
      </w:tr>
      <w:tr w:rsidR="00D10D95" w:rsidRPr="00F163AD" w14:paraId="1BDB3CE3" w14:textId="77777777">
        <w:trPr>
          <w:trHeight w:val="340"/>
        </w:trPr>
        <w:tc>
          <w:tcPr>
            <w:tcW w:w="2127" w:type="dxa"/>
            <w:noWrap/>
            <w:vAlign w:val="center"/>
            <w:hideMark/>
          </w:tcPr>
          <w:p w14:paraId="1BDB3CDC"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Dominio dolor</w:t>
            </w:r>
          </w:p>
        </w:tc>
        <w:tc>
          <w:tcPr>
            <w:tcW w:w="1230" w:type="dxa"/>
            <w:noWrap/>
            <w:vAlign w:val="center"/>
            <w:hideMark/>
          </w:tcPr>
          <w:p w14:paraId="1BDB3CDD"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0,0583</w:t>
            </w:r>
          </w:p>
        </w:tc>
        <w:tc>
          <w:tcPr>
            <w:tcW w:w="896" w:type="dxa"/>
            <w:noWrap/>
            <w:vAlign w:val="center"/>
            <w:hideMark/>
          </w:tcPr>
          <w:p w14:paraId="1BDB3CDE"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0,6269</w:t>
            </w:r>
          </w:p>
        </w:tc>
        <w:tc>
          <w:tcPr>
            <w:tcW w:w="1230" w:type="dxa"/>
            <w:noWrap/>
            <w:vAlign w:val="center"/>
            <w:hideMark/>
          </w:tcPr>
          <w:p w14:paraId="1BDB3CDF"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0,2323</w:t>
            </w:r>
          </w:p>
        </w:tc>
        <w:tc>
          <w:tcPr>
            <w:tcW w:w="896" w:type="dxa"/>
            <w:noWrap/>
            <w:vAlign w:val="center"/>
            <w:hideMark/>
          </w:tcPr>
          <w:p w14:paraId="1BDB3CE0" w14:textId="77777777" w:rsidR="00256823" w:rsidRPr="00F163AD" w:rsidRDefault="00256823">
            <w:pPr>
              <w:spacing w:line="360" w:lineRule="auto"/>
              <w:jc w:val="center"/>
              <w:rPr>
                <w:rFonts w:ascii="Calibri" w:hAnsi="Calibri" w:cs="Calibri"/>
                <w:b/>
                <w:bCs/>
                <w:color w:val="000000"/>
                <w:sz w:val="22"/>
                <w:szCs w:val="22"/>
              </w:rPr>
            </w:pPr>
            <w:r w:rsidRPr="00F163AD">
              <w:rPr>
                <w:rFonts w:ascii="Calibri" w:hAnsi="Calibri" w:cs="Calibri"/>
                <w:b/>
                <w:bCs/>
                <w:color w:val="000000"/>
                <w:sz w:val="22"/>
                <w:szCs w:val="22"/>
              </w:rPr>
              <w:t>0,0496</w:t>
            </w:r>
          </w:p>
        </w:tc>
        <w:tc>
          <w:tcPr>
            <w:tcW w:w="1418" w:type="dxa"/>
            <w:noWrap/>
            <w:vAlign w:val="center"/>
            <w:hideMark/>
          </w:tcPr>
          <w:p w14:paraId="1BDB3CE1"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0,0705</w:t>
            </w:r>
          </w:p>
        </w:tc>
        <w:tc>
          <w:tcPr>
            <w:tcW w:w="992" w:type="dxa"/>
            <w:noWrap/>
            <w:vAlign w:val="center"/>
            <w:hideMark/>
          </w:tcPr>
          <w:p w14:paraId="1BDB3CE2"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0,5563</w:t>
            </w:r>
          </w:p>
        </w:tc>
      </w:tr>
      <w:tr w:rsidR="00D10D95" w:rsidRPr="00F163AD" w14:paraId="1BDB3CEB" w14:textId="77777777">
        <w:trPr>
          <w:trHeight w:val="340"/>
        </w:trPr>
        <w:tc>
          <w:tcPr>
            <w:tcW w:w="2127" w:type="dxa"/>
            <w:noWrap/>
            <w:vAlign w:val="center"/>
            <w:hideMark/>
          </w:tcPr>
          <w:p w14:paraId="1BDB3CE4" w14:textId="77777777" w:rsidR="00256823" w:rsidRPr="00F163AD" w:rsidRDefault="00256823">
            <w:pPr>
              <w:spacing w:line="360" w:lineRule="auto"/>
              <w:rPr>
                <w:rFonts w:ascii="Calibri" w:hAnsi="Calibri" w:cs="Calibri"/>
                <w:color w:val="000000"/>
                <w:sz w:val="22"/>
                <w:szCs w:val="22"/>
              </w:rPr>
            </w:pPr>
            <w:r w:rsidRPr="00F163AD">
              <w:rPr>
                <w:rFonts w:ascii="Calibri" w:hAnsi="Calibri" w:cs="Calibri"/>
                <w:color w:val="000000"/>
                <w:sz w:val="22"/>
                <w:szCs w:val="22"/>
              </w:rPr>
              <w:t>Índice función sexual</w:t>
            </w:r>
          </w:p>
        </w:tc>
        <w:tc>
          <w:tcPr>
            <w:tcW w:w="1230" w:type="dxa"/>
            <w:noWrap/>
            <w:vAlign w:val="center"/>
            <w:hideMark/>
          </w:tcPr>
          <w:p w14:paraId="1BDB3CE5"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0,092</w:t>
            </w:r>
          </w:p>
        </w:tc>
        <w:tc>
          <w:tcPr>
            <w:tcW w:w="896" w:type="dxa"/>
            <w:noWrap/>
            <w:vAlign w:val="center"/>
            <w:hideMark/>
          </w:tcPr>
          <w:p w14:paraId="1BDB3CE6"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0,4421</w:t>
            </w:r>
          </w:p>
        </w:tc>
        <w:tc>
          <w:tcPr>
            <w:tcW w:w="1230" w:type="dxa"/>
            <w:noWrap/>
            <w:vAlign w:val="center"/>
            <w:hideMark/>
          </w:tcPr>
          <w:p w14:paraId="1BDB3CE7"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0,1137</w:t>
            </w:r>
          </w:p>
        </w:tc>
        <w:tc>
          <w:tcPr>
            <w:tcW w:w="896" w:type="dxa"/>
            <w:noWrap/>
            <w:vAlign w:val="center"/>
            <w:hideMark/>
          </w:tcPr>
          <w:p w14:paraId="1BDB3CE8"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0,3415</w:t>
            </w:r>
          </w:p>
        </w:tc>
        <w:tc>
          <w:tcPr>
            <w:tcW w:w="1418" w:type="dxa"/>
            <w:noWrap/>
            <w:vAlign w:val="center"/>
            <w:hideMark/>
          </w:tcPr>
          <w:p w14:paraId="1BDB3CE9"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-0,0749</w:t>
            </w:r>
          </w:p>
        </w:tc>
        <w:tc>
          <w:tcPr>
            <w:tcW w:w="992" w:type="dxa"/>
            <w:noWrap/>
            <w:vAlign w:val="center"/>
            <w:hideMark/>
          </w:tcPr>
          <w:p w14:paraId="1BDB3CEA" w14:textId="77777777" w:rsidR="00256823" w:rsidRPr="00F163AD" w:rsidRDefault="00256823">
            <w:pPr>
              <w:spacing w:line="360" w:lineRule="auto"/>
              <w:jc w:val="center"/>
              <w:rPr>
                <w:rFonts w:ascii="Calibri" w:hAnsi="Calibri" w:cs="Calibri"/>
                <w:color w:val="000000"/>
                <w:sz w:val="22"/>
                <w:szCs w:val="22"/>
              </w:rPr>
            </w:pPr>
            <w:r w:rsidRPr="00F163AD">
              <w:rPr>
                <w:rFonts w:ascii="Calibri" w:hAnsi="Calibri" w:cs="Calibri"/>
                <w:color w:val="000000"/>
                <w:sz w:val="22"/>
                <w:szCs w:val="22"/>
              </w:rPr>
              <w:t>0,5317</w:t>
            </w:r>
          </w:p>
        </w:tc>
      </w:tr>
    </w:tbl>
    <w:p w14:paraId="1BDB3CFB" w14:textId="6D0B7019" w:rsidR="00256823" w:rsidRPr="00256823" w:rsidRDefault="00256823" w:rsidP="00256823">
      <w:pPr>
        <w:rPr>
          <w:rFonts w:ascii="Calibri" w:hAnsi="Calibri" w:cs="Calibri"/>
          <w:sz w:val="18"/>
          <w:szCs w:val="18"/>
        </w:rPr>
      </w:pPr>
      <w:r w:rsidRPr="00F163AD">
        <w:rPr>
          <w:rFonts w:ascii="Calibri" w:hAnsi="Calibri" w:cs="Calibri"/>
          <w:sz w:val="18"/>
          <w:szCs w:val="18"/>
        </w:rPr>
        <w:t>Fuente: Elaboración propia.</w:t>
      </w:r>
    </w:p>
    <w:sectPr w:rsidR="00256823" w:rsidRPr="002568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29F1A" w14:textId="77777777" w:rsidR="00A40A0C" w:rsidRDefault="00A40A0C" w:rsidP="00A40A0C">
      <w:pPr>
        <w:spacing w:after="0" w:line="240" w:lineRule="auto"/>
      </w:pPr>
      <w:r>
        <w:separator/>
      </w:r>
    </w:p>
  </w:endnote>
  <w:endnote w:type="continuationSeparator" w:id="0">
    <w:p w14:paraId="72D54E3B" w14:textId="77777777" w:rsidR="00A40A0C" w:rsidRDefault="00A40A0C" w:rsidP="00A40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nionPro-Regular">
    <w:altName w:val="Calibri"/>
    <w:panose1 w:val="020B0604020202020204"/>
    <w:charset w:val="4D"/>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imes">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78099" w14:textId="77777777" w:rsidR="00A40A0C" w:rsidRDefault="00A40A0C" w:rsidP="00A40A0C">
      <w:pPr>
        <w:spacing w:after="0" w:line="240" w:lineRule="auto"/>
      </w:pPr>
      <w:r>
        <w:separator/>
      </w:r>
    </w:p>
  </w:footnote>
  <w:footnote w:type="continuationSeparator" w:id="0">
    <w:p w14:paraId="7DC6A9F1" w14:textId="77777777" w:rsidR="00A40A0C" w:rsidRDefault="00A40A0C" w:rsidP="00A40A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61D"/>
    <w:multiLevelType w:val="hybridMultilevel"/>
    <w:tmpl w:val="1B562E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485622C"/>
    <w:multiLevelType w:val="multilevel"/>
    <w:tmpl w:val="009CBB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18330151">
    <w:abstractNumId w:val="1"/>
  </w:num>
  <w:num w:numId="2" w16cid:durableId="12343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EA2"/>
    <w:rsid w:val="00135EA4"/>
    <w:rsid w:val="00161457"/>
    <w:rsid w:val="001B3BDF"/>
    <w:rsid w:val="001C3EA2"/>
    <w:rsid w:val="00256823"/>
    <w:rsid w:val="00494E69"/>
    <w:rsid w:val="00955115"/>
    <w:rsid w:val="00A40A0C"/>
    <w:rsid w:val="00B72116"/>
    <w:rsid w:val="00F4365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BDB3B7D"/>
  <w15:docId w15:val="{A9EF74CB-76CF-E147-A403-CF229ED1F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0A0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55115"/>
    <w:rPr>
      <w:color w:val="467886" w:themeColor="hyperlink"/>
      <w:u w:val="single"/>
    </w:rPr>
  </w:style>
  <w:style w:type="character" w:styleId="Mencinsinresolver">
    <w:name w:val="Unresolved Mention"/>
    <w:basedOn w:val="Fuentedeprrafopredeter"/>
    <w:uiPriority w:val="99"/>
    <w:semiHidden/>
    <w:unhideWhenUsed/>
    <w:rsid w:val="00955115"/>
    <w:rPr>
      <w:color w:val="605E5C"/>
      <w:shd w:val="clear" w:color="auto" w:fill="E1DFDD"/>
    </w:rPr>
  </w:style>
  <w:style w:type="paragraph" w:customStyle="1" w:styleId="Ningnestilodeprrafo">
    <w:name w:val="[Ningún estilo de párrafo]"/>
    <w:rsid w:val="00F4365C"/>
    <w:pPr>
      <w:autoSpaceDE w:val="0"/>
      <w:autoSpaceDN w:val="0"/>
      <w:adjustRightInd w:val="0"/>
      <w:spacing w:after="0" w:line="288" w:lineRule="auto"/>
      <w:textAlignment w:val="center"/>
    </w:pPr>
    <w:rPr>
      <w:rFonts w:ascii="MinionPro-Regular" w:hAnsi="MinionPro-Regular" w:cs="MinionPro-Regular"/>
      <w:color w:val="000000"/>
      <w:kern w:val="0"/>
      <w:lang w:val="es-ES_tradnl"/>
    </w:rPr>
  </w:style>
  <w:style w:type="character" w:customStyle="1" w:styleId="Ttulo1Car">
    <w:name w:val="Título 1 Car"/>
    <w:basedOn w:val="Fuentedeprrafopredeter"/>
    <w:link w:val="Ttulo1"/>
    <w:uiPriority w:val="9"/>
    <w:rsid w:val="00A40A0C"/>
    <w:rPr>
      <w:rFonts w:asciiTheme="majorHAnsi" w:eastAsiaTheme="majorEastAsia" w:hAnsiTheme="majorHAnsi" w:cstheme="majorBidi"/>
      <w:color w:val="0F4761" w:themeColor="accent1" w:themeShade="BF"/>
      <w:sz w:val="32"/>
      <w:szCs w:val="32"/>
    </w:rPr>
  </w:style>
  <w:style w:type="paragraph" w:styleId="Encabezado">
    <w:name w:val="header"/>
    <w:basedOn w:val="Normal"/>
    <w:link w:val="EncabezadoCar"/>
    <w:uiPriority w:val="99"/>
    <w:unhideWhenUsed/>
    <w:rsid w:val="00A40A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0A0C"/>
  </w:style>
  <w:style w:type="paragraph" w:styleId="Piedepgina">
    <w:name w:val="footer"/>
    <w:basedOn w:val="Normal"/>
    <w:link w:val="PiedepginaCar"/>
    <w:uiPriority w:val="99"/>
    <w:unhideWhenUsed/>
    <w:rsid w:val="00A40A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0A0C"/>
  </w:style>
  <w:style w:type="paragraph" w:styleId="Prrafodelista">
    <w:name w:val="List Paragraph"/>
    <w:basedOn w:val="Normal"/>
    <w:uiPriority w:val="34"/>
    <w:qFormat/>
    <w:rsid w:val="00A40A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24875/per.20000020"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x.doi.org/10.4067/S0717-75262004000200006"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dx.doi.org/10.20960/rhh.00215"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jusselit.estrada@uss.c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1c5de8a-9abc-4579-9dcd-d4626374aa8c">
      <Terms xmlns="http://schemas.microsoft.com/office/infopath/2007/PartnerControls"/>
    </lcf76f155ced4ddcb4097134ff3c332f>
    <TaxCatchAll xmlns="f9d81174-69d5-4047-8dae-3d041e389f6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CC3C239FA618A4AB7591873E4A14932" ma:contentTypeVersion="14" ma:contentTypeDescription="Crear nuevo documento." ma:contentTypeScope="" ma:versionID="d29908a8d8e1f251f0a6b491a67dbb45">
  <xsd:schema xmlns:xsd="http://www.w3.org/2001/XMLSchema" xmlns:xs="http://www.w3.org/2001/XMLSchema" xmlns:p="http://schemas.microsoft.com/office/2006/metadata/properties" xmlns:ns2="a1c5de8a-9abc-4579-9dcd-d4626374aa8c" xmlns:ns3="f9d81174-69d5-4047-8dae-3d041e389f6c" targetNamespace="http://schemas.microsoft.com/office/2006/metadata/properties" ma:root="true" ma:fieldsID="e7ffb31a70bb0f4c80fcf9fe6a45f512" ns2:_="" ns3:_="">
    <xsd:import namespace="a1c5de8a-9abc-4579-9dcd-d4626374aa8c"/>
    <xsd:import namespace="f9d81174-69d5-4047-8dae-3d041e389f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c5de8a-9abc-4579-9dcd-d4626374aa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d81174-69d5-4047-8dae-3d041e389f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a32b90-d64d-4d27-94f3-77a47b94011f}" ma:internalName="TaxCatchAll" ma:showField="CatchAllData" ma:web="f9d81174-69d5-4047-8dae-3d041e389f6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A82575-B4C9-4EF4-97C4-14A7CE2F4E9A}">
  <ds:schemaRefs>
    <ds:schemaRef ds:uri="http://schemas.microsoft.com/office/2006/metadata/properties"/>
    <ds:schemaRef ds:uri="http://schemas.microsoft.com/office/infopath/2007/PartnerControls"/>
    <ds:schemaRef ds:uri="a1c5de8a-9abc-4579-9dcd-d4626374aa8c"/>
    <ds:schemaRef ds:uri="f9d81174-69d5-4047-8dae-3d041e389f6c"/>
  </ds:schemaRefs>
</ds:datastoreItem>
</file>

<file path=customXml/itemProps2.xml><?xml version="1.0" encoding="utf-8"?>
<ds:datastoreItem xmlns:ds="http://schemas.openxmlformats.org/officeDocument/2006/customXml" ds:itemID="{3B515813-3EB6-40AE-A1C4-044B8BA15BF3}">
  <ds:schemaRefs>
    <ds:schemaRef ds:uri="http://schemas.microsoft.com/sharepoint/v3/contenttype/forms"/>
  </ds:schemaRefs>
</ds:datastoreItem>
</file>

<file path=customXml/itemProps3.xml><?xml version="1.0" encoding="utf-8"?>
<ds:datastoreItem xmlns:ds="http://schemas.openxmlformats.org/officeDocument/2006/customXml" ds:itemID="{B59B7274-C7D2-448B-9CC5-FF7FA43EC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c5de8a-9abc-4579-9dcd-d4626374aa8c"/>
    <ds:schemaRef ds:uri="f9d81174-69d5-4047-8dae-3d041e389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5140</Words>
  <Characters>28275</Characters>
  <Application>Microsoft Office Word</Application>
  <DocSecurity>0</DocSecurity>
  <Lines>235</Lines>
  <Paragraphs>66</Paragraphs>
  <ScaleCrop>false</ScaleCrop>
  <Company>Universidad de Valparaíso</Company>
  <LinksUpToDate>false</LinksUpToDate>
  <CharactersWithSpaces>33349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Carreño León</cp:lastModifiedBy>
  <cp:revision>8</cp:revision>
  <dcterms:created xsi:type="dcterms:W3CDTF">2025-11-27T12:42:00Z</dcterms:created>
  <dcterms:modified xsi:type="dcterms:W3CDTF">2025-11-27T13:12:00Z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0x010100BCC3C239FA618A4AB7591873E4A14932</vt:lpwstr>
  </property>
  <property fmtid="{D5CDD505-2E9C-101B-9397-08002B2CF9AE}" pid="3" name="MediaServiceImageTags">
    <vt:lpwstr/>
  </property>
</Properties>
</file>