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7A0D13"/>
          <w:sz w:val="44"/>
          <w:szCs w:val="44"/>
        </w:rPr>
        <w:t xml:space="preserve">DOCUMENTACIÓN TÉCNICA DE PROYECTO</w:t>
      </w:r>
    </w:p>
    <w:p>
      <w:pPr>
        <w:spacing w:after="260"/>
      </w:pPr>
      <w:r>
        <w:rPr>
          <w:color w:val="595959"/>
          <w:sz w:val="26"/>
          <w:szCs w:val="26"/>
        </w:rPr>
        <w:t xml:space="preserve">Sitio web interactivo — Xiaomi 18 Pro Max (concepto no oficial)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c>
          <w:tcPr>
            <w:tcW w:type="dxa" w:w="2600"/>
            <w:shd w:fill="F2F2F2" w:val="clear"/>
            <w:tcMar>
              <w:top w:type="dxa" w:w="100"/>
              <w:left w:type="dxa" w:w="120"/>
              <w:bottom w:type="dxa" w:w="100"/>
              <w:right w:type="dxa" w:w="120"/>
            </w:tcMar>
          </w:tcPr>
          <w:p>
            <w:r>
              <w:rPr>
                <w:b/>
                <w:bCs/>
                <w:sz w:val="20"/>
                <w:szCs w:val="20"/>
              </w:rPr>
              <w:t xml:space="preserve">Versión</w:t>
            </w:r>
          </w:p>
        </w:tc>
        <w:tc>
          <w:tcPr>
            <w:tcW w:type="dxa" w:w="6470"/>
            <w:tcMar>
              <w:top w:type="dxa" w:w="100"/>
              <w:left w:type="dxa" w:w="120"/>
              <w:bottom w:type="dxa" w:w="100"/>
              <w:right w:type="dxa" w:w="120"/>
            </w:tcMar>
          </w:tcPr>
          <w:p>
            <w:r>
              <w:rPr>
                <w:sz w:val="20"/>
                <w:szCs w:val="20"/>
              </w:rPr>
              <w:t xml:space="preserve">v1.0 — Fase inicial y estructuración de estilos CSS</w:t>
            </w:r>
          </w:p>
        </w:tc>
      </w:tr>
      <w:tr>
        <w:tc>
          <w:tcPr>
            <w:tcW w:type="dxa" w:w="2600"/>
            <w:shd w:fill="F2F2F2" w:val="clear"/>
            <w:tcMar>
              <w:top w:type="dxa" w:w="100"/>
              <w:left w:type="dxa" w:w="120"/>
              <w:bottom w:type="dxa" w:w="100"/>
              <w:right w:type="dxa" w:w="120"/>
            </w:tcMar>
          </w:tcPr>
          <w:p>
            <w:r>
              <w:rPr>
                <w:b/>
                <w:bCs/>
                <w:sz w:val="20"/>
                <w:szCs w:val="20"/>
              </w:rPr>
              <w:t xml:space="preserve">Autor / Desarrollador</w:t>
            </w:r>
          </w:p>
        </w:tc>
        <w:tc>
          <w:tcPr>
            <w:tcW w:type="dxa" w:w="6470"/>
            <w:tcMar>
              <w:top w:type="dxa" w:w="100"/>
              <w:left w:type="dxa" w:w="120"/>
              <w:bottom w:type="dxa" w:w="100"/>
              <w:right w:type="dxa" w:w="120"/>
            </w:tcMar>
          </w:tcPr>
          <w:p>
            <w:r>
              <w:rPr>
                <w:sz w:val="20"/>
                <w:szCs w:val="20"/>
              </w:rPr>
              <w:t xml:space="preserve">iDanorever</w:t>
            </w:r>
          </w:p>
        </w:tc>
      </w:tr>
      <w:tr>
        <w:tc>
          <w:tcPr>
            <w:tcW w:type="dxa" w:w="2600"/>
            <w:shd w:fill="F2F2F2" w:val="clear"/>
            <w:tcMar>
              <w:top w:type="dxa" w:w="100"/>
              <w:left w:type="dxa" w:w="120"/>
              <w:bottom w:type="dxa" w:w="100"/>
              <w:right w:type="dxa" w:w="120"/>
            </w:tcMar>
          </w:tcPr>
          <w:p>
            <w:r>
              <w:rPr>
                <w:b/>
                <w:bCs/>
                <w:sz w:val="20"/>
                <w:szCs w:val="20"/>
              </w:rPr>
              <w:t xml:space="preserve">Fecha de actualización</w:t>
            </w:r>
          </w:p>
        </w:tc>
        <w:tc>
          <w:tcPr>
            <w:tcW w:type="dxa" w:w="6470"/>
            <w:tcMar>
              <w:top w:type="dxa" w:w="100"/>
              <w:left w:type="dxa" w:w="120"/>
              <w:bottom w:type="dxa" w:w="100"/>
              <w:right w:type="dxa" w:w="120"/>
            </w:tcMar>
          </w:tcPr>
          <w:p>
            <w:r>
              <w:rPr>
                <w:sz w:val="20"/>
                <w:szCs w:val="20"/>
              </w:rPr>
              <w:t xml:space="preserve">Octubre 2026</w:t>
            </w:r>
          </w:p>
        </w:tc>
      </w:tr>
      <w:tr>
        <w:tc>
          <w:tcPr>
            <w:tcW w:type="dxa" w:w="2600"/>
            <w:shd w:fill="F2F2F2" w:val="clear"/>
            <w:tcMar>
              <w:top w:type="dxa" w:w="100"/>
              <w:left w:type="dxa" w:w="120"/>
              <w:bottom w:type="dxa" w:w="100"/>
              <w:right w:type="dxa" w:w="120"/>
            </w:tcMar>
          </w:tcPr>
          <w:p>
            <w:r>
              <w:rPr>
                <w:b/>
                <w:bCs/>
                <w:sz w:val="20"/>
                <w:szCs w:val="20"/>
              </w:rPr>
              <w:t xml:space="preserve">Tipo de documento</w:t>
            </w:r>
          </w:p>
        </w:tc>
        <w:tc>
          <w:tcPr>
            <w:tcW w:type="dxa" w:w="6470"/>
            <w:tcMar>
              <w:top w:type="dxa" w:w="100"/>
              <w:left w:type="dxa" w:w="120"/>
              <w:bottom w:type="dxa" w:w="100"/>
              <w:right w:type="dxa" w:w="120"/>
            </w:tcMar>
          </w:tcPr>
          <w:p>
            <w:r>
              <w:rPr>
                <w:sz w:val="20"/>
                <w:szCs w:val="20"/>
              </w:rPr>
              <w:t xml:space="preserve">Documentación técnica de avance de desarrollo</w:t>
            </w:r>
          </w:p>
        </w:tc>
      </w:tr>
      <w:tr>
        <w:tc>
          <w:tcPr>
            <w:tcW w:type="dxa" w:w="2600"/>
            <w:shd w:fill="F2F2F2" w:val="clear"/>
            <w:tcMar>
              <w:top w:type="dxa" w:w="100"/>
              <w:left w:type="dxa" w:w="120"/>
              <w:bottom w:type="dxa" w:w="100"/>
              <w:right w:type="dxa" w:w="120"/>
            </w:tcMar>
          </w:tcPr>
          <w:p>
            <w:r>
              <w:rPr>
                <w:b/>
                <w:bCs/>
                <w:sz w:val="20"/>
                <w:szCs w:val="20"/>
              </w:rPr>
              <w:t xml:space="preserve">Próxima versión prevista</w:t>
            </w:r>
          </w:p>
        </w:tc>
        <w:tc>
          <w:tcPr>
            <w:tcW w:type="dxa" w:w="6470"/>
            <w:tcMar>
              <w:top w:type="dxa" w:w="100"/>
              <w:left w:type="dxa" w:w="120"/>
              <w:bottom w:type="dxa" w:w="100"/>
              <w:right w:type="dxa" w:w="120"/>
            </w:tcMar>
          </w:tcPr>
          <w:p>
            <w:r>
              <w:rPr>
                <w:sz w:val="20"/>
                <w:szCs w:val="20"/>
              </w:rPr>
              <w:t xml:space="preserve">v1.5 — tipografía avanzada, color dinámico en tiempo real y optimización</w:t>
            </w:r>
          </w:p>
        </w:tc>
      </w:tr>
    </w:tbl>
    <w:p>
      <w:pPr>
        <w:pStyle w:val="Heading1"/>
        <w:pBdr>
          <w:bottom w:val="single" w:color="B5121B" w:sz="6" w:space="4"/>
        </w:pBdr>
        <w:spacing w:after="160" w:before="320"/>
      </w:pPr>
      <w:r>
        <w:rPr>
          <w:b/>
          <w:bCs/>
          <w:color w:val="7A0D13"/>
          <w:sz w:val="30"/>
          <w:szCs w:val="30"/>
        </w:rPr>
        <w:t xml:space="preserve">1. Resumen ejecutivo</w:t>
      </w:r>
    </w:p>
    <w:p>
      <w:pPr>
        <w:spacing w:after="140" w:line="276"/>
      </w:pPr>
      <w:r>
        <w:rPr>
          <w:sz w:val="21"/>
          <w:szCs w:val="21"/>
        </w:rPr>
        <w:t xml:space="preserve">La versión 1.0 (v1.0) del sitio web interactivo del Xiaomi 18 Pro Max establece la base técnica y visual del proyecto. Esta etapa cubre la arquitectura del entorno con Vite, el maquetado de las secciones principales de presentación del dispositivo, la integración de las dependencias de animación (GSAP) y la construcción de los estilos CSS dedicados al render y la estructura visual del teléfono.</w:t>
      </w:r>
    </w:p>
    <w:p>
      <w:pPr>
        <w:spacing w:after="140" w:line="276"/>
      </w:pPr>
      <w:r>
        <w:rPr>
          <w:sz w:val="21"/>
          <w:szCs w:val="21"/>
        </w:rPr>
        <w:t xml:space="preserve">El desarrollo partió de un brief creativo que define el proyecto como una experiencia de scroll tipo "tráiler cinematográfico", estructurada en 8 escenas narrativas, con una dirección visual de fondo negro, rojo como color protagonista y blanco/gris metálico como acentos.</w:t>
      </w:r>
    </w:p>
    <w:p>
      <w:pPr>
        <w:pStyle w:val="Heading1"/>
        <w:pBdr>
          <w:bottom w:val="single" w:color="B5121B" w:sz="6" w:space="4"/>
        </w:pBdr>
        <w:spacing w:after="160" w:before="320"/>
      </w:pPr>
      <w:r>
        <w:rPr>
          <w:b/>
          <w:bCs/>
          <w:color w:val="7A0D13"/>
          <w:sz w:val="30"/>
          <w:szCs w:val="30"/>
        </w:rPr>
        <w:t xml:space="preserve">2. Arquitectura de tecnologías utilizadas</w:t>
      </w:r>
    </w:p>
    <w:p>
      <w:pPr>
        <w:pStyle w:val="ListParagraph"/>
        <w:numPr>
          <w:ilvl w:val="0"/>
          <w:numId w:val="2"/>
        </w:numPr>
        <w:spacing w:after="80" w:line="270"/>
      </w:pPr>
      <w:r>
        <w:rPr>
          <w:b/>
          <w:bCs/>
          <w:sz w:val="21"/>
          <w:szCs w:val="21"/>
        </w:rPr>
        <w:t xml:space="preserve">Entorno de empaquetado: </w:t>
      </w:r>
      <w:r>
        <w:rPr>
          <w:sz w:val="21"/>
          <w:szCs w:val="21"/>
        </w:rPr>
        <w:t xml:space="preserve">Vite, para una compilación rápida y recarga en caliente (HMR).</w:t>
      </w:r>
    </w:p>
    <w:p>
      <w:pPr>
        <w:pStyle w:val="ListParagraph"/>
        <w:numPr>
          <w:ilvl w:val="0"/>
          <w:numId w:val="2"/>
        </w:numPr>
        <w:spacing w:after="80" w:line="270"/>
      </w:pPr>
      <w:r>
        <w:rPr>
          <w:b/>
          <w:bCs/>
          <w:sz w:val="21"/>
          <w:szCs w:val="21"/>
        </w:rPr>
        <w:t xml:space="preserve">Control de versiones: </w:t>
      </w:r>
      <w:r>
        <w:rPr>
          <w:sz w:val="21"/>
          <w:szCs w:val="21"/>
        </w:rPr>
        <w:t xml:space="preserve">repositorio estructurado en GitHub, con despliegue continuo optimizado.</w:t>
      </w:r>
    </w:p>
    <w:p>
      <w:pPr>
        <w:pStyle w:val="ListParagraph"/>
        <w:numPr>
          <w:ilvl w:val="0"/>
          <w:numId w:val="2"/>
        </w:numPr>
        <w:spacing w:after="80" w:line="270"/>
      </w:pPr>
      <w:r>
        <w:rPr>
          <w:b/>
          <w:bCs/>
          <w:sz w:val="21"/>
          <w:szCs w:val="21"/>
        </w:rPr>
        <w:t xml:space="preserve">Animación: </w:t>
      </w:r>
      <w:r>
        <w:rPr>
          <w:sz w:val="21"/>
          <w:szCs w:val="21"/>
        </w:rPr>
        <w:t xml:space="preserve">GSAP (GreenSock Animation Platform) junto con los plugins ScrollTrigger y ScrollToPlugin, para transiciones fluidas controladas por scroll.</w:t>
      </w:r>
    </w:p>
    <w:p>
      <w:pPr>
        <w:pStyle w:val="ListParagraph"/>
        <w:numPr>
          <w:ilvl w:val="0"/>
          <w:numId w:val="2"/>
        </w:numPr>
        <w:spacing w:after="80" w:line="270"/>
      </w:pPr>
      <w:r>
        <w:rPr>
          <w:b/>
          <w:bCs/>
          <w:sz w:val="21"/>
          <w:szCs w:val="21"/>
        </w:rPr>
        <w:t xml:space="preserve">Estilos: </w:t>
      </w:r>
      <w:r>
        <w:rPr>
          <w:sz w:val="21"/>
          <w:szCs w:val="21"/>
        </w:rPr>
        <w:t xml:space="preserve">arquitectura CSS modular dividida en tres archivos — main.css, animation.css y responsive.css — encargados respectivamente de la base visual, los efectos de transición y la adaptación a distintos tamaños de pantalla.</w:t>
      </w:r>
    </w:p>
    <w:p>
      <w:pPr>
        <w:pStyle w:val="Heading1"/>
        <w:pBdr>
          <w:bottom w:val="single" w:color="B5121B" w:sz="6" w:space="4"/>
        </w:pBdr>
        <w:spacing w:after="160" w:before="320"/>
      </w:pPr>
      <w:r>
        <w:rPr>
          <w:b/>
          <w:bCs/>
          <w:color w:val="7A0D13"/>
          <w:sz w:val="30"/>
          <w:szCs w:val="30"/>
        </w:rPr>
        <w:t xml:space="preserve">3. Estructura de archivos del proyecto</w:t>
      </w:r>
    </w:p>
    <w:p>
      <w:pPr>
        <w:spacing w:after="140" w:line="276"/>
      </w:pPr>
      <w:r>
        <w:rPr>
          <w:sz w:val="21"/>
          <w:szCs w:val="21"/>
        </w:rPr>
        <w:t xml:space="preserve">El proyecto sigue la siguiente organización dentro de src/:</w:t>
      </w:r>
    </w:p>
    <w:p>
      <w:pPr>
        <w:pBdr>
          <w:top w:val="single" w:color="1E1E1E" w:sz="4"/>
          <w:bottom w:val="single" w:color="1E1E1E" w:sz="4"/>
          <w:left w:val="single" w:color="1E1E1E" w:sz="4"/>
          <w:right w:val="single" w:color="1E1E1E" w:sz="4"/>
        </w:pBdr>
        <w:shd w:fill="1E1E1E" w:val="clear"/>
        <w:spacing w:after="160" w:before="60"/>
      </w:pPr>
      <w:r>
        <w:rPr>
          <w:rFonts w:ascii="Consolas" w:cs="Consolas" w:eastAsia="Consolas" w:hAnsi="Consolas"/>
          <w:color w:val="D4D4D4"/>
          <w:sz w:val="18"/>
          <w:szCs w:val="18"/>
        </w:rPr>
        <w:t xml:space="preserve">src/</w:t>
      </w:r>
      <w:r>
        <w:rPr>
          <w:rFonts w:ascii="Consolas" w:cs="Consolas" w:eastAsia="Consolas" w:hAnsi="Consolas"/>
          <w:color w:val="D4D4D4"/>
          <w:sz w:val="18"/>
          <w:szCs w:val="18"/>
        </w:rPr>
        <w:br/>
        <w:t xml:space="preserve">├─ assets/</w:t>
      </w:r>
      <w:r>
        <w:rPr>
          <w:rFonts w:ascii="Consolas" w:cs="Consolas" w:eastAsia="Consolas" w:hAnsi="Consolas"/>
          <w:color w:val="D4D4D4"/>
          <w:sz w:val="18"/>
          <w:szCs w:val="18"/>
        </w:rPr>
        <w:br/>
        <w:t xml:space="preserve">│  ├─ audio/</w:t>
      </w:r>
      <w:r>
        <w:rPr>
          <w:rFonts w:ascii="Consolas" w:cs="Consolas" w:eastAsia="Consolas" w:hAnsi="Consolas"/>
          <w:color w:val="D4D4D4"/>
          <w:sz w:val="18"/>
          <w:szCs w:val="18"/>
        </w:rPr>
        <w:br/>
        <w:t xml:space="preserve">│  ├─ images/</w:t>
      </w:r>
      <w:r>
        <w:rPr>
          <w:rFonts w:ascii="Consolas" w:cs="Consolas" w:eastAsia="Consolas" w:hAnsi="Consolas"/>
          <w:color w:val="D4D4D4"/>
          <w:sz w:val="18"/>
          <w:szCs w:val="18"/>
        </w:rPr>
        <w:br/>
        <w:t xml:space="preserve">│  ├─ models/        (reservado para un futuro modelo 3D, si se consigue uno adecuado)</w:t>
      </w:r>
      <w:r>
        <w:rPr>
          <w:rFonts w:ascii="Consolas" w:cs="Consolas" w:eastAsia="Consolas" w:hAnsi="Consolas"/>
          <w:color w:val="D4D4D4"/>
          <w:sz w:val="18"/>
          <w:szCs w:val="18"/>
        </w:rPr>
        <w:br/>
        <w:t xml:space="preserve">│  └─ videos/</w:t>
      </w:r>
      <w:r>
        <w:rPr>
          <w:rFonts w:ascii="Consolas" w:cs="Consolas" w:eastAsia="Consolas" w:hAnsi="Consolas"/>
          <w:color w:val="D4D4D4"/>
          <w:sz w:val="18"/>
          <w:szCs w:val="18"/>
        </w:rPr>
        <w:br/>
        <w:t xml:space="preserve">├─ css/</w:t>
      </w:r>
      <w:r>
        <w:rPr>
          <w:rFonts w:ascii="Consolas" w:cs="Consolas" w:eastAsia="Consolas" w:hAnsi="Consolas"/>
          <w:color w:val="D4D4D4"/>
          <w:sz w:val="18"/>
          <w:szCs w:val="18"/>
        </w:rPr>
        <w:br/>
        <w:t xml:space="preserve">│  ├─ main.css        → variables, tipografía y layout base de las escenas</w:t>
      </w:r>
      <w:r>
        <w:rPr>
          <w:rFonts w:ascii="Consolas" w:cs="Consolas" w:eastAsia="Consolas" w:hAnsi="Consolas"/>
          <w:color w:val="D4D4D4"/>
          <w:sz w:val="18"/>
          <w:szCs w:val="18"/>
        </w:rPr>
        <w:br/>
        <w:t xml:space="preserve">│  ├─ animation.css   → @keyframes y clases de efecto reutilizables</w:t>
      </w:r>
      <w:r>
        <w:rPr>
          <w:rFonts w:ascii="Consolas" w:cs="Consolas" w:eastAsia="Consolas" w:hAnsi="Consolas"/>
          <w:color w:val="D4D4D4"/>
          <w:sz w:val="18"/>
          <w:szCs w:val="18"/>
        </w:rPr>
        <w:br/>
        <w:t xml:space="preserve">│  └─ responsive.css  → media queries y accesibilidad (prefers-reduced-motion)</w:t>
      </w:r>
      <w:r>
        <w:rPr>
          <w:rFonts w:ascii="Consolas" w:cs="Consolas" w:eastAsia="Consolas" w:hAnsi="Consolas"/>
          <w:color w:val="D4D4D4"/>
          <w:sz w:val="18"/>
          <w:szCs w:val="18"/>
        </w:rPr>
        <w:br/>
        <w:t xml:space="preserve">├─ js/</w:t>
      </w:r>
      <w:r>
        <w:rPr>
          <w:rFonts w:ascii="Consolas" w:cs="Consolas" w:eastAsia="Consolas" w:hAnsi="Consolas"/>
          <w:color w:val="D4D4D4"/>
          <w:sz w:val="18"/>
          <w:szCs w:val="18"/>
        </w:rPr>
        <w:br/>
        <w:t xml:space="preserve">│  ├─ main.js          → construcción del DOM e inicialización de módulos</w:t>
      </w:r>
      <w:r>
        <w:rPr>
          <w:rFonts w:ascii="Consolas" w:cs="Consolas" w:eastAsia="Consolas" w:hAnsi="Consolas"/>
          <w:color w:val="D4D4D4"/>
          <w:sz w:val="18"/>
          <w:szCs w:val="18"/>
        </w:rPr>
        <w:br/>
        <w:t xml:space="preserve">│  ├─ scenes.js        → lógica y ScrollTrigger de cada escena</w:t>
      </w:r>
      <w:r>
        <w:rPr>
          <w:rFonts w:ascii="Consolas" w:cs="Consolas" w:eastAsia="Consolas" w:hAnsi="Consolas"/>
          <w:color w:val="D4D4D4"/>
          <w:sz w:val="18"/>
          <w:szCs w:val="18"/>
        </w:rPr>
        <w:br/>
        <w:t xml:space="preserve">│  ├─ color-selector.js→ selector interactivo de color del dispositivo</w:t>
      </w:r>
      <w:r>
        <w:rPr>
          <w:rFonts w:ascii="Consolas" w:cs="Consolas" w:eastAsia="Consolas" w:hAnsi="Consolas"/>
          <w:color w:val="D4D4D4"/>
          <w:sz w:val="18"/>
          <w:szCs w:val="18"/>
        </w:rPr>
        <w:br/>
        <w:t xml:space="preserve">│  └─ animations.js    → animaciones generales (navbar, entrada de elementos)</w:t>
      </w:r>
      <w:r>
        <w:rPr>
          <w:rFonts w:ascii="Consolas" w:cs="Consolas" w:eastAsia="Consolas" w:hAnsi="Consolas"/>
          <w:color w:val="D4D4D4"/>
          <w:sz w:val="18"/>
          <w:szCs w:val="18"/>
        </w:rPr>
        <w:br/>
        <w:t xml:space="preserve">└─ main.js              → punto de entrada: importa estilos, registra GSAP</w:t>
      </w:r>
    </w:p>
    <w:p>
      <w:pPr>
        <w:spacing w:after="140" w:line="276"/>
      </w:pPr>
      <w:r>
        <w:rPr>
          <w:i/>
          <w:iCs/>
          <w:color w:val="595959"/>
          <w:sz w:val="21"/>
          <w:szCs w:val="21"/>
        </w:rPr>
        <w:t xml:space="preserve">Durante la revisión se identificaron y corrigieron dos focos de error recurrentes: módulos JS importados como efecto secundario (sin exportar sus funciones) y dos puntos de entrada distintos construyendo el DOM en paralelo, lo que causaba que una versión de la interfaz sobrescribiera a la otra. Ambos se resolvieron unificando el punto de entrada en src/js/main.js y exportando explícitamente cada función init.</w:t>
      </w:r>
    </w:p>
    <w:p>
      <w:pPr>
        <w:pStyle w:val="Heading1"/>
        <w:pBdr>
          <w:bottom w:val="single" w:color="B5121B" w:sz="6" w:space="4"/>
        </w:pBdr>
        <w:spacing w:after="160" w:before="320"/>
      </w:pPr>
      <w:r>
        <w:rPr>
          <w:b/>
          <w:bCs/>
          <w:color w:val="7A0D13"/>
          <w:sz w:val="30"/>
          <w:szCs w:val="30"/>
        </w:rPr>
        <w:t xml:space="preserve">4. Estructura del código base (main.js — v1.0)</w:t>
      </w:r>
    </w:p>
    <w:p>
      <w:pPr>
        <w:pStyle w:val="Heading2"/>
        <w:spacing w:after="120" w:before="260"/>
      </w:pPr>
      <w:r>
        <w:rPr>
          <w:b/>
          <w:bCs/>
          <w:color w:val="B5121B"/>
          <w:sz w:val="24"/>
          <w:szCs w:val="24"/>
        </w:rPr>
        <w:t xml:space="preserve">4.A. Barra de navegación y widget de audio</w:t>
      </w:r>
    </w:p>
    <w:p>
      <w:pPr>
        <w:pStyle w:val="ListParagraph"/>
        <w:numPr>
          <w:ilvl w:val="0"/>
          <w:numId w:val="2"/>
        </w:numPr>
        <w:spacing w:after="80" w:line="270"/>
      </w:pPr>
      <w:r>
        <w:rPr>
          <w:sz w:val="21"/>
          <w:szCs w:val="21"/>
        </w:rPr>
        <w:t xml:space="preserve">Menú superior (navbar) con el logotipo de Xiaomi y el distintivo del modelo (18 PRO MAX).</w:t>
      </w:r>
    </w:p>
    <w:p>
      <w:pPr>
        <w:pStyle w:val="ListParagraph"/>
        <w:numPr>
          <w:ilvl w:val="0"/>
          <w:numId w:val="2"/>
        </w:numPr>
        <w:spacing w:after="80" w:line="270"/>
      </w:pPr>
      <w:r>
        <w:rPr>
          <w:sz w:val="21"/>
          <w:szCs w:val="21"/>
        </w:rPr>
        <w:t xml:space="preserve">Botón interactivo de soundtrack con indicador visual de barras de ecualización (eq-bars) y estado en vivo (LIVE).</w:t>
      </w:r>
    </w:p>
    <w:p>
      <w:pPr>
        <w:pStyle w:val="ListParagraph"/>
        <w:numPr>
          <w:ilvl w:val="0"/>
          <w:numId w:val="2"/>
        </w:numPr>
        <w:spacing w:after="80" w:line="270"/>
      </w:pPr>
      <w:r>
        <w:rPr>
          <w:sz w:val="21"/>
          <w:szCs w:val="21"/>
        </w:rPr>
        <w:t xml:space="preserve">Menú desplegable lateral (nav-menu) con acceso directo a las 8 escenas planeadas.</w:t>
      </w:r>
    </w:p>
    <w:p>
      <w:pPr>
        <w:pStyle w:val="Heading2"/>
        <w:spacing w:after="120" w:before="260"/>
      </w:pPr>
      <w:r>
        <w:rPr>
          <w:b/>
          <w:bCs/>
          <w:color w:val="B5121B"/>
          <w:sz w:val="24"/>
          <w:szCs w:val="24"/>
        </w:rPr>
        <w:t xml:space="preserve">4.B. Contenedor de escenas del producto</w:t>
      </w:r>
    </w:p>
    <w:p>
      <w:pPr>
        <w:spacing w:after="140" w:line="276"/>
      </w:pPr>
      <w:r>
        <w:rPr>
          <w:sz w:val="21"/>
          <w:szCs w:val="21"/>
        </w:rPr>
        <w:t xml:space="preserve">El flujo narrativo del sitio se divide en 8 secciones estratégicas, correspondientes al storyboard del brief original: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70"/>
      </w:tblGrid>
      <w:tr>
        <w:trPr>
          <w:tblHeader/>
        </w:trPr>
        <w:tc>
          <w:tcPr>
            <w:tcW w:type="dxa" w:w="900"/>
            <w:shd w:fill="7A0D13" w:val="clear"/>
            <w:tcMar>
              <w:top w:type="dxa" w:w="90"/>
              <w:left w:type="dxa" w:w="110"/>
              <w:bottom w:type="dxa" w:w="90"/>
              <w:right w:type="dxa" w:w="110"/>
            </w:tcMar>
          </w:tcPr>
          <w:p>
            <w:r>
              <w:rPr>
                <w:b/>
                <w:bCs/>
                <w:color w:val="FFFFFF"/>
                <w:sz w:val="19"/>
                <w:szCs w:val="19"/>
              </w:rPr>
              <w:t xml:space="preserve">#</w:t>
            </w:r>
          </w:p>
        </w:tc>
        <w:tc>
          <w:tcPr>
            <w:tcW w:type="dxa" w:w="2200"/>
            <w:shd w:fill="7A0D13" w:val="clear"/>
            <w:tcMar>
              <w:top w:type="dxa" w:w="90"/>
              <w:left w:type="dxa" w:w="110"/>
              <w:bottom w:type="dxa" w:w="90"/>
              <w:right w:type="dxa" w:w="110"/>
            </w:tcMar>
          </w:tcPr>
          <w:p>
            <w:r>
              <w:rPr>
                <w:b/>
                <w:bCs/>
                <w:color w:val="FFFFFF"/>
                <w:sz w:val="19"/>
                <w:szCs w:val="19"/>
              </w:rPr>
              <w:t xml:space="preserve">Escena</w:t>
            </w:r>
          </w:p>
        </w:tc>
        <w:tc>
          <w:tcPr>
            <w:tcW w:type="dxa" w:w="5970"/>
            <w:shd w:fill="7A0D13" w:val="clear"/>
            <w:tcMar>
              <w:top w:type="dxa" w:w="90"/>
              <w:left w:type="dxa" w:w="110"/>
              <w:bottom w:type="dxa" w:w="90"/>
              <w:right w:type="dxa" w:w="110"/>
            </w:tcMar>
          </w:tcPr>
          <w:p>
            <w:r>
              <w:rPr>
                <w:b/>
                <w:bCs/>
                <w:color w:val="FFFFFF"/>
                <w:sz w:val="19"/>
                <w:szCs w:val="19"/>
              </w:rPr>
              <w:t xml:space="preserve">Estado / Descripción</w:t>
            </w:r>
          </w:p>
        </w:tc>
      </w:tr>
      <w:tr>
        <w:tc>
          <w:tcPr>
            <w:tcW w:type="dxa" w:w="900"/>
            <w:tcMar>
              <w:top w:type="dxa" w:w="80"/>
              <w:left w:type="dxa" w:w="110"/>
              <w:bottom w:type="dxa" w:w="80"/>
              <w:right w:type="dxa" w:w="110"/>
            </w:tcMar>
          </w:tcPr>
          <w:p>
            <w:r>
              <w:rPr>
                <w:sz w:val="19"/>
                <w:szCs w:val="19"/>
              </w:rPr>
              <w:t xml:space="preserve">01</w:t>
            </w:r>
          </w:p>
        </w:tc>
        <w:tc>
          <w:tcPr>
            <w:tcW w:type="dxa" w:w="2200"/>
            <w:tcMar>
              <w:top w:type="dxa" w:w="80"/>
              <w:left w:type="dxa" w:w="110"/>
              <w:bottom w:type="dxa" w:w="80"/>
              <w:right w:type="dxa" w:w="110"/>
            </w:tcMar>
          </w:tcPr>
          <w:p>
            <w:r>
              <w:rPr>
                <w:b/>
                <w:bCs/>
                <w:sz w:val="19"/>
                <w:szCs w:val="19"/>
              </w:rPr>
              <w:t xml:space="preserve">The Arrival (Hero)</w:t>
            </w:r>
          </w:p>
        </w:tc>
        <w:tc>
          <w:tcPr>
            <w:tcW w:type="dxa" w:w="5970"/>
            <w:shd w:fill="E7F3E8" w:val="clear"/>
            <w:tcMar>
              <w:top w:type="dxa" w:w="80"/>
              <w:left w:type="dxa" w:w="110"/>
              <w:bottom w:type="dxa" w:w="80"/>
              <w:right w:type="dxa" w:w="110"/>
            </w:tcMar>
          </w:tcPr>
          <w:p>
            <w:r>
              <w:rPr>
                <w:sz w:val="19"/>
                <w:szCs w:val="19"/>
              </w:rPr>
              <w:t xml:space="preserve">Titular "THE FUTURE IS IN YOUR HANDS", subtítulo, botón de exploración e insignia del sensor Leica de 200 MP. Implementado y en pulido visual.</w:t>
            </w:r>
          </w:p>
        </w:tc>
      </w:tr>
      <w:tr>
        <w:tc>
          <w:tcPr>
            <w:tcW w:type="dxa" w:w="900"/>
            <w:tcMar>
              <w:top w:type="dxa" w:w="80"/>
              <w:left w:type="dxa" w:w="110"/>
              <w:bottom w:type="dxa" w:w="80"/>
              <w:right w:type="dxa" w:w="110"/>
            </w:tcMar>
          </w:tcPr>
          <w:p>
            <w:r>
              <w:rPr>
                <w:sz w:val="19"/>
                <w:szCs w:val="19"/>
              </w:rPr>
              <w:t xml:space="preserve">02</w:t>
            </w:r>
          </w:p>
        </w:tc>
        <w:tc>
          <w:tcPr>
            <w:tcW w:type="dxa" w:w="2200"/>
            <w:tcMar>
              <w:top w:type="dxa" w:w="80"/>
              <w:left w:type="dxa" w:w="110"/>
              <w:bottom w:type="dxa" w:w="80"/>
              <w:right w:type="dxa" w:w="110"/>
            </w:tcMar>
          </w:tcPr>
          <w:p>
            <w:r>
              <w:rPr>
                <w:b/>
                <w:bCs/>
                <w:sz w:val="19"/>
                <w:szCs w:val="19"/>
              </w:rPr>
              <w:t xml:space="preserve">The Design</w:t>
            </w:r>
          </w:p>
        </w:tc>
        <w:tc>
          <w:tcPr>
            <w:tcW w:type="dxa" w:w="5970"/>
            <w:shd w:fill="E7F3E8" w:val="clear"/>
            <w:tcMar>
              <w:top w:type="dxa" w:w="80"/>
              <w:left w:type="dxa" w:w="110"/>
              <w:bottom w:type="dxa" w:w="80"/>
              <w:right w:type="dxa" w:w="110"/>
            </w:tcMar>
          </w:tcPr>
          <w:p>
            <w:r>
              <w:rPr>
                <w:sz w:val="19"/>
                <w:szCs w:val="19"/>
              </w:rPr>
              <w:t xml:space="preserve">Apartado dedicado a la filosofía visual y las líneas estéticas del dispositivo. Estructura base implementada.</w:t>
            </w:r>
          </w:p>
        </w:tc>
      </w:tr>
      <w:tr>
        <w:tc>
          <w:tcPr>
            <w:tcW w:type="dxa" w:w="900"/>
            <w:tcMar>
              <w:top w:type="dxa" w:w="80"/>
              <w:left w:type="dxa" w:w="110"/>
              <w:bottom w:type="dxa" w:w="80"/>
              <w:right w:type="dxa" w:w="110"/>
            </w:tcMar>
          </w:tcPr>
          <w:p>
            <w:r>
              <w:rPr>
                <w:sz w:val="19"/>
                <w:szCs w:val="19"/>
              </w:rPr>
              <w:t xml:space="preserve">03</w:t>
            </w:r>
          </w:p>
        </w:tc>
        <w:tc>
          <w:tcPr>
            <w:tcW w:type="dxa" w:w="2200"/>
            <w:tcMar>
              <w:top w:type="dxa" w:w="80"/>
              <w:left w:type="dxa" w:w="110"/>
              <w:bottom w:type="dxa" w:w="80"/>
              <w:right w:type="dxa" w:w="110"/>
            </w:tcMar>
          </w:tcPr>
          <w:p>
            <w:r>
              <w:rPr>
                <w:b/>
                <w:bCs/>
                <w:sz w:val="19"/>
                <w:szCs w:val="19"/>
              </w:rPr>
              <w:t xml:space="preserve">The Colors</w:t>
            </w:r>
          </w:p>
        </w:tc>
        <w:tc>
          <w:tcPr>
            <w:tcW w:type="dxa" w:w="5970"/>
            <w:shd w:fill="E7F3E8" w:val="clear"/>
            <w:tcMar>
              <w:top w:type="dxa" w:w="80"/>
              <w:left w:type="dxa" w:w="110"/>
              <w:bottom w:type="dxa" w:w="80"/>
              <w:right w:type="dxa" w:w="110"/>
            </w:tcMar>
          </w:tcPr>
          <w:p>
            <w:r>
              <w:rPr>
                <w:sz w:val="19"/>
                <w:szCs w:val="19"/>
              </w:rPr>
              <w:t xml:space="preserve">Selector interactivo de acabados (Red, Black, White, Pink, Blue) con nota de disponibilidad preliminar por región. Funcional.</w:t>
            </w:r>
          </w:p>
        </w:tc>
      </w:tr>
      <w:tr>
        <w:tc>
          <w:tcPr>
            <w:tcW w:type="dxa" w:w="900"/>
            <w:tcMar>
              <w:top w:type="dxa" w:w="80"/>
              <w:left w:type="dxa" w:w="110"/>
              <w:bottom w:type="dxa" w:w="80"/>
              <w:right w:type="dxa" w:w="110"/>
            </w:tcMar>
          </w:tcPr>
          <w:p>
            <w:r>
              <w:rPr>
                <w:sz w:val="19"/>
                <w:szCs w:val="19"/>
              </w:rPr>
              <w:t xml:space="preserve">04</w:t>
            </w:r>
          </w:p>
        </w:tc>
        <w:tc>
          <w:tcPr>
            <w:tcW w:type="dxa" w:w="2200"/>
            <w:tcMar>
              <w:top w:type="dxa" w:w="80"/>
              <w:left w:type="dxa" w:w="110"/>
              <w:bottom w:type="dxa" w:w="80"/>
              <w:right w:type="dxa" w:w="110"/>
            </w:tcMar>
          </w:tcPr>
          <w:p>
            <w:r>
              <w:rPr>
                <w:b/>
                <w:bCs/>
                <w:sz w:val="19"/>
                <w:szCs w:val="19"/>
              </w:rPr>
              <w:t xml:space="preserve">The Display</w:t>
            </w:r>
          </w:p>
        </w:tc>
        <w:tc>
          <w:tcPr>
            <w:tcW w:type="dxa" w:w="5970"/>
            <w:shd w:fill="F2F2F2" w:val="clear"/>
            <w:tcMar>
              <w:top w:type="dxa" w:w="80"/>
              <w:left w:type="dxa" w:w="110"/>
              <w:bottom w:type="dxa" w:w="80"/>
              <w:right w:type="dxa" w:w="110"/>
            </w:tcMar>
          </w:tcPr>
          <w:p>
            <w:r>
              <w:rPr>
                <w:sz w:val="19"/>
                <w:szCs w:val="19"/>
              </w:rPr>
              <w:t xml:space="preserve">Espacio reservado para la pantalla OLED de 120 Hz. Pendiente de desarrollo.</w:t>
            </w:r>
          </w:p>
        </w:tc>
      </w:tr>
      <w:tr>
        <w:tc>
          <w:tcPr>
            <w:tcW w:type="dxa" w:w="900"/>
            <w:tcMar>
              <w:top w:type="dxa" w:w="80"/>
              <w:left w:type="dxa" w:w="110"/>
              <w:bottom w:type="dxa" w:w="80"/>
              <w:right w:type="dxa" w:w="110"/>
            </w:tcMar>
          </w:tcPr>
          <w:p>
            <w:r>
              <w:rPr>
                <w:sz w:val="19"/>
                <w:szCs w:val="19"/>
              </w:rPr>
              <w:t xml:space="preserve">05</w:t>
            </w:r>
          </w:p>
        </w:tc>
        <w:tc>
          <w:tcPr>
            <w:tcW w:type="dxa" w:w="2200"/>
            <w:tcMar>
              <w:top w:type="dxa" w:w="80"/>
              <w:left w:type="dxa" w:w="110"/>
              <w:bottom w:type="dxa" w:w="80"/>
              <w:right w:type="dxa" w:w="110"/>
            </w:tcMar>
          </w:tcPr>
          <w:p>
            <w:r>
              <w:rPr>
                <w:b/>
                <w:bCs/>
                <w:sz w:val="19"/>
                <w:szCs w:val="19"/>
              </w:rPr>
              <w:t xml:space="preserve">The Camera</w:t>
            </w:r>
          </w:p>
        </w:tc>
        <w:tc>
          <w:tcPr>
            <w:tcW w:type="dxa" w:w="5970"/>
            <w:shd w:fill="F2F2F2" w:val="clear"/>
            <w:tcMar>
              <w:top w:type="dxa" w:w="80"/>
              <w:left w:type="dxa" w:w="110"/>
              <w:bottom w:type="dxa" w:w="80"/>
              <w:right w:type="dxa" w:w="110"/>
            </w:tcMar>
          </w:tcPr>
          <w:p>
            <w:r>
              <w:rPr>
                <w:sz w:val="19"/>
                <w:szCs w:val="19"/>
              </w:rPr>
              <w:t xml:space="preserve">Espacio reservado para el módulo de cámaras múltiples. Pendiente de desarrollo.</w:t>
            </w:r>
          </w:p>
        </w:tc>
      </w:tr>
      <w:tr>
        <w:tc>
          <w:tcPr>
            <w:tcW w:type="dxa" w:w="900"/>
            <w:tcMar>
              <w:top w:type="dxa" w:w="80"/>
              <w:left w:type="dxa" w:w="110"/>
              <w:bottom w:type="dxa" w:w="80"/>
              <w:right w:type="dxa" w:w="110"/>
            </w:tcMar>
          </w:tcPr>
          <w:p>
            <w:r>
              <w:rPr>
                <w:sz w:val="19"/>
                <w:szCs w:val="19"/>
              </w:rPr>
              <w:t xml:space="preserve">06</w:t>
            </w:r>
          </w:p>
        </w:tc>
        <w:tc>
          <w:tcPr>
            <w:tcW w:type="dxa" w:w="2200"/>
            <w:tcMar>
              <w:top w:type="dxa" w:w="80"/>
              <w:left w:type="dxa" w:w="110"/>
              <w:bottom w:type="dxa" w:w="80"/>
              <w:right w:type="dxa" w:w="110"/>
            </w:tcMar>
          </w:tcPr>
          <w:p>
            <w:r>
              <w:rPr>
                <w:b/>
                <w:bCs/>
                <w:sz w:val="19"/>
                <w:szCs w:val="19"/>
              </w:rPr>
              <w:t xml:space="preserve">The Performance</w:t>
            </w:r>
          </w:p>
        </w:tc>
        <w:tc>
          <w:tcPr>
            <w:tcW w:type="dxa" w:w="5970"/>
            <w:shd w:fill="F2F2F2" w:val="clear"/>
            <w:tcMar>
              <w:top w:type="dxa" w:w="80"/>
              <w:left w:type="dxa" w:w="110"/>
              <w:bottom w:type="dxa" w:w="80"/>
              <w:right w:type="dxa" w:w="110"/>
            </w:tcMar>
          </w:tcPr>
          <w:p>
            <w:r>
              <w:rPr>
                <w:sz w:val="19"/>
                <w:szCs w:val="19"/>
              </w:rPr>
              <w:t xml:space="preserve">Espacio reservado para el procesador de alta gama. Pendiente de desarrollo.</w:t>
            </w:r>
          </w:p>
        </w:tc>
      </w:tr>
      <w:tr>
        <w:tc>
          <w:tcPr>
            <w:tcW w:type="dxa" w:w="900"/>
            <w:tcMar>
              <w:top w:type="dxa" w:w="80"/>
              <w:left w:type="dxa" w:w="110"/>
              <w:bottom w:type="dxa" w:w="80"/>
              <w:right w:type="dxa" w:w="110"/>
            </w:tcMar>
          </w:tcPr>
          <w:p>
            <w:r>
              <w:rPr>
                <w:sz w:val="19"/>
                <w:szCs w:val="19"/>
              </w:rPr>
              <w:t xml:space="preserve">07</w:t>
            </w:r>
          </w:p>
        </w:tc>
        <w:tc>
          <w:tcPr>
            <w:tcW w:type="dxa" w:w="2200"/>
            <w:tcMar>
              <w:top w:type="dxa" w:w="80"/>
              <w:left w:type="dxa" w:w="110"/>
              <w:bottom w:type="dxa" w:w="80"/>
              <w:right w:type="dxa" w:w="110"/>
            </w:tcMar>
          </w:tcPr>
          <w:p>
            <w:r>
              <w:rPr>
                <w:b/>
                <w:bCs/>
                <w:sz w:val="19"/>
                <w:szCs w:val="19"/>
              </w:rPr>
              <w:t xml:space="preserve">The Endurance</w:t>
            </w:r>
          </w:p>
        </w:tc>
        <w:tc>
          <w:tcPr>
            <w:tcW w:type="dxa" w:w="5970"/>
            <w:shd w:fill="F2F2F2" w:val="clear"/>
            <w:tcMar>
              <w:top w:type="dxa" w:w="80"/>
              <w:left w:type="dxa" w:w="110"/>
              <w:bottom w:type="dxa" w:w="80"/>
              <w:right w:type="dxa" w:w="110"/>
            </w:tcMar>
          </w:tcPr>
          <w:p>
            <w:r>
              <w:rPr>
                <w:sz w:val="19"/>
                <w:szCs w:val="19"/>
              </w:rPr>
              <w:t xml:space="preserve">Espacio reservado para la autonomía de batería de gran capacidad. Pendiente de desarrollo.</w:t>
            </w:r>
          </w:p>
        </w:tc>
      </w:tr>
      <w:tr>
        <w:tc>
          <w:tcPr>
            <w:tcW w:type="dxa" w:w="900"/>
            <w:tcMar>
              <w:top w:type="dxa" w:w="80"/>
              <w:left w:type="dxa" w:w="110"/>
              <w:bottom w:type="dxa" w:w="80"/>
              <w:right w:type="dxa" w:w="110"/>
            </w:tcMar>
          </w:tcPr>
          <w:p>
            <w:r>
              <w:rPr>
                <w:sz w:val="19"/>
                <w:szCs w:val="19"/>
              </w:rPr>
              <w:t xml:space="preserve">08</w:t>
            </w:r>
          </w:p>
        </w:tc>
        <w:tc>
          <w:tcPr>
            <w:tcW w:type="dxa" w:w="2200"/>
            <w:tcMar>
              <w:top w:type="dxa" w:w="80"/>
              <w:left w:type="dxa" w:w="110"/>
              <w:bottom w:type="dxa" w:w="80"/>
              <w:right w:type="dxa" w:w="110"/>
            </w:tcMar>
          </w:tcPr>
          <w:p>
            <w:r>
              <w:rPr>
                <w:b/>
                <w:bCs/>
                <w:sz w:val="19"/>
                <w:szCs w:val="19"/>
              </w:rPr>
              <w:t xml:space="preserve">The Final Reveal</w:t>
            </w:r>
          </w:p>
        </w:tc>
        <w:tc>
          <w:tcPr>
            <w:tcW w:type="dxa" w:w="5970"/>
            <w:shd w:fill="F2F2F2" w:val="clear"/>
            <w:tcMar>
              <w:top w:type="dxa" w:w="80"/>
              <w:left w:type="dxa" w:w="110"/>
              <w:bottom w:type="dxa" w:w="80"/>
              <w:right w:type="dxa" w:w="110"/>
            </w:tcMar>
          </w:tcPr>
          <w:p>
            <w:r>
              <w:rPr>
                <w:sz w:val="19"/>
                <w:szCs w:val="19"/>
              </w:rPr>
              <w:t xml:space="preserve">Cierre de la experiencia con llamado a consultar la ficha técnica completa. Pendiente de desarrollo.</w:t>
            </w:r>
          </w:p>
        </w:tc>
      </w:tr>
    </w:tbl>
    <w:p>
      <w:pPr>
        <w:pStyle w:val="Heading1"/>
        <w:pBdr>
          <w:bottom w:val="single" w:color="B5121B" w:sz="6" w:space="4"/>
        </w:pBdr>
        <w:spacing w:after="160" w:before="320"/>
      </w:pPr>
      <w:r>
        <w:rPr>
          <w:b/>
          <w:bCs/>
          <w:color w:val="7A0D13"/>
          <w:sz w:val="30"/>
          <w:szCs w:val="30"/>
        </w:rPr>
        <w:t xml:space="preserve">5. Desarrollo del marcado y estilos CSS del dispositivo</w:t>
      </w:r>
    </w:p>
    <w:p>
      <w:pPr>
        <w:spacing w:after="140" w:line="276"/>
      </w:pPr>
      <w:r>
        <w:rPr>
          <w:sz w:val="21"/>
          <w:szCs w:val="21"/>
        </w:rPr>
        <w:t xml:space="preserve">Uno de los logros clave de la v1.0 fue el diseño estructural y la aplicación de los estilos CSS dedicados al render del teléfono, dentro de los contenedores device-stage y hero-phone.</w:t>
      </w:r>
    </w:p>
    <w:p>
      <w:pPr>
        <w:pStyle w:val="Heading2"/>
        <w:spacing w:after="120" w:before="260"/>
      </w:pPr>
      <w:r>
        <w:rPr>
          <w:b/>
          <w:bCs/>
          <w:color w:val="B5121B"/>
          <w:sz w:val="24"/>
          <w:szCs w:val="24"/>
        </w:rPr>
        <w:t xml:space="preserve">5.A. Estructura del marco (HUD)</w:t>
      </w:r>
    </w:p>
    <w:p>
      <w:pPr>
        <w:pStyle w:val="ListParagraph"/>
        <w:numPr>
          <w:ilvl w:val="0"/>
          <w:numId w:val="2"/>
        </w:numPr>
        <w:spacing w:after="80" w:line="270"/>
      </w:pPr>
      <w:r>
        <w:rPr>
          <w:sz w:val="21"/>
          <w:szCs w:val="21"/>
        </w:rPr>
        <w:t xml:space="preserve">Contenedor lateral derecho con efectos visuales de alta tecnología.</w:t>
      </w:r>
    </w:p>
    <w:p>
      <w:pPr>
        <w:pStyle w:val="ListParagraph"/>
        <w:numPr>
          <w:ilvl w:val="0"/>
          <w:numId w:val="2"/>
        </w:numPr>
        <w:spacing w:after="80" w:line="270"/>
      </w:pPr>
      <w:r>
        <w:rPr>
          <w:sz w:val="21"/>
          <w:szCs w:val="21"/>
        </w:rPr>
        <w:t xml:space="preserve">Ondas de energía (energy-wave), reservadas para animaciones futuras.</w:t>
      </w:r>
    </w:p>
    <w:p>
      <w:pPr>
        <w:pStyle w:val="ListParagraph"/>
        <w:numPr>
          <w:ilvl w:val="0"/>
          <w:numId w:val="2"/>
        </w:numPr>
        <w:spacing w:after="80" w:line="270"/>
      </w:pPr>
      <w:r>
        <w:rPr>
          <w:sz w:val="21"/>
          <w:szCs w:val="21"/>
        </w:rPr>
        <w:t xml:space="preserve">Capas de despiece del hardware (explode-stack), reservadas para animaciones futuras de "explosión" de componentes.</w:t>
      </w:r>
    </w:p>
    <w:p>
      <w:pPr>
        <w:pStyle w:val="Heading2"/>
        <w:spacing w:after="120" w:before="260"/>
      </w:pPr>
      <w:r>
        <w:rPr>
          <w:b/>
          <w:bCs/>
          <w:color w:val="B5121B"/>
          <w:sz w:val="24"/>
          <w:szCs w:val="24"/>
        </w:rPr>
        <w:t xml:space="preserve">5.B. Maquetación del teléfono (phoneMarkup)</w:t>
      </w:r>
    </w:p>
    <w:p>
      <w:pPr>
        <w:spacing w:after="140" w:line="276"/>
      </w:pPr>
      <w:r>
        <w:rPr>
          <w:sz w:val="21"/>
          <w:szCs w:val="21"/>
        </w:rPr>
        <w:t xml:space="preserve">Componente modular encargado de renderizar la silueta del teléfono, con un diseño translúcido inspirado en el render oficial de la edición roja, que incluye:</w:t>
      </w:r>
    </w:p>
    <w:p>
      <w:pPr>
        <w:pStyle w:val="ListParagraph"/>
        <w:numPr>
          <w:ilvl w:val="0"/>
          <w:numId w:val="2"/>
        </w:numPr>
        <w:spacing w:after="80" w:line="270"/>
      </w:pPr>
      <w:r>
        <w:rPr>
          <w:sz w:val="21"/>
          <w:szCs w:val="21"/>
        </w:rPr>
        <w:t xml:space="preserve">Módulo de cámaras con dos lentes y sensor, en contenedor redondeado con textura de circuito.</w:t>
      </w:r>
    </w:p>
    <w:p>
      <w:pPr>
        <w:pStyle w:val="ListParagraph"/>
        <w:numPr>
          <w:ilvl w:val="0"/>
          <w:numId w:val="2"/>
        </w:numPr>
        <w:spacing w:after="80" w:line="270"/>
      </w:pPr>
      <w:r>
        <w:rPr>
          <w:sz w:val="21"/>
          <w:szCs w:val="21"/>
        </w:rPr>
        <w:t xml:space="preserve">Fila inferior con flash, sensor auxiliar y distintivo "LEICA".</w:t>
      </w:r>
    </w:p>
    <w:p>
      <w:pPr>
        <w:pStyle w:val="ListParagraph"/>
        <w:numPr>
          <w:ilvl w:val="0"/>
          <w:numId w:val="2"/>
        </w:numPr>
        <w:spacing w:after="80" w:line="270"/>
      </w:pPr>
      <w:r>
        <w:rPr>
          <w:sz w:val="21"/>
          <w:szCs w:val="21"/>
        </w:rPr>
        <w:t xml:space="preserve">Anillo de carga inalámbrica central con la marca "XIAOMI".</w:t>
      </w:r>
    </w:p>
    <w:p>
      <w:pPr>
        <w:pStyle w:val="ListParagraph"/>
        <w:numPr>
          <w:ilvl w:val="0"/>
          <w:numId w:val="2"/>
        </w:numPr>
        <w:spacing w:after="80" w:line="270"/>
      </w:pPr>
      <w:r>
        <w:rPr>
          <w:sz w:val="21"/>
          <w:szCs w:val="21"/>
        </w:rPr>
        <w:t xml:space="preserve">Texturas de circuito impreso superior e inferior, visibles a través del cuerpo translúcido.</w:t>
      </w:r>
    </w:p>
    <w:p>
      <w:pPr>
        <w:pStyle w:val="ListParagraph"/>
        <w:numPr>
          <w:ilvl w:val="0"/>
          <w:numId w:val="2"/>
        </w:numPr>
        <w:spacing w:after="80" w:line="270"/>
      </w:pPr>
      <w:r>
        <w:rPr>
          <w:sz w:val="21"/>
          <w:szCs w:val="21"/>
        </w:rPr>
        <w:t xml:space="preserve">Rejilla de altavoz y detalles de botonera lateral, en sintonía con la paleta de color del ecosistema Xiaomi.</w:t>
      </w:r>
    </w:p>
    <w:p>
      <w:pPr>
        <w:pStyle w:val="Heading2"/>
        <w:spacing w:after="120" w:before="260"/>
      </w:pPr>
      <w:r>
        <w:rPr>
          <w:b/>
          <w:bCs/>
          <w:color w:val="B5121B"/>
          <w:sz w:val="24"/>
          <w:szCs w:val="24"/>
        </w:rPr>
        <w:t xml:space="preserve">5.C. Estilos CSS modulares</w:t>
      </w:r>
    </w:p>
    <w:p>
      <w:pPr>
        <w:pStyle w:val="ListParagraph"/>
        <w:numPr>
          <w:ilvl w:val="0"/>
          <w:numId w:val="2"/>
        </w:numPr>
        <w:spacing w:after="80" w:line="270"/>
      </w:pPr>
      <w:r>
        <w:rPr>
          <w:b/>
          <w:bCs/>
          <w:sz w:val="21"/>
          <w:szCs w:val="21"/>
        </w:rPr>
        <w:t xml:space="preserve">main.css: </w:t>
      </w:r>
      <w:r>
        <w:rPr>
          <w:sz w:val="21"/>
          <w:szCs w:val="21"/>
        </w:rPr>
        <w:t xml:space="preserve">variables de color globales (negro, rojo, blanco, gris metálico), tipografía de alta legibilidad y resplandores atmosféricos de fondo (glow radial).</w:t>
      </w:r>
    </w:p>
    <w:p>
      <w:pPr>
        <w:pStyle w:val="ListParagraph"/>
        <w:numPr>
          <w:ilvl w:val="0"/>
          <w:numId w:val="2"/>
        </w:numPr>
        <w:spacing w:after="80" w:line="270"/>
      </w:pPr>
      <w:r>
        <w:rPr>
          <w:b/>
          <w:bCs/>
          <w:sz w:val="21"/>
          <w:szCs w:val="21"/>
        </w:rPr>
        <w:t xml:space="preserve">animation.css: </w:t>
      </w:r>
      <w:r>
        <w:rPr>
          <w:sz w:val="21"/>
          <w:szCs w:val="21"/>
        </w:rPr>
        <w:t xml:space="preserve">reglas de transición iniciales para efectos de aparición y atenuación de elementos en pantalla; keyframes reutilizables (línea roja, flotado, pulso de brillo).</w:t>
      </w:r>
    </w:p>
    <w:p>
      <w:pPr>
        <w:pStyle w:val="ListParagraph"/>
        <w:numPr>
          <w:ilvl w:val="0"/>
          <w:numId w:val="2"/>
        </w:numPr>
        <w:spacing w:after="80" w:line="270"/>
      </w:pPr>
      <w:r>
        <w:rPr>
          <w:b/>
          <w:bCs/>
          <w:sz w:val="21"/>
          <w:szCs w:val="21"/>
        </w:rPr>
        <w:t xml:space="preserve">responsive.css: </w:t>
      </w:r>
      <w:r>
        <w:rPr>
          <w:sz w:val="21"/>
          <w:szCs w:val="21"/>
        </w:rPr>
        <w:t xml:space="preserve">reglas de adaptación para pantallas de escritorio y portátiles, más el bloque de movimiento reducido (prefers-reduced-motion) exigido por los criterios de accesibilidad del brief.</w:t>
      </w:r>
    </w:p>
    <w:p>
      <w:pPr>
        <w:pStyle w:val="Heading1"/>
        <w:pBdr>
          <w:bottom w:val="single" w:color="B5121B" w:sz="6" w:space="4"/>
        </w:pBdr>
        <w:spacing w:after="160" w:before="320"/>
      </w:pPr>
      <w:r>
        <w:rPr>
          <w:b/>
          <w:bCs/>
          <w:color w:val="7A0D13"/>
          <w:sz w:val="30"/>
          <w:szCs w:val="30"/>
        </w:rPr>
        <w:t xml:space="preserve">6. Incidencias técnicas resueltas durante la v1.0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70"/>
      </w:tblGrid>
      <w:tr>
        <w:trPr>
          <w:tblHeader/>
        </w:trPr>
        <w:tc>
          <w:tcPr>
            <w:tcW w:type="dxa" w:w="900"/>
            <w:shd w:fill="7A0D13" w:val="clear"/>
            <w:tcMar>
              <w:top w:type="dxa" w:w="90"/>
              <w:left w:type="dxa" w:w="110"/>
              <w:bottom w:type="dxa" w:w="90"/>
              <w:right w:type="dxa" w:w="110"/>
            </w:tcMar>
          </w:tcPr>
          <w:p>
            <w:r>
              <w:rPr>
                <w:b/>
                <w:bCs/>
                <w:color w:val="FFFFFF"/>
                <w:sz w:val="19"/>
                <w:szCs w:val="19"/>
              </w:rPr>
              <w:t xml:space="preserve">#</w:t>
            </w:r>
          </w:p>
        </w:tc>
        <w:tc>
          <w:tcPr>
            <w:tcW w:type="dxa" w:w="2200"/>
            <w:shd w:fill="7A0D13" w:val="clear"/>
            <w:tcMar>
              <w:top w:type="dxa" w:w="90"/>
              <w:left w:type="dxa" w:w="110"/>
              <w:bottom w:type="dxa" w:w="90"/>
              <w:right w:type="dxa" w:w="110"/>
            </w:tcMar>
          </w:tcPr>
          <w:p>
            <w:r>
              <w:rPr>
                <w:b/>
                <w:bCs/>
                <w:color w:val="FFFFFF"/>
                <w:sz w:val="19"/>
                <w:szCs w:val="19"/>
              </w:rPr>
              <w:t xml:space="preserve">Escena</w:t>
            </w:r>
          </w:p>
        </w:tc>
        <w:tc>
          <w:tcPr>
            <w:tcW w:type="dxa" w:w="5970"/>
            <w:shd w:fill="7A0D13" w:val="clear"/>
            <w:tcMar>
              <w:top w:type="dxa" w:w="90"/>
              <w:left w:type="dxa" w:w="110"/>
              <w:bottom w:type="dxa" w:w="90"/>
              <w:right w:type="dxa" w:w="110"/>
            </w:tcMar>
          </w:tcPr>
          <w:p>
            <w:r>
              <w:rPr>
                <w:b/>
                <w:bCs/>
                <w:color w:val="FFFFFF"/>
                <w:sz w:val="19"/>
                <w:szCs w:val="19"/>
              </w:rPr>
              <w:t xml:space="preserve">Estado / Descripción</w:t>
            </w:r>
          </w:p>
        </w:tc>
      </w:tr>
      <w:tr>
        <w:tc>
          <w:tcPr>
            <w:tcW w:type="dxa" w:w="900"/>
            <w:tcMar>
              <w:top w:type="dxa" w:w="80"/>
              <w:left w:type="dxa" w:w="110"/>
              <w:bottom w:type="dxa" w:w="80"/>
              <w:right w:type="dxa" w:w="110"/>
            </w:tcMar>
          </w:tcPr>
          <w:p>
            <w:r>
              <w:rPr>
                <w:sz w:val="19"/>
                <w:szCs w:val="19"/>
              </w:rPr>
              <w:t xml:space="preserve">1</w:t>
            </w:r>
          </w:p>
        </w:tc>
        <w:tc>
          <w:tcPr>
            <w:tcW w:type="dxa" w:w="2200"/>
            <w:tcMar>
              <w:top w:type="dxa" w:w="80"/>
              <w:left w:type="dxa" w:w="110"/>
              <w:bottom w:type="dxa" w:w="80"/>
              <w:right w:type="dxa" w:w="110"/>
            </w:tcMar>
          </w:tcPr>
          <w:p>
            <w:r>
              <w:rPr>
                <w:b/>
                <w:bCs/>
                <w:sz w:val="19"/>
                <w:szCs w:val="19"/>
              </w:rPr>
              <w:t xml:space="preserve">Letter-spacing excesivo</w:t>
            </w:r>
          </w:p>
        </w:tc>
        <w:tc>
          <w:tcPr>
            <w:tcW w:type="dxa" w:w="5970"/>
            <w:shd w:fill="E7F3E8" w:val="clear"/>
            <w:tcMar>
              <w:top w:type="dxa" w:w="80"/>
              <w:left w:type="dxa" w:w="110"/>
              <w:bottom w:type="dxa" w:w="80"/>
              <w:right w:type="dxa" w:w="110"/>
            </w:tcMar>
          </w:tcPr>
          <w:p>
            <w:r>
              <w:rPr>
                <w:sz w:val="19"/>
                <w:szCs w:val="19"/>
              </w:rPr>
              <w:t xml:space="preserve">El título del hero se leía pegado ("THEFUTURE"). Corregido ajustando letter-spacing y agregando word-spacing.</w:t>
            </w:r>
          </w:p>
        </w:tc>
      </w:tr>
      <w:tr>
        <w:tc>
          <w:tcPr>
            <w:tcW w:type="dxa" w:w="900"/>
            <w:tcMar>
              <w:top w:type="dxa" w:w="80"/>
              <w:left w:type="dxa" w:w="110"/>
              <w:bottom w:type="dxa" w:w="80"/>
              <w:right w:type="dxa" w:w="110"/>
            </w:tcMar>
          </w:tcPr>
          <w:p>
            <w:r>
              <w:rPr>
                <w:sz w:val="19"/>
                <w:szCs w:val="19"/>
              </w:rPr>
              <w:t xml:space="preserve">2</w:t>
            </w:r>
          </w:p>
        </w:tc>
        <w:tc>
          <w:tcPr>
            <w:tcW w:type="dxa" w:w="2200"/>
            <w:tcMar>
              <w:top w:type="dxa" w:w="80"/>
              <w:left w:type="dxa" w:w="110"/>
              <w:bottom w:type="dxa" w:w="80"/>
              <w:right w:type="dxa" w:w="110"/>
            </w:tcMar>
          </w:tcPr>
          <w:p>
            <w:r>
              <w:rPr>
                <w:b/>
                <w:bCs/>
                <w:sz w:val="19"/>
                <w:szCs w:val="19"/>
              </w:rPr>
              <w:t xml:space="preserve">Módulos JS no exportados</w:t>
            </w:r>
          </w:p>
        </w:tc>
        <w:tc>
          <w:tcPr>
            <w:tcW w:type="dxa" w:w="5970"/>
            <w:shd w:fill="E7F3E8" w:val="clear"/>
            <w:tcMar>
              <w:top w:type="dxa" w:w="80"/>
              <w:left w:type="dxa" w:w="110"/>
              <w:bottom w:type="dxa" w:w="80"/>
              <w:right w:type="dxa" w:w="110"/>
            </w:tcMar>
          </w:tcPr>
          <w:p>
            <w:r>
              <w:rPr>
                <w:sz w:val="19"/>
                <w:szCs w:val="19"/>
              </w:rPr>
              <w:t xml:space="preserve">scenes.js, color-selector.js y animations.js se importaban como efecto secundario sin exportar sus funciones init, causando errores de referencia. Corregido con export / import con nombre.</w:t>
            </w:r>
          </w:p>
        </w:tc>
      </w:tr>
      <w:tr>
        <w:tc>
          <w:tcPr>
            <w:tcW w:type="dxa" w:w="900"/>
            <w:tcMar>
              <w:top w:type="dxa" w:w="80"/>
              <w:left w:type="dxa" w:w="110"/>
              <w:bottom w:type="dxa" w:w="80"/>
              <w:right w:type="dxa" w:w="110"/>
            </w:tcMar>
          </w:tcPr>
          <w:p>
            <w:r>
              <w:rPr>
                <w:sz w:val="19"/>
                <w:szCs w:val="19"/>
              </w:rPr>
              <w:t xml:space="preserve">3</w:t>
            </w:r>
          </w:p>
        </w:tc>
        <w:tc>
          <w:tcPr>
            <w:tcW w:type="dxa" w:w="2200"/>
            <w:tcMar>
              <w:top w:type="dxa" w:w="80"/>
              <w:left w:type="dxa" w:w="110"/>
              <w:bottom w:type="dxa" w:w="80"/>
              <w:right w:type="dxa" w:w="110"/>
            </w:tcMar>
          </w:tcPr>
          <w:p>
            <w:r>
              <w:rPr>
                <w:b/>
                <w:bCs/>
                <w:sz w:val="19"/>
                <w:szCs w:val="19"/>
              </w:rPr>
              <w:t xml:space="preserve">Doble punto de entrada</w:t>
            </w:r>
          </w:p>
        </w:tc>
        <w:tc>
          <w:tcPr>
            <w:tcW w:type="dxa" w:w="5970"/>
            <w:shd w:fill="E7F3E8" w:val="clear"/>
            <w:tcMar>
              <w:top w:type="dxa" w:w="80"/>
              <w:left w:type="dxa" w:w="110"/>
              <w:bottom w:type="dxa" w:w="80"/>
              <w:right w:type="dxa" w:w="110"/>
            </w:tcMar>
          </w:tcPr>
          <w:p>
            <w:r>
              <w:rPr>
                <w:sz w:val="19"/>
                <w:szCs w:val="19"/>
              </w:rPr>
              <w:t xml:space="preserve">src/main.js y src/js/main.js construían el DOM por separado, sobrescribiéndose entre sí. Unificado en un solo punto de entrada.</w:t>
            </w:r>
          </w:p>
        </w:tc>
      </w:tr>
      <w:tr>
        <w:tc>
          <w:tcPr>
            <w:tcW w:type="dxa" w:w="900"/>
            <w:tcMar>
              <w:top w:type="dxa" w:w="80"/>
              <w:left w:type="dxa" w:w="110"/>
              <w:bottom w:type="dxa" w:w="80"/>
              <w:right w:type="dxa" w:w="110"/>
            </w:tcMar>
          </w:tcPr>
          <w:p>
            <w:r>
              <w:rPr>
                <w:sz w:val="19"/>
                <w:szCs w:val="19"/>
              </w:rPr>
              <w:t xml:space="preserve">4</w:t>
            </w:r>
          </w:p>
        </w:tc>
        <w:tc>
          <w:tcPr>
            <w:tcW w:type="dxa" w:w="2200"/>
            <w:tcMar>
              <w:top w:type="dxa" w:w="80"/>
              <w:left w:type="dxa" w:w="110"/>
              <w:bottom w:type="dxa" w:w="80"/>
              <w:right w:type="dxa" w:w="110"/>
            </w:tcMar>
          </w:tcPr>
          <w:p>
            <w:r>
              <w:rPr>
                <w:b/>
                <w:bCs/>
                <w:sz w:val="19"/>
                <w:szCs w:val="19"/>
              </w:rPr>
              <w:t xml:space="preserve">Carpeta de proyecto duplicada</w:t>
            </w:r>
          </w:p>
        </w:tc>
        <w:tc>
          <w:tcPr>
            <w:tcW w:type="dxa" w:w="5970"/>
            <w:shd w:fill="E7F3E8" w:val="clear"/>
            <w:tcMar>
              <w:top w:type="dxa" w:w="80"/>
              <w:left w:type="dxa" w:w="110"/>
              <w:bottom w:type="dxa" w:w="80"/>
              <w:right w:type="dxa" w:w="110"/>
            </w:tcMar>
          </w:tcPr>
          <w:p>
            <w:r>
              <w:rPr>
                <w:sz w:val="19"/>
                <w:szCs w:val="19"/>
              </w:rPr>
              <w:t xml:space="preserve">El entorno local tenía el proyecto anidado dentro de una carpeta del mismo nombre, impidiendo que npm install encontrara package.json. Corregido reordenando la estructura de carpetas.</w:t>
            </w:r>
          </w:p>
        </w:tc>
      </w:tr>
      <w:tr>
        <w:tc>
          <w:tcPr>
            <w:tcW w:type="dxa" w:w="900"/>
            <w:tcMar>
              <w:top w:type="dxa" w:w="80"/>
              <w:left w:type="dxa" w:w="110"/>
              <w:bottom w:type="dxa" w:w="80"/>
              <w:right w:type="dxa" w:w="110"/>
            </w:tcMar>
          </w:tcPr>
          <w:p>
            <w:r>
              <w:rPr>
                <w:sz w:val="19"/>
                <w:szCs w:val="19"/>
              </w:rPr>
              <w:t xml:space="preserve">5</w:t>
            </w:r>
          </w:p>
        </w:tc>
        <w:tc>
          <w:tcPr>
            <w:tcW w:type="dxa" w:w="2200"/>
            <w:tcMar>
              <w:top w:type="dxa" w:w="80"/>
              <w:left w:type="dxa" w:w="110"/>
              <w:bottom w:type="dxa" w:w="80"/>
              <w:right w:type="dxa" w:w="110"/>
            </w:tcMar>
          </w:tcPr>
          <w:p>
            <w:r>
              <w:rPr>
                <w:b/>
                <w:bCs/>
                <w:sz w:val="19"/>
                <w:szCs w:val="19"/>
              </w:rPr>
              <w:t xml:space="preserve">Render del teléfono genérico</w:t>
            </w:r>
          </w:p>
        </w:tc>
        <w:tc>
          <w:tcPr>
            <w:tcW w:type="dxa" w:w="5970"/>
            <w:shd w:fill="E7F3E8" w:val="clear"/>
            <w:tcMar>
              <w:top w:type="dxa" w:w="80"/>
              <w:left w:type="dxa" w:w="110"/>
              <w:bottom w:type="dxa" w:w="80"/>
              <w:right w:type="dxa" w:w="110"/>
            </w:tcMar>
          </w:tcPr>
          <w:p>
            <w:r>
              <w:rPr>
                <w:sz w:val="19"/>
                <w:szCs w:val="19"/>
              </w:rPr>
              <w:t xml:space="preserve">El render inicial era un bloque de color liso. Se rediseñó con textura de rejilla, anillo de carga y módulo de cámaras para aproximarse al render oficial.</w:t>
            </w:r>
          </w:p>
        </w:tc>
      </w:tr>
    </w:tbl>
    <w:p>
      <w:pPr>
        <w:pStyle w:val="Heading1"/>
        <w:pBdr>
          <w:bottom w:val="single" w:color="B5121B" w:sz="6" w:space="4"/>
        </w:pBdr>
        <w:spacing w:after="160" w:before="320"/>
      </w:pPr>
      <w:r>
        <w:rPr>
          <w:b/>
          <w:bCs/>
          <w:color w:val="7A0D13"/>
          <w:sz w:val="30"/>
          <w:szCs w:val="30"/>
        </w:rPr>
        <w:t xml:space="preserve">7. Conclusiones de la versión 1.0</w:t>
      </w:r>
    </w:p>
    <w:p>
      <w:pPr>
        <w:spacing w:after="140" w:line="276"/>
      </w:pPr>
      <w:r>
        <w:rPr>
          <w:sz w:val="21"/>
          <w:szCs w:val="21"/>
        </w:rPr>
        <w:t xml:space="preserve">La versión 1.0 sentó con éxito las bases técnicas del proyecto web del Xiaomi 18 Pro Max. Se consolidó la estructura del DOM mediante JavaScript modular, se integró GSAP para la navegación suave y se completó el diseño estético inicial del dispositivo mediante hojas de estilo CSS dedicadas exclusivamente al marco y a los componentes visuales del teléfono.</w:t>
      </w:r>
    </w:p>
    <w:p>
      <w:pPr>
        <w:spacing w:after="140" w:line="276"/>
      </w:pPr>
      <w:r>
        <w:rPr>
          <w:sz w:val="21"/>
          <w:szCs w:val="21"/>
        </w:rPr>
        <w:t xml:space="preserve">Las escenas 01 (The Arrival), 02 (The Design) y 03 (The Colors) se encuentran implementadas y funcionales. Las escenas 04 a 08 permanecen como espacios reservados, pendientes de desarrollo en la siguiente fase.</w:t>
      </w:r>
    </w:p>
    <w:p>
      <w:pPr>
        <w:pStyle w:val="Heading1"/>
        <w:pBdr>
          <w:bottom w:val="single" w:color="B5121B" w:sz="6" w:space="4"/>
        </w:pBdr>
        <w:spacing w:after="160" w:before="320"/>
      </w:pPr>
      <w:r>
        <w:rPr>
          <w:b/>
          <w:bCs/>
          <w:color w:val="7A0D13"/>
          <w:sz w:val="30"/>
          <w:szCs w:val="30"/>
        </w:rPr>
        <w:t xml:space="preserve">8. Próximos pasos (hacia v1.5)</w:t>
      </w:r>
    </w:p>
    <w:p>
      <w:pPr>
        <w:pStyle w:val="ListParagraph"/>
        <w:numPr>
          <w:ilvl w:val="0"/>
          <w:numId w:val="2"/>
        </w:numPr>
        <w:spacing w:after="80" w:line="270"/>
      </w:pPr>
      <w:r>
        <w:rPr>
          <w:sz w:val="21"/>
          <w:szCs w:val="21"/>
        </w:rPr>
        <w:t xml:space="preserve">Dinamismo de color en tiempo real en el selector de la escena 03.</w:t>
      </w:r>
    </w:p>
    <w:p>
      <w:pPr>
        <w:pStyle w:val="ListParagraph"/>
        <w:numPr>
          <w:ilvl w:val="0"/>
          <w:numId w:val="2"/>
        </w:numPr>
        <w:spacing w:after="80" w:line="270"/>
      </w:pPr>
      <w:r>
        <w:rPr>
          <w:sz w:val="21"/>
          <w:szCs w:val="21"/>
        </w:rPr>
        <w:t xml:space="preserve">Tipografías avanzadas y optimización de componentes.</w:t>
      </w:r>
    </w:p>
    <w:p>
      <w:pPr>
        <w:pStyle w:val="ListParagraph"/>
        <w:numPr>
          <w:ilvl w:val="0"/>
          <w:numId w:val="2"/>
        </w:numPr>
        <w:spacing w:after="80" w:line="270"/>
      </w:pPr>
      <w:r>
        <w:rPr>
          <w:sz w:val="21"/>
          <w:szCs w:val="21"/>
        </w:rPr>
        <w:t xml:space="preserve">Desarrollo de las escenas 04 a 08 (Display, Camera, Performance, Endurance y Final Reveal).</w:t>
      </w:r>
    </w:p>
    <w:p>
      <w:pPr>
        <w:pStyle w:val="ListParagraph"/>
        <w:numPr>
          <w:ilvl w:val="0"/>
          <w:numId w:val="2"/>
        </w:numPr>
        <w:spacing w:after="80" w:line="270"/>
      </w:pPr>
      <w:r>
        <w:rPr>
          <w:sz w:val="21"/>
          <w:szCs w:val="21"/>
        </w:rPr>
        <w:t xml:space="preserve">Transiciones entre escenas controladas por ScrollTrigger (pin y animación del teléfono compartido).</w:t>
      </w:r>
    </w:p>
    <w:p>
      <w:pPr>
        <w:pStyle w:val="ListParagraph"/>
        <w:numPr>
          <w:ilvl w:val="0"/>
          <w:numId w:val="2"/>
        </w:numPr>
        <w:spacing w:after="80" w:line="270"/>
      </w:pPr>
      <w:r>
        <w:rPr>
          <w:sz w:val="21"/>
          <w:szCs w:val="21"/>
        </w:rPr>
        <w:t xml:space="preserve">Integración de audio opcional (soundtrack) sin autoplay, y pantalla de carga.</w:t>
      </w:r>
    </w:p>
    <w:p>
      <w:pPr>
        <w:pStyle w:val="ListParagraph"/>
        <w:numPr>
          <w:ilvl w:val="0"/>
          <w:numId w:val="2"/>
        </w:numPr>
        <w:spacing w:after="80" w:line="270"/>
      </w:pPr>
      <w:r>
        <w:rPr>
          <w:sz w:val="21"/>
          <w:szCs w:val="21"/>
        </w:rPr>
        <w:t xml:space="preserve">Pruebas de accesibilidad y rendimiento en dispositivos móviles.</w:t>
      </w:r>
    </w:p>
    <w:p>
      <w:pPr>
        <w:pBdr>
          <w:top w:val="single" w:color="BFBFBF" w:sz="4" w:space="8"/>
        </w:pBdr>
        <w:spacing w:before="400"/>
      </w:pPr>
      <w:r>
        <w:rPr>
          <w:i/>
          <w:iCs/>
          <w:color w:val="595959"/>
          <w:sz w:val="18"/>
          <w:szCs w:val="18"/>
        </w:rPr>
        <w:t xml:space="preserve">Fin del documento v1.0. Concepto visual no oficial; las características del producto mencionadas son ilustrativas y no corresponden a un lanzamiento confirmado por Xiaomi.</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2026-10-07T21:57:54.490Z</dcterms:created>
  <dcterms:modified xsi:type="dcterms:W3CDTF">2026-10-07T21:57:54.496Z</dcterms:modified>
</cp:coreProperties>
</file>

<file path=docProps/custom.xml><?xml version="1.0" encoding="utf-8"?>
<Properties xmlns="http://schemas.openxmlformats.org/officeDocument/2006/custom-properties" xmlns:vt="http://schemas.openxmlformats.org/officeDocument/2006/docPropsVTypes"/>
</file>