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hyperlink r:id="rId5">
        <w:r w:rsidDel="00000000" w:rsidR="00000000" w:rsidRPr="00000000">
          <w:rPr>
            <w:b w:val="1"/>
            <w:sz w:val="28"/>
            <w:rtl w:val="0"/>
          </w:rPr>
          <w:t xml:space="preserve">Module 1: Data Entry from Ledger/Card/Label/Catalog/Images</w:t>
        </w:r>
      </w:hyperlink>
      <w:hyperlink r:id="rId6">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7">
        <w:r w:rsidDel="00000000" w:rsidR="00000000" w:rsidRPr="00000000">
          <w:rPr>
            <w:rtl w:val="0"/>
          </w:rPr>
        </w:r>
      </w:hyperlink>
    </w:p>
    <w:tbl>
      <w:tblPr>
        <w:tblStyle w:val="Table1"/>
        <w:bidiVisual w:val="0"/>
        <w:tblW w:w="935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259"/>
        <w:gridCol w:w="2345"/>
        <w:gridCol w:w="2345"/>
        <w:tblGridChange w:id="0">
          <w:tblGrid>
            <w:gridCol w:w="2410"/>
            <w:gridCol w:w="2259"/>
            <w:gridCol w:w="2345"/>
            <w:gridCol w:w="2345"/>
          </w:tblGrid>
        </w:tblGridChange>
      </w:tblGrid>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8">
              <w:r w:rsidDel="00000000" w:rsidR="00000000" w:rsidRPr="00000000">
                <w:rPr>
                  <w:b w:val="1"/>
                  <w:rtl w:val="0"/>
                </w:rPr>
                <w:t xml:space="preserve">Task ID</w:t>
              </w:r>
            </w:hyperlink>
            <w:hyperlink r:id="rId9">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0">
              <w:r w:rsidDel="00000000" w:rsidR="00000000" w:rsidRPr="00000000">
                <w:rPr>
                  <w:b w:val="1"/>
                  <w:rtl w:val="0"/>
                </w:rPr>
                <w:t xml:space="preserve">Task Name</w:t>
              </w:r>
            </w:hyperlink>
            <w:hyperlink r:id="rId11">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2">
              <w:r w:rsidDel="00000000" w:rsidR="00000000" w:rsidRPr="00000000">
                <w:rPr>
                  <w:b w:val="1"/>
                  <w:rtl w:val="0"/>
                </w:rPr>
                <w:t xml:space="preserve">Explanations and Comments</w:t>
              </w:r>
            </w:hyperlink>
            <w:hyperlink r:id="rId13">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4">
              <w:r w:rsidDel="00000000" w:rsidR="00000000" w:rsidRPr="00000000">
                <w:rPr>
                  <w:b w:val="1"/>
                  <w:rtl w:val="0"/>
                </w:rPr>
                <w:t xml:space="preserve">Resources</w:t>
              </w:r>
            </w:hyperlink>
            <w:hyperlink r:id="rId15">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16">
              <w:r w:rsidDel="00000000" w:rsidR="00000000" w:rsidRPr="00000000">
                <w:rPr>
                  <w:b w:val="1"/>
                  <w:rtl w:val="0"/>
                </w:rPr>
                <w:t xml:space="preserve">T0</w:t>
              </w:r>
            </w:hyperlink>
            <w:hyperlink r:id="rId17">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8">
              <w:r w:rsidDel="00000000" w:rsidR="00000000" w:rsidRPr="00000000">
                <w:rPr>
                  <w:rtl w:val="0"/>
                </w:rPr>
                <w:t xml:space="preserve">Select catalog sheet, individual specimen, specimen drawer or tray, or label image(s) to be databased.</w:t>
              </w:r>
            </w:hyperlink>
          </w:p>
          <w:p w:rsidR="00000000" w:rsidDel="00000000" w:rsidP="00000000" w:rsidRDefault="00000000" w:rsidRPr="00000000">
            <w:pPr>
              <w:widowControl w:val="0"/>
              <w:spacing w:line="240" w:lineRule="auto"/>
              <w:contextualSpacing w:val="0"/>
            </w:pPr>
            <w:hyperlink r:id="rId19">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0">
              <w:r w:rsidDel="00000000" w:rsidR="00000000" w:rsidRPr="00000000">
                <w:rPr>
                  <w:rtl w:val="0"/>
                </w:rPr>
                <w:t xml:space="preserve">Institutions vary in data entry source. This might be specimens, label images, labels, catalog sheets, images of catalog sheets, etc.</w:t>
              </w:r>
            </w:hyperlink>
          </w:p>
          <w:p w:rsidR="00000000" w:rsidDel="00000000" w:rsidP="00000000" w:rsidRDefault="00000000" w:rsidRPr="00000000">
            <w:pPr>
              <w:widowControl w:val="0"/>
              <w:spacing w:line="240" w:lineRule="auto"/>
              <w:contextualSpacing w:val="0"/>
            </w:pPr>
            <w:hyperlink r:id="rId21">
              <w:r w:rsidDel="00000000" w:rsidR="00000000" w:rsidRPr="00000000">
                <w:rPr>
                  <w:rtl w:val="0"/>
                </w:rPr>
                <w:t xml:space="preserve">Data entry may be effected via database forms, spreadsheets, or other medium for later upload.</w:t>
              </w:r>
            </w:hyperlink>
          </w:p>
          <w:p w:rsidR="00000000" w:rsidDel="00000000" w:rsidP="00000000" w:rsidRDefault="00000000" w:rsidRPr="00000000">
            <w:pPr>
              <w:widowControl w:val="0"/>
              <w:spacing w:line="240" w:lineRule="auto"/>
              <w:contextualSpacing w:val="0"/>
            </w:pPr>
            <w:hyperlink r:id="rId22">
              <w:r w:rsidDel="00000000" w:rsidR="00000000" w:rsidRPr="00000000">
                <w:rPr>
                  <w:rtl w:val="0"/>
                </w:rPr>
              </w:r>
            </w:hyperlink>
          </w:p>
          <w:p w:rsidR="00000000" w:rsidDel="00000000" w:rsidP="00000000" w:rsidRDefault="00000000" w:rsidRPr="00000000">
            <w:pPr>
              <w:widowControl w:val="0"/>
              <w:spacing w:line="240" w:lineRule="auto"/>
              <w:contextualSpacing w:val="0"/>
            </w:pPr>
            <w:hyperlink r:id="rId23">
              <w:r w:rsidDel="00000000" w:rsidR="00000000" w:rsidRPr="00000000">
                <w:rPr>
                  <w:rtl w:val="0"/>
                </w:rPr>
                <w:t xml:space="preserve">Some institutions image labels or cards, attach the image to an empty database record, and enter data into the record from the attached images.</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4">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25">
              <w:r w:rsidDel="00000000" w:rsidR="00000000" w:rsidRPr="00000000">
                <w:rPr>
                  <w:b w:val="1"/>
                  <w:rtl w:val="0"/>
                </w:rPr>
                <w:t xml:space="preserve">T1</w:t>
              </w:r>
            </w:hyperlink>
            <w:hyperlink r:id="rId26">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7">
              <w:r w:rsidDel="00000000" w:rsidR="00000000" w:rsidRPr="00000000">
                <w:rPr>
                  <w:rtl w:val="0"/>
                </w:rPr>
                <w:t xml:space="preserve">Determine data elements to be entered for each specimen.</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8">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9">
              <w:r w:rsidDel="00000000" w:rsidR="00000000" w:rsidRPr="00000000">
                <w:rPr>
                  <w:rtl w:val="0"/>
                </w:rPr>
                <w:t xml:space="preserve">This is usually controlled by an institution-specific protocol and reflects whether all label data or only selected data are entered.</w:t>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30">
              <w:r w:rsidDel="00000000" w:rsidR="00000000" w:rsidRPr="00000000">
                <w:rPr>
                  <w:b w:val="1"/>
                  <w:rtl w:val="0"/>
                </w:rPr>
                <w:t xml:space="preserve">T2</w:t>
              </w:r>
            </w:hyperlink>
            <w:hyperlink r:id="rId31">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2">
              <w:r w:rsidDel="00000000" w:rsidR="00000000" w:rsidRPr="00000000">
                <w:rPr>
                  <w:rtl w:val="0"/>
                </w:rPr>
                <w:t xml:space="preserve">Create and populate record(s). </w:t>
              </w:r>
            </w:hyperlink>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hyperlink r:id="rId33">
              <w:r w:rsidDel="00000000" w:rsidR="00000000" w:rsidRPr="00000000">
                <w:rPr>
                  <w:rtl w:val="0"/>
                </w:rPr>
                <w:t xml:space="preserve">Data entry may be from keystroke or from a combination of keystroking and voice recognition software.</w:t>
              </w:r>
            </w:hyperlink>
          </w:p>
          <w:p w:rsidR="00000000" w:rsidDel="00000000" w:rsidP="00000000" w:rsidRDefault="00000000" w:rsidRPr="00000000">
            <w:pPr>
              <w:widowControl w:val="0"/>
              <w:spacing w:line="276" w:lineRule="auto"/>
              <w:contextualSpacing w:val="0"/>
            </w:pPr>
            <w:hyperlink r:id="rId34">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35">
              <w:r w:rsidDel="00000000" w:rsidR="00000000" w:rsidRPr="00000000">
                <w:rPr>
                  <w:rtl w:val="0"/>
                </w:rPr>
                <w:t xml:space="preserve">For names not found in the database authority files (taxonomic, geographic, human), data entry technicians not skilled in taxonomy or nomenclature might elevate those names to the curator for quality control and decision making.</w:t>
              </w:r>
            </w:hyperlink>
          </w:p>
          <w:p w:rsidR="00000000" w:rsidDel="00000000" w:rsidP="00000000" w:rsidRDefault="00000000" w:rsidRPr="00000000">
            <w:pPr>
              <w:widowControl w:val="0"/>
              <w:spacing w:line="276" w:lineRule="auto"/>
              <w:contextualSpacing w:val="0"/>
            </w:pPr>
            <w:hyperlink r:id="rId36">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37">
              <w:r w:rsidDel="00000000" w:rsidR="00000000" w:rsidRPr="00000000">
                <w:rPr>
                  <w:rtl w:val="0"/>
                </w:rPr>
                <w:t xml:space="preserve">For systems in which data entry can happen in external datasets (e.g. Specify/Specify Workbench), newly created datasets (e.g., in Excel) are imported into the database at this stage. This process usually validates data, highlights errors, and requires correction in order for the data to be successfully imported.</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8">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39">
              <w:r w:rsidDel="00000000" w:rsidR="00000000" w:rsidRPr="00000000">
                <w:rPr>
                  <w:b w:val="1"/>
                  <w:rtl w:val="0"/>
                </w:rPr>
                <w:t xml:space="preserve">T3</w:t>
              </w:r>
            </w:hyperlink>
            <w:hyperlink r:id="rId40">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41">
              <w:r w:rsidDel="00000000" w:rsidR="00000000" w:rsidRPr="00000000">
                <w:rPr>
                  <w:rtl w:val="0"/>
                </w:rPr>
                <w:t xml:space="preserve">Rectify duplicate catalog numbers (if needed).</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42">
              <w:r w:rsidDel="00000000" w:rsidR="00000000" w:rsidRPr="00000000">
                <w:rPr>
                  <w:rtl w:val="0"/>
                </w:rPr>
                <w:t xml:space="preserve">Ensure that catalog numbers are unique. Duplicate numbers are usually caught at the time a record is saved or as an external dataset (e.g., Excel) is imported.</w:t>
              </w:r>
            </w:hyperlink>
          </w:p>
          <w:p w:rsidR="00000000" w:rsidDel="00000000" w:rsidP="00000000" w:rsidRDefault="00000000" w:rsidRPr="00000000">
            <w:pPr>
              <w:widowControl w:val="0"/>
              <w:spacing w:line="240" w:lineRule="auto"/>
              <w:contextualSpacing w:val="0"/>
            </w:pPr>
            <w:hyperlink r:id="rId43">
              <w:r w:rsidDel="00000000" w:rsidR="00000000" w:rsidRPr="00000000">
                <w:rPr>
                  <w:rtl w:val="0"/>
                </w:rPr>
              </w:r>
            </w:hyperlink>
          </w:p>
          <w:p w:rsidR="00000000" w:rsidDel="00000000" w:rsidP="00000000" w:rsidRDefault="00000000" w:rsidRPr="00000000">
            <w:pPr>
              <w:widowControl w:val="0"/>
              <w:spacing w:line="240" w:lineRule="auto"/>
              <w:contextualSpacing w:val="0"/>
            </w:pPr>
            <w:hyperlink r:id="rId44">
              <w:r w:rsidDel="00000000" w:rsidR="00000000" w:rsidRPr="00000000">
                <w:rPr>
                  <w:rtl w:val="0"/>
                </w:rPr>
                <w:t xml:space="preserve">Methods vary. Possible rectifications include:</w:t>
              </w:r>
            </w:hyperlink>
          </w:p>
          <w:p w:rsidR="00000000" w:rsidDel="00000000" w:rsidP="00000000" w:rsidRDefault="00000000" w:rsidRPr="00000000">
            <w:pPr>
              <w:widowControl w:val="0"/>
              <w:numPr>
                <w:ilvl w:val="0"/>
                <w:numId w:val="2"/>
              </w:numPr>
              <w:spacing w:line="240" w:lineRule="auto"/>
              <w:ind w:left="360"/>
              <w:contextualSpacing w:val="1"/>
              <w:rPr/>
            </w:pPr>
            <w:hyperlink r:id="rId45">
              <w:r w:rsidDel="00000000" w:rsidR="00000000" w:rsidRPr="00000000">
                <w:rPr>
                  <w:rtl w:val="0"/>
                </w:rPr>
                <w:t xml:space="preserve">adding a suffix,</w:t>
              </w:r>
            </w:hyperlink>
          </w:p>
          <w:p w:rsidR="00000000" w:rsidDel="00000000" w:rsidP="00000000" w:rsidRDefault="00000000" w:rsidRPr="00000000">
            <w:pPr>
              <w:widowControl w:val="0"/>
              <w:numPr>
                <w:ilvl w:val="0"/>
                <w:numId w:val="2"/>
              </w:numPr>
              <w:spacing w:line="240" w:lineRule="auto"/>
              <w:ind w:left="360"/>
              <w:contextualSpacing w:val="1"/>
              <w:rPr/>
            </w:pPr>
            <w:hyperlink r:id="rId46">
              <w:r w:rsidDel="00000000" w:rsidR="00000000" w:rsidRPr="00000000">
                <w:rPr>
                  <w:rtl w:val="0"/>
                </w:rPr>
                <w:t xml:space="preserve">lining out ansd replacing number,</w:t>
              </w:r>
            </w:hyperlink>
          </w:p>
          <w:p w:rsidR="00000000" w:rsidDel="00000000" w:rsidP="00000000" w:rsidRDefault="00000000" w:rsidRPr="00000000">
            <w:pPr>
              <w:widowControl w:val="0"/>
              <w:numPr>
                <w:ilvl w:val="0"/>
                <w:numId w:val="2"/>
              </w:numPr>
              <w:spacing w:line="240" w:lineRule="auto"/>
              <w:ind w:left="360"/>
              <w:contextualSpacing w:val="1"/>
              <w:rPr/>
            </w:pPr>
            <w:hyperlink r:id="rId47">
              <w:r w:rsidDel="00000000" w:rsidR="00000000" w:rsidRPr="00000000">
                <w:rPr>
                  <w:rtl w:val="0"/>
                </w:rPr>
                <w:t xml:space="preserve">linking previously published numbers within database.</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48">
              <w:r w:rsidDel="00000000" w:rsidR="00000000" w:rsidRPr="00000000">
                <w:rPr>
                  <w:rtl w:val="0"/>
                </w:rPr>
                <w:t xml:space="preserve">Rectifying duplicate catalog numbers is usually governed by institutionally specific policy or protocol.</w:t>
              </w:r>
            </w:hyperlink>
          </w:p>
          <w:p w:rsidR="00000000" w:rsidDel="00000000" w:rsidP="00000000" w:rsidRDefault="00000000" w:rsidRPr="00000000">
            <w:pPr>
              <w:widowControl w:val="0"/>
              <w:spacing w:line="240" w:lineRule="auto"/>
              <w:contextualSpacing w:val="0"/>
            </w:pPr>
            <w:hyperlink r:id="rId49">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50">
              <w:r w:rsidDel="00000000" w:rsidR="00000000" w:rsidRPr="00000000">
                <w:rPr>
                  <w:b w:val="1"/>
                  <w:rtl w:val="0"/>
                </w:rPr>
                <w:t xml:space="preserve">T4</w:t>
              </w:r>
            </w:hyperlink>
            <w:hyperlink r:id="rId51">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2">
              <w:r w:rsidDel="00000000" w:rsidR="00000000" w:rsidRPr="00000000">
                <w:rPr>
                  <w:rtl w:val="0"/>
                </w:rPr>
                <w:t xml:space="preserve">Clean/verify (QC) data.</w:t>
              </w:r>
            </w:hyperlink>
          </w:p>
          <w:p w:rsidR="00000000" w:rsidDel="00000000" w:rsidP="00000000" w:rsidRDefault="00000000" w:rsidRPr="00000000">
            <w:pPr>
              <w:widowControl w:val="0"/>
              <w:spacing w:line="240" w:lineRule="auto"/>
              <w:contextualSpacing w:val="0"/>
            </w:pPr>
            <w:hyperlink r:id="rId53">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4">
              <w:r w:rsidDel="00000000" w:rsidR="00000000" w:rsidRPr="00000000">
                <w:rPr>
                  <w:rtl w:val="0"/>
                </w:rPr>
                <w:t xml:space="preserve">This step can also be performed later as a separate, disconnected step following data entry.</w:t>
              </w:r>
            </w:hyperlink>
          </w:p>
          <w:p w:rsidR="00000000" w:rsidDel="00000000" w:rsidP="00000000" w:rsidRDefault="00000000" w:rsidRPr="00000000">
            <w:pPr>
              <w:widowControl w:val="0"/>
              <w:spacing w:line="240" w:lineRule="auto"/>
              <w:contextualSpacing w:val="0"/>
            </w:pPr>
            <w:hyperlink r:id="rId55">
              <w:r w:rsidDel="00000000" w:rsidR="00000000" w:rsidRPr="00000000">
                <w:rPr>
                  <w:rtl w:val="0"/>
                </w:rPr>
              </w:r>
            </w:hyperlink>
          </w:p>
          <w:p w:rsidR="00000000" w:rsidDel="00000000" w:rsidP="00000000" w:rsidRDefault="00000000" w:rsidRPr="00000000">
            <w:pPr>
              <w:widowControl w:val="0"/>
              <w:spacing w:line="240" w:lineRule="auto"/>
              <w:contextualSpacing w:val="0"/>
            </w:pPr>
            <w:hyperlink r:id="rId56">
              <w:r w:rsidDel="00000000" w:rsidR="00000000" w:rsidRPr="00000000">
                <w:rPr>
                  <w:rtl w:val="0"/>
                </w:rPr>
                <w:t xml:space="preserve">When performed here, review by an expert (curator, researcher, collection manager, or other) usually follows initial keystroking by the data entry technician.</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7">
              <w:r w:rsidDel="00000000" w:rsidR="00000000" w:rsidRPr="00000000">
                <w:rPr>
                  <w:rtl w:val="0"/>
                </w:rPr>
                <w:t xml:space="preserve">Requires skills of both a data entry technician and knowledgeable expert.</w:t>
              </w:r>
            </w:hyperlink>
          </w:p>
          <w:p w:rsidR="00000000" w:rsidDel="00000000" w:rsidP="00000000" w:rsidRDefault="00000000" w:rsidRPr="00000000">
            <w:pPr>
              <w:widowControl w:val="0"/>
              <w:spacing w:line="240" w:lineRule="auto"/>
              <w:contextualSpacing w:val="0"/>
            </w:pPr>
            <w:hyperlink r:id="rId58">
              <w:r w:rsidDel="00000000" w:rsidR="00000000" w:rsidRPr="00000000">
                <w:rPr>
                  <w:rtl w:val="0"/>
                </w:rPr>
              </w:r>
            </w:hyperlink>
          </w:p>
          <w:p w:rsidR="00000000" w:rsidDel="00000000" w:rsidP="00000000" w:rsidRDefault="00000000" w:rsidRPr="00000000">
            <w:pPr>
              <w:widowControl w:val="0"/>
              <w:spacing w:line="240" w:lineRule="auto"/>
              <w:contextualSpacing w:val="0"/>
            </w:pPr>
            <w:hyperlink r:id="rId59">
              <w:r w:rsidDel="00000000" w:rsidR="00000000" w:rsidRPr="00000000">
                <w:rPr>
                  <w:rtl w:val="0"/>
                </w:rPr>
                <w:t xml:space="preserve">In most institutions, this step is iterative and continuous.</w:t>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60">
              <w:r w:rsidDel="00000000" w:rsidR="00000000" w:rsidRPr="00000000">
                <w:rPr>
                  <w:b w:val="1"/>
                  <w:rtl w:val="0"/>
                </w:rPr>
                <w:t xml:space="preserve">T5</w:t>
              </w:r>
            </w:hyperlink>
            <w:hyperlink r:id="rId61">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62">
              <w:r w:rsidDel="00000000" w:rsidR="00000000" w:rsidRPr="00000000">
                <w:rPr>
                  <w:rtl w:val="0"/>
                </w:rPr>
                <w:t xml:space="preserve">Enrich and augment data from external sources.</w:t>
              </w:r>
            </w:hyperlink>
          </w:p>
          <w:p w:rsidR="00000000" w:rsidDel="00000000" w:rsidP="00000000" w:rsidRDefault="00000000" w:rsidRPr="00000000">
            <w:pPr>
              <w:widowControl w:val="0"/>
              <w:spacing w:line="240" w:lineRule="auto"/>
              <w:contextualSpacing w:val="0"/>
            </w:pPr>
            <w:hyperlink r:id="rId63">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64">
              <w:r w:rsidDel="00000000" w:rsidR="00000000" w:rsidRPr="00000000">
                <w:rPr>
                  <w:rtl w:val="0"/>
                </w:rPr>
                <w:t xml:space="preserve">This includes adding data from field notebooks, monographs, reports, publications, etc.; updating and annotating taxonomy; georeferencing.</w:t>
              </w:r>
            </w:hyperlink>
          </w:p>
          <w:p w:rsidR="00000000" w:rsidDel="00000000" w:rsidP="00000000" w:rsidRDefault="00000000" w:rsidRPr="00000000">
            <w:pPr>
              <w:widowControl w:val="0"/>
              <w:spacing w:line="240" w:lineRule="auto"/>
              <w:contextualSpacing w:val="0"/>
            </w:pPr>
            <w:hyperlink r:id="rId65">
              <w:r w:rsidDel="00000000" w:rsidR="00000000" w:rsidRPr="00000000">
                <w:rPr>
                  <w:rtl w:val="0"/>
                </w:rPr>
              </w:r>
            </w:hyperlink>
          </w:p>
          <w:p w:rsidR="00000000" w:rsidDel="00000000" w:rsidP="00000000" w:rsidRDefault="00000000" w:rsidRPr="00000000">
            <w:pPr>
              <w:widowControl w:val="0"/>
              <w:spacing w:line="240" w:lineRule="auto"/>
              <w:contextualSpacing w:val="0"/>
            </w:pPr>
            <w:hyperlink r:id="rId66">
              <w:r w:rsidDel="00000000" w:rsidR="00000000" w:rsidRPr="00000000">
                <w:rPr>
                  <w:rtl w:val="0"/>
                </w:rPr>
                <w:t xml:space="preserve">For some institutions, data augmentation (such as adding georeferences) is accomplished via a separate workflow.</w:t>
              </w:r>
            </w:hyperlink>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360"/>
              <w:contextualSpacing w:val="1"/>
              <w:rPr/>
            </w:pPr>
            <w:hyperlink r:id="rId67">
              <w:r w:rsidDel="00000000" w:rsidR="00000000" w:rsidRPr="00000000">
                <w:rPr>
                  <w:rtl w:val="0"/>
                </w:rPr>
                <w:t xml:space="preserve">Technicians.</w:t>
              </w:r>
            </w:hyperlink>
          </w:p>
          <w:p w:rsidR="00000000" w:rsidDel="00000000" w:rsidP="00000000" w:rsidRDefault="00000000" w:rsidRPr="00000000">
            <w:pPr>
              <w:widowControl w:val="0"/>
              <w:numPr>
                <w:ilvl w:val="0"/>
                <w:numId w:val="1"/>
              </w:numPr>
              <w:spacing w:line="240" w:lineRule="auto"/>
              <w:ind w:left="360"/>
              <w:contextualSpacing w:val="1"/>
              <w:rPr/>
            </w:pPr>
            <w:hyperlink r:id="rId68">
              <w:r w:rsidDel="00000000" w:rsidR="00000000" w:rsidRPr="00000000">
                <w:rPr>
                  <w:rtl w:val="0"/>
                </w:rPr>
                <w:t xml:space="preserve">Ancillary software (such as GEOLocate).</w:t>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hyperlink r:id="rId69">
              <w:r w:rsidDel="00000000" w:rsidR="00000000" w:rsidRPr="00000000">
                <w:rPr>
                  <w:b w:val="1"/>
                  <w:rtl w:val="0"/>
                </w:rPr>
                <w:t xml:space="preserve">T6</w:t>
              </w:r>
            </w:hyperlink>
            <w:hyperlink r:id="rId70">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71">
              <w:r w:rsidDel="00000000" w:rsidR="00000000" w:rsidRPr="00000000">
                <w:rPr>
                  <w:rtl w:val="0"/>
                </w:rPr>
                <w:t xml:space="preserve">Spot-check data.</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72">
              <w:r w:rsidDel="00000000" w:rsidR="00000000" w:rsidRPr="00000000">
                <w:rPr>
                  <w:rtl w:val="0"/>
                </w:rPr>
                <w:t xml:space="preserve">QC is ongoing. In most institutions, a data or proofing expert selects and spot checks records for accuracy and completeness. This may be done with direct visual inspection or by executing database queries that reveal errors, such as unexpected null or blank fields or fields that have been populated with inappropriate or incorrect data.</w:t>
              </w:r>
            </w:hyperlink>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73">
              <w:r w:rsidDel="00000000" w:rsidR="00000000" w:rsidRPr="00000000">
                <w:rPr>
                  <w:rtl w:val="0"/>
                </w:rPr>
                <w:t xml:space="preserve">Data or proofing expert.</w:t>
              </w:r>
            </w:hyperlink>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s://www.idigbio.org/content/idigbio-image-file-format-requirements-and-recommendations" TargetMode="External"/><Relationship Id="rId38" Type="http://schemas.openxmlformats.org/officeDocument/2006/relationships/hyperlink" Target="https://www.idigbio.org/content/idigbio-image-file-format-requirements-and-recommendations" TargetMode="External"/><Relationship Id="rId37" Type="http://schemas.openxmlformats.org/officeDocument/2006/relationships/hyperlink" Target="https://www.idigbio.org/content/idigbio-image-file-format-requirements-and-recommendations" TargetMode="External"/><Relationship Id="rId36" Type="http://schemas.openxmlformats.org/officeDocument/2006/relationships/hyperlink" Target="https://www.idigbio.org/content/idigbio-image-file-format-requirements-and-recommendations" TargetMode="External"/><Relationship Id="rId30" Type="http://schemas.openxmlformats.org/officeDocument/2006/relationships/hyperlink" Target="https://www.idigbio.org/content/idigbio-image-file-format-requirements-and-recommendations" TargetMode="External"/><Relationship Id="rId31" Type="http://schemas.openxmlformats.org/officeDocument/2006/relationships/hyperlink" Target="https://www.idigbio.org/content/idigbio-image-file-format-requirements-and-recommendations" TargetMode="External"/><Relationship Id="rId71" Type="http://schemas.openxmlformats.org/officeDocument/2006/relationships/hyperlink" Target="https://www.idigbio.org/content/idigbio-image-file-format-requirements-and-recommendations" TargetMode="External"/><Relationship Id="rId34" Type="http://schemas.openxmlformats.org/officeDocument/2006/relationships/hyperlink" Target="https://www.idigbio.org/content/idigbio-image-file-format-requirements-and-recommendations" TargetMode="External"/><Relationship Id="rId70" Type="http://schemas.openxmlformats.org/officeDocument/2006/relationships/hyperlink" Target="https://www.idigbio.org/content/idigbio-image-file-format-requirements-and-recommendations" TargetMode="External"/><Relationship Id="rId35" Type="http://schemas.openxmlformats.org/officeDocument/2006/relationships/hyperlink" Target="https://www.idigbio.org/content/idigbio-image-file-format-requirements-and-recommendations" TargetMode="External"/><Relationship Id="rId32" Type="http://schemas.openxmlformats.org/officeDocument/2006/relationships/hyperlink" Target="https://www.idigbio.org/content/idigbio-image-file-format-requirements-and-recommendations" TargetMode="External"/><Relationship Id="rId33" Type="http://schemas.openxmlformats.org/officeDocument/2006/relationships/hyperlink" Target="https://www.idigbio.org/content/idigbio-image-file-format-requirements-and-recommendations" TargetMode="External"/><Relationship Id="rId73" Type="http://schemas.openxmlformats.org/officeDocument/2006/relationships/hyperlink" Target="https://www.idigbio.org/content/idigbio-image-file-format-requirements-and-recommendations" TargetMode="External"/><Relationship Id="rId72" Type="http://schemas.openxmlformats.org/officeDocument/2006/relationships/hyperlink" Target="https://www.idigbio.org/content/idigbio-image-file-format-requirements-and-recommendations" TargetMode="External"/><Relationship Id="rId48" Type="http://schemas.openxmlformats.org/officeDocument/2006/relationships/hyperlink" Target="https://www.idigbio.org/content/idigbio-image-file-format-requirements-and-recommendations" TargetMode="External"/><Relationship Id="rId47" Type="http://schemas.openxmlformats.org/officeDocument/2006/relationships/hyperlink" Target="https://www.idigbio.org/content/idigbio-image-file-format-requirements-and-recommendations" TargetMode="External"/><Relationship Id="rId49" Type="http://schemas.openxmlformats.org/officeDocument/2006/relationships/hyperlink" Target="https://www.idigbio.org/content/idigbio-image-file-format-requirements-and-recommendations"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www.idigbio.org/content/idigbio-image-file-format-requirements-and-recommendations" TargetMode="External"/><Relationship Id="rId4" Type="http://schemas.openxmlformats.org/officeDocument/2006/relationships/styles" Target="styles.xml"/><Relationship Id="rId41" Type="http://schemas.openxmlformats.org/officeDocument/2006/relationships/hyperlink" Target="https://www.idigbio.org/content/idigbio-image-file-format-requirements-and-recommendations" TargetMode="External"/><Relationship Id="rId3" Type="http://schemas.openxmlformats.org/officeDocument/2006/relationships/numbering" Target="numbering.xml"/><Relationship Id="rId42" Type="http://schemas.openxmlformats.org/officeDocument/2006/relationships/hyperlink" Target="https://www.idigbio.org/content/idigbio-image-file-format-requirements-and-recommendations" TargetMode="External"/><Relationship Id="rId43" Type="http://schemas.openxmlformats.org/officeDocument/2006/relationships/hyperlink" Target="https://www.idigbio.org/content/idigbio-image-file-format-requirements-and-recommendations" TargetMode="External"/><Relationship Id="rId44" Type="http://schemas.openxmlformats.org/officeDocument/2006/relationships/hyperlink" Target="https://www.idigbio.org/content/idigbio-image-file-format-requirements-and-recommendations" TargetMode="External"/><Relationship Id="rId45" Type="http://schemas.openxmlformats.org/officeDocument/2006/relationships/hyperlink" Target="https://www.idigbio.org/content/idigbio-image-file-format-requirements-and-recommendations" TargetMode="External"/><Relationship Id="rId46" Type="http://schemas.openxmlformats.org/officeDocument/2006/relationships/hyperlink" Target="https://www.idigbio.org/content/idigbio-image-file-format-requirements-and-recommendations" TargetMode="External"/><Relationship Id="rId9" Type="http://schemas.openxmlformats.org/officeDocument/2006/relationships/hyperlink" Target="https://www.idigbio.org/content/idigbio-image-file-format-requirements-and-recommendations" TargetMode="External"/><Relationship Id="rId6" Type="http://schemas.openxmlformats.org/officeDocument/2006/relationships/hyperlink" Target="https://www.idigbio.org/content/idigbio-image-file-format-requirements-and-recommendations" TargetMode="External"/><Relationship Id="rId5" Type="http://schemas.openxmlformats.org/officeDocument/2006/relationships/hyperlink" Target="https://www.idigbio.org/content/idigbio-image-file-format-requirements-and-recommendations" TargetMode="External"/><Relationship Id="rId8" Type="http://schemas.openxmlformats.org/officeDocument/2006/relationships/hyperlink" Target="https://www.idigbio.org/content/idigbio-image-file-format-requirements-and-recommendations" TargetMode="External"/><Relationship Id="rId7" Type="http://schemas.openxmlformats.org/officeDocument/2006/relationships/hyperlink" Target="https://www.idigbio.org/content/idigbio-image-file-format-requirements-and-recommendations" TargetMode="External"/><Relationship Id="rId58" Type="http://schemas.openxmlformats.org/officeDocument/2006/relationships/hyperlink" Target="https://www.idigbio.org/content/idigbio-image-file-format-requirements-and-recommendations" TargetMode="External"/><Relationship Id="rId59" Type="http://schemas.openxmlformats.org/officeDocument/2006/relationships/hyperlink" Target="https://www.idigbio.org/content/idigbio-image-file-format-requirements-and-recommendations" TargetMode="External"/><Relationship Id="rId19" Type="http://schemas.openxmlformats.org/officeDocument/2006/relationships/hyperlink" Target="https://www.idigbio.org/content/idigbio-image-file-format-requirements-and-recommendations" TargetMode="External"/><Relationship Id="rId18" Type="http://schemas.openxmlformats.org/officeDocument/2006/relationships/hyperlink" Target="https://www.idigbio.org/content/idigbio-image-file-format-requirements-and-recommendations" TargetMode="External"/><Relationship Id="rId17" Type="http://schemas.openxmlformats.org/officeDocument/2006/relationships/hyperlink" Target="https://www.idigbio.org/content/idigbio-image-file-format-requirements-and-recommendations" TargetMode="External"/><Relationship Id="rId16" Type="http://schemas.openxmlformats.org/officeDocument/2006/relationships/hyperlink" Target="https://www.idigbio.org/content/idigbio-image-file-format-requirements-and-recommendations" TargetMode="External"/><Relationship Id="rId15" Type="http://schemas.openxmlformats.org/officeDocument/2006/relationships/hyperlink" Target="https://www.idigbio.org/content/idigbio-image-file-format-requirements-and-recommendations" TargetMode="External"/><Relationship Id="rId14" Type="http://schemas.openxmlformats.org/officeDocument/2006/relationships/hyperlink" Target="https://www.idigbio.org/content/idigbio-image-file-format-requirements-and-recommendations" TargetMode="External"/><Relationship Id="rId12" Type="http://schemas.openxmlformats.org/officeDocument/2006/relationships/hyperlink" Target="https://www.idigbio.org/content/idigbio-image-file-format-requirements-and-recommendations" TargetMode="External"/><Relationship Id="rId13" Type="http://schemas.openxmlformats.org/officeDocument/2006/relationships/hyperlink" Target="https://www.idigbio.org/content/idigbio-image-file-format-requirements-and-recommendations" TargetMode="External"/><Relationship Id="rId10" Type="http://schemas.openxmlformats.org/officeDocument/2006/relationships/hyperlink" Target="https://www.idigbio.org/content/idigbio-image-file-format-requirements-and-recommendations" TargetMode="External"/><Relationship Id="rId11" Type="http://schemas.openxmlformats.org/officeDocument/2006/relationships/hyperlink" Target="https://www.idigbio.org/content/idigbio-image-file-format-requirements-and-recommendations" TargetMode="External"/><Relationship Id="rId57" Type="http://schemas.openxmlformats.org/officeDocument/2006/relationships/hyperlink" Target="https://www.idigbio.org/content/idigbio-image-file-format-requirements-and-recommendations" TargetMode="External"/><Relationship Id="rId56" Type="http://schemas.openxmlformats.org/officeDocument/2006/relationships/hyperlink" Target="https://www.idigbio.org/content/idigbio-image-file-format-requirements-and-recommendations" TargetMode="External"/><Relationship Id="rId55" Type="http://schemas.openxmlformats.org/officeDocument/2006/relationships/hyperlink" Target="https://www.idigbio.org/content/idigbio-image-file-format-requirements-and-recommendations" TargetMode="External"/><Relationship Id="rId54" Type="http://schemas.openxmlformats.org/officeDocument/2006/relationships/hyperlink" Target="https://www.idigbio.org/content/idigbio-image-file-format-requirements-and-recommendations" TargetMode="External"/><Relationship Id="rId53" Type="http://schemas.openxmlformats.org/officeDocument/2006/relationships/hyperlink" Target="https://www.idigbio.org/content/idigbio-image-file-format-requirements-and-recommendations" TargetMode="External"/><Relationship Id="rId52" Type="http://schemas.openxmlformats.org/officeDocument/2006/relationships/hyperlink" Target="https://www.idigbio.org/content/idigbio-image-file-format-requirements-and-recommendations" TargetMode="External"/><Relationship Id="rId51" Type="http://schemas.openxmlformats.org/officeDocument/2006/relationships/hyperlink" Target="https://www.idigbio.org/content/idigbio-image-file-format-requirements-and-recommendations" TargetMode="External"/><Relationship Id="rId50" Type="http://schemas.openxmlformats.org/officeDocument/2006/relationships/hyperlink" Target="https://www.idigbio.org/content/idigbio-image-file-format-requirements-and-recommendations" TargetMode="External"/><Relationship Id="rId69" Type="http://schemas.openxmlformats.org/officeDocument/2006/relationships/hyperlink" Target="https://www.idigbio.org/content/idigbio-image-file-format-requirements-and-recommendations" TargetMode="External"/><Relationship Id="rId29" Type="http://schemas.openxmlformats.org/officeDocument/2006/relationships/hyperlink" Target="https://www.idigbio.org/content/idigbio-image-file-format-requirements-and-recommendations" TargetMode="External"/><Relationship Id="rId26" Type="http://schemas.openxmlformats.org/officeDocument/2006/relationships/hyperlink" Target="https://www.idigbio.org/content/idigbio-image-file-format-requirements-and-recommendations" TargetMode="External"/><Relationship Id="rId25" Type="http://schemas.openxmlformats.org/officeDocument/2006/relationships/hyperlink" Target="https://www.idigbio.org/content/idigbio-image-file-format-requirements-and-recommendations" TargetMode="External"/><Relationship Id="rId28" Type="http://schemas.openxmlformats.org/officeDocument/2006/relationships/hyperlink" Target="https://www.idigbio.org/content/idigbio-image-file-format-requirements-and-recommendations" TargetMode="External"/><Relationship Id="rId27" Type="http://schemas.openxmlformats.org/officeDocument/2006/relationships/hyperlink" Target="https://www.idigbio.org/content/idigbio-image-file-format-requirements-and-recommendations" TargetMode="External"/><Relationship Id="rId21" Type="http://schemas.openxmlformats.org/officeDocument/2006/relationships/hyperlink" Target="https://www.idigbio.org/content/idigbio-image-file-format-requirements-and-recommendations" TargetMode="External"/><Relationship Id="rId22" Type="http://schemas.openxmlformats.org/officeDocument/2006/relationships/hyperlink" Target="https://www.idigbio.org/content/idigbio-image-file-format-requirements-and-recommendations" TargetMode="External"/><Relationship Id="rId60" Type="http://schemas.openxmlformats.org/officeDocument/2006/relationships/hyperlink" Target="https://www.idigbio.org/content/idigbio-image-file-format-requirements-and-recommendations" TargetMode="External"/><Relationship Id="rId23" Type="http://schemas.openxmlformats.org/officeDocument/2006/relationships/hyperlink" Target="https://www.idigbio.org/content/idigbio-image-file-format-requirements-and-recommendations" TargetMode="External"/><Relationship Id="rId24" Type="http://schemas.openxmlformats.org/officeDocument/2006/relationships/hyperlink" Target="https://www.idigbio.org/content/idigbio-image-file-format-requirements-and-recommendations" TargetMode="External"/><Relationship Id="rId20" Type="http://schemas.openxmlformats.org/officeDocument/2006/relationships/hyperlink" Target="https://www.idigbio.org/content/idigbio-image-file-format-requirements-and-recommendations" TargetMode="External"/><Relationship Id="rId66" Type="http://schemas.openxmlformats.org/officeDocument/2006/relationships/hyperlink" Target="https://www.idigbio.org/content/idigbio-image-file-format-requirements-and-recommendations" TargetMode="External"/><Relationship Id="rId65" Type="http://schemas.openxmlformats.org/officeDocument/2006/relationships/hyperlink" Target="https://www.idigbio.org/content/idigbio-image-file-format-requirements-and-recommendations" TargetMode="External"/><Relationship Id="rId68" Type="http://schemas.openxmlformats.org/officeDocument/2006/relationships/hyperlink" Target="https://www.idigbio.org/content/idigbio-image-file-format-requirements-and-recommendations" TargetMode="External"/><Relationship Id="rId67" Type="http://schemas.openxmlformats.org/officeDocument/2006/relationships/hyperlink" Target="https://www.idigbio.org/content/idigbio-image-file-format-requirements-and-recommendations" TargetMode="External"/><Relationship Id="rId62" Type="http://schemas.openxmlformats.org/officeDocument/2006/relationships/hyperlink" Target="https://www.idigbio.org/content/idigbio-image-file-format-requirements-and-recommendations" TargetMode="External"/><Relationship Id="rId61" Type="http://schemas.openxmlformats.org/officeDocument/2006/relationships/hyperlink" Target="https://www.idigbio.org/content/idigbio-image-file-format-requirements-and-recommendations" TargetMode="External"/><Relationship Id="rId64" Type="http://schemas.openxmlformats.org/officeDocument/2006/relationships/hyperlink" Target="https://www.idigbio.org/content/idigbio-image-file-format-requirements-and-recommendations" TargetMode="External"/><Relationship Id="rId63" Type="http://schemas.openxmlformats.org/officeDocument/2006/relationships/hyperlink" Target="https://www.idigbio.org/content/idigbio-image-file-format-requirements-and-recommendations" TargetMode="External"/></Relationships>
</file>