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17A9D6" w14:textId="0FC4B7A3" w:rsidR="00B44111" w:rsidRDefault="00B44111">
      <w:pPr>
        <w:rPr>
          <w:b/>
          <w:sz w:val="24"/>
        </w:rPr>
      </w:pPr>
      <w:r>
        <w:rPr>
          <w:color w:val="auto"/>
        </w:rPr>
        <w:t xml:space="preserve">This workflow was developed at an iDigBio workshop in January 2015. The most recent version is available at </w:t>
      </w:r>
      <w:hyperlink r:id="rId7" w:tgtFrame="_blank" w:history="1">
        <w:r>
          <w:rPr>
            <w:rStyle w:val="Hyperlink"/>
          </w:rPr>
          <w:t>https://github.com/iDigBioWorkflows/FlatShee</w:t>
        </w:r>
        <w:bookmarkStart w:id="0" w:name="_GoBack"/>
        <w:bookmarkEnd w:id="0"/>
        <w:r>
          <w:rPr>
            <w:rStyle w:val="Hyperlink"/>
          </w:rPr>
          <w:t>t</w:t>
        </w:r>
        <w:r>
          <w:rPr>
            <w:rStyle w:val="Hyperlink"/>
          </w:rPr>
          <w:t>sDigitizat</w:t>
        </w:r>
        <w:r w:rsidR="00AD1449">
          <w:rPr>
            <w:rStyle w:val="Hyperlink"/>
          </w:rPr>
          <w:t>i</w:t>
        </w:r>
        <w:r>
          <w:rPr>
            <w:rStyle w:val="Hyperlink"/>
          </w:rPr>
          <w:t>onWorkflows</w:t>
        </w:r>
      </w:hyperlink>
      <w:r>
        <w:rPr>
          <w:color w:val="auto"/>
        </w:rPr>
        <w:t xml:space="preserve"> and </w:t>
      </w:r>
      <w:hyperlink r:id="rId8" w:tgtFrame="_blank" w:history="1">
        <w:r>
          <w:rPr>
            <w:rStyle w:val="Hyperlink"/>
          </w:rPr>
          <w:t>https://www.idigbio.org/content/workflow-modules-and-task-lists</w:t>
        </w:r>
      </w:hyperlink>
      <w:r>
        <w:rPr>
          <w:color w:val="auto"/>
        </w:rPr>
        <w:t>.</w:t>
      </w:r>
    </w:p>
    <w:p w14:paraId="26DB1A43" w14:textId="77777777" w:rsidR="00B44111" w:rsidRDefault="00B44111">
      <w:pPr>
        <w:rPr>
          <w:b/>
          <w:sz w:val="24"/>
        </w:rPr>
      </w:pPr>
    </w:p>
    <w:p w14:paraId="6B843238" w14:textId="7A3ABD3A" w:rsidR="00314316" w:rsidRDefault="00A568BA">
      <w:r>
        <w:rPr>
          <w:b/>
          <w:sz w:val="24"/>
        </w:rPr>
        <w:t xml:space="preserve">Appendix S10. </w:t>
      </w:r>
      <w:r w:rsidR="00617C90">
        <w:rPr>
          <w:b/>
          <w:sz w:val="24"/>
        </w:rPr>
        <w:t xml:space="preserve">Module 10: Selecting a </w:t>
      </w:r>
      <w:r w:rsidR="008F10C1">
        <w:rPr>
          <w:b/>
          <w:sz w:val="24"/>
        </w:rPr>
        <w:t>D</w:t>
      </w:r>
      <w:r w:rsidR="00617C90">
        <w:rPr>
          <w:b/>
          <w:sz w:val="24"/>
        </w:rPr>
        <w:t>atabase</w:t>
      </w:r>
    </w:p>
    <w:p w14:paraId="49876E2D" w14:textId="77777777" w:rsidR="00314316" w:rsidRDefault="00314316"/>
    <w:p w14:paraId="6B9A9A79" w14:textId="5C5C3BE0" w:rsidR="00314316" w:rsidRDefault="00617C90">
      <w:r>
        <w:t>Below we give a brief overview of some of the things to be considered when selecting a database to store your specimen occurrence records. For another excellent treatment of this topic</w:t>
      </w:r>
      <w:r w:rsidR="00880030">
        <w:t>,</w:t>
      </w:r>
      <w:r>
        <w:t xml:space="preserve"> see Chapter 6, </w:t>
      </w:r>
      <w:r w:rsidR="0060293C">
        <w:t>“</w:t>
      </w:r>
      <w:r>
        <w:t>Deciding on a particular database solution</w:t>
      </w:r>
      <w:r w:rsidR="0060293C">
        <w:t>”</w:t>
      </w:r>
      <w:r>
        <w:t xml:space="preserve"> in Frazier et al. (2008).</w:t>
      </w:r>
    </w:p>
    <w:p w14:paraId="252503E7" w14:textId="77777777" w:rsidR="00314316" w:rsidRDefault="00314316"/>
    <w:tbl>
      <w:tblPr>
        <w:tblStyle w:val="a"/>
        <w:tblW w:w="93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2"/>
        <w:gridCol w:w="2049"/>
        <w:gridCol w:w="4215"/>
        <w:gridCol w:w="2379"/>
      </w:tblGrid>
      <w:tr w:rsidR="00314316" w14:paraId="46EEB300" w14:textId="77777777" w:rsidTr="007409C2">
        <w:tc>
          <w:tcPr>
            <w:tcW w:w="720" w:type="dxa"/>
            <w:tcMar>
              <w:top w:w="100" w:type="dxa"/>
              <w:left w:w="100" w:type="dxa"/>
              <w:bottom w:w="100" w:type="dxa"/>
              <w:right w:w="100" w:type="dxa"/>
            </w:tcMar>
          </w:tcPr>
          <w:p w14:paraId="181376C8" w14:textId="77777777" w:rsidR="00314316" w:rsidRDefault="00617C90" w:rsidP="007409C2">
            <w:pPr>
              <w:widowControl w:val="0"/>
              <w:spacing w:line="240" w:lineRule="auto"/>
              <w:contextualSpacing w:val="0"/>
              <w:jc w:val="center"/>
            </w:pPr>
            <w:r>
              <w:rPr>
                <w:b/>
              </w:rPr>
              <w:t>Task ID</w:t>
            </w:r>
          </w:p>
        </w:tc>
        <w:tc>
          <w:tcPr>
            <w:tcW w:w="2016" w:type="dxa"/>
            <w:tcMar>
              <w:top w:w="100" w:type="dxa"/>
              <w:left w:w="100" w:type="dxa"/>
              <w:bottom w:w="100" w:type="dxa"/>
              <w:right w:w="100" w:type="dxa"/>
            </w:tcMar>
          </w:tcPr>
          <w:p w14:paraId="3DC0A388" w14:textId="77777777" w:rsidR="00314316" w:rsidRDefault="00617C90">
            <w:pPr>
              <w:widowControl w:val="0"/>
              <w:spacing w:line="240" w:lineRule="auto"/>
              <w:contextualSpacing w:val="0"/>
            </w:pPr>
            <w:r>
              <w:rPr>
                <w:b/>
              </w:rPr>
              <w:t>Task Description</w:t>
            </w:r>
          </w:p>
        </w:tc>
        <w:tc>
          <w:tcPr>
            <w:tcW w:w="4147" w:type="dxa"/>
            <w:tcMar>
              <w:top w:w="100" w:type="dxa"/>
              <w:left w:w="100" w:type="dxa"/>
              <w:bottom w:w="100" w:type="dxa"/>
              <w:right w:w="100" w:type="dxa"/>
            </w:tcMar>
          </w:tcPr>
          <w:p w14:paraId="224E802F" w14:textId="77777777" w:rsidR="00314316" w:rsidRDefault="00617C90">
            <w:pPr>
              <w:widowControl w:val="0"/>
              <w:spacing w:line="240" w:lineRule="auto"/>
              <w:contextualSpacing w:val="0"/>
            </w:pPr>
            <w:r>
              <w:rPr>
                <w:b/>
              </w:rPr>
              <w:t>Explanations and Comments</w:t>
            </w:r>
          </w:p>
        </w:tc>
        <w:tc>
          <w:tcPr>
            <w:tcW w:w="2340" w:type="dxa"/>
            <w:tcMar>
              <w:top w:w="100" w:type="dxa"/>
              <w:left w:w="100" w:type="dxa"/>
              <w:bottom w:w="100" w:type="dxa"/>
              <w:right w:w="100" w:type="dxa"/>
            </w:tcMar>
          </w:tcPr>
          <w:p w14:paraId="38985481" w14:textId="77777777" w:rsidR="00314316" w:rsidRDefault="00617C90">
            <w:pPr>
              <w:widowControl w:val="0"/>
              <w:spacing w:line="240" w:lineRule="auto"/>
              <w:contextualSpacing w:val="0"/>
            </w:pPr>
            <w:r>
              <w:rPr>
                <w:b/>
              </w:rPr>
              <w:t>Resources</w:t>
            </w:r>
          </w:p>
        </w:tc>
      </w:tr>
      <w:tr w:rsidR="00314316" w14:paraId="3E2E9C50" w14:textId="77777777" w:rsidTr="007409C2">
        <w:tc>
          <w:tcPr>
            <w:tcW w:w="720" w:type="dxa"/>
            <w:tcMar>
              <w:top w:w="100" w:type="dxa"/>
              <w:left w:w="100" w:type="dxa"/>
              <w:bottom w:w="100" w:type="dxa"/>
              <w:right w:w="100" w:type="dxa"/>
            </w:tcMar>
          </w:tcPr>
          <w:p w14:paraId="4E55F48B" w14:textId="77777777" w:rsidR="00314316" w:rsidRDefault="00617C90">
            <w:pPr>
              <w:widowControl w:val="0"/>
              <w:spacing w:line="240" w:lineRule="auto"/>
              <w:contextualSpacing w:val="0"/>
            </w:pPr>
            <w:r>
              <w:rPr>
                <w:b/>
              </w:rPr>
              <w:t>T1</w:t>
            </w:r>
          </w:p>
        </w:tc>
        <w:tc>
          <w:tcPr>
            <w:tcW w:w="2016" w:type="dxa"/>
            <w:tcMar>
              <w:top w:w="100" w:type="dxa"/>
              <w:left w:w="100" w:type="dxa"/>
              <w:bottom w:w="100" w:type="dxa"/>
              <w:right w:w="100" w:type="dxa"/>
            </w:tcMar>
          </w:tcPr>
          <w:p w14:paraId="529367C4" w14:textId="77777777" w:rsidR="00314316" w:rsidRDefault="00617C90">
            <w:pPr>
              <w:widowControl w:val="0"/>
              <w:spacing w:line="240" w:lineRule="auto"/>
              <w:contextualSpacing w:val="0"/>
            </w:pPr>
            <w:r>
              <w:t>Assess institutional need, goals, and policies.</w:t>
            </w:r>
          </w:p>
        </w:tc>
        <w:tc>
          <w:tcPr>
            <w:tcW w:w="4147" w:type="dxa"/>
            <w:tcMar>
              <w:top w:w="100" w:type="dxa"/>
              <w:left w:w="100" w:type="dxa"/>
              <w:bottom w:w="100" w:type="dxa"/>
              <w:right w:w="100" w:type="dxa"/>
            </w:tcMar>
          </w:tcPr>
          <w:p w14:paraId="7C0099EC" w14:textId="5E576DB5" w:rsidR="00314316" w:rsidRDefault="00617C90" w:rsidP="00E2370B">
            <w:pPr>
              <w:widowControl w:val="0"/>
              <w:spacing w:line="240" w:lineRule="auto"/>
              <w:contextualSpacing w:val="0"/>
            </w:pPr>
            <w:r>
              <w:t xml:space="preserve">This task is paramount. The subsequent tasks can only be properly undertaken after a thorough understanding of your institutional needs, goals, and policies is achieved. This assessment should take into account future needs, in addition to present/short-term needs. </w:t>
            </w:r>
            <w:r w:rsidR="00E2370B">
              <w:t>Subsequent tasks provide guidance for acquiring the kinds of knowledge needed to</w:t>
            </w:r>
            <w:r>
              <w:t xml:space="preserve"> make further assessments.</w:t>
            </w:r>
          </w:p>
        </w:tc>
        <w:tc>
          <w:tcPr>
            <w:tcW w:w="2340" w:type="dxa"/>
            <w:tcMar>
              <w:top w:w="100" w:type="dxa"/>
              <w:left w:w="100" w:type="dxa"/>
              <w:bottom w:w="100" w:type="dxa"/>
              <w:right w:w="100" w:type="dxa"/>
            </w:tcMar>
          </w:tcPr>
          <w:p w14:paraId="3E1DFD21" w14:textId="316337C0" w:rsidR="00314316" w:rsidRDefault="00617C90">
            <w:pPr>
              <w:widowControl w:val="0"/>
              <w:spacing w:line="240" w:lineRule="auto"/>
              <w:contextualSpacing w:val="0"/>
            </w:pPr>
            <w:r>
              <w:t xml:space="preserve">See Frazier et </w:t>
            </w:r>
            <w:r w:rsidR="00907F8B">
              <w:t>a</w:t>
            </w:r>
            <w:r>
              <w:t>l</w:t>
            </w:r>
            <w:r w:rsidR="00907F8B">
              <w:t xml:space="preserve">. </w:t>
            </w:r>
            <w:r w:rsidR="007C4CA4">
              <w:t xml:space="preserve"> </w:t>
            </w:r>
            <w:r w:rsidR="00436B6F">
              <w:t>(</w:t>
            </w:r>
            <w:r w:rsidR="007C4CA4">
              <w:t>2008</w:t>
            </w:r>
            <w:r w:rsidR="00436B6F">
              <w:t>)</w:t>
            </w:r>
            <w:r w:rsidR="00907F8B">
              <w:t>.</w:t>
            </w:r>
            <w:r>
              <w:t xml:space="preserve"> </w:t>
            </w:r>
            <w:hyperlink r:id="rId9">
              <w:r>
                <w:rPr>
                  <w:color w:val="1155CC"/>
                  <w:u w:val="single"/>
                </w:rPr>
                <w:t>http://www.gbif.org/resource/80574</w:t>
              </w:r>
            </w:hyperlink>
          </w:p>
          <w:p w14:paraId="1F84A159" w14:textId="77777777" w:rsidR="00314316" w:rsidRDefault="00314316">
            <w:pPr>
              <w:widowControl w:val="0"/>
              <w:spacing w:line="240" w:lineRule="auto"/>
              <w:contextualSpacing w:val="0"/>
            </w:pPr>
          </w:p>
        </w:tc>
      </w:tr>
      <w:tr w:rsidR="00314316" w14:paraId="2C9B99C5" w14:textId="77777777" w:rsidTr="007409C2">
        <w:tc>
          <w:tcPr>
            <w:tcW w:w="720" w:type="dxa"/>
            <w:tcMar>
              <w:top w:w="100" w:type="dxa"/>
              <w:left w:w="100" w:type="dxa"/>
              <w:bottom w:w="100" w:type="dxa"/>
              <w:right w:w="100" w:type="dxa"/>
            </w:tcMar>
          </w:tcPr>
          <w:p w14:paraId="1D2F7FC2" w14:textId="77777777" w:rsidR="00314316" w:rsidRDefault="00617C90">
            <w:pPr>
              <w:widowControl w:val="0"/>
              <w:spacing w:line="240" w:lineRule="auto"/>
              <w:contextualSpacing w:val="0"/>
            </w:pPr>
            <w:r>
              <w:rPr>
                <w:b/>
              </w:rPr>
              <w:t>T2</w:t>
            </w:r>
          </w:p>
        </w:tc>
        <w:tc>
          <w:tcPr>
            <w:tcW w:w="2016" w:type="dxa"/>
            <w:tcMar>
              <w:top w:w="100" w:type="dxa"/>
              <w:left w:w="100" w:type="dxa"/>
              <w:bottom w:w="100" w:type="dxa"/>
              <w:right w:w="100" w:type="dxa"/>
            </w:tcMar>
          </w:tcPr>
          <w:p w14:paraId="4244EF06" w14:textId="77777777" w:rsidR="00314316" w:rsidRDefault="00617C90">
            <w:pPr>
              <w:widowControl w:val="0"/>
              <w:spacing w:line="240" w:lineRule="auto"/>
              <w:contextualSpacing w:val="0"/>
            </w:pPr>
            <w:r>
              <w:t>Assess institutional IT support, including local computer resources.</w:t>
            </w:r>
          </w:p>
        </w:tc>
        <w:tc>
          <w:tcPr>
            <w:tcW w:w="4147" w:type="dxa"/>
            <w:tcMar>
              <w:top w:w="100" w:type="dxa"/>
              <w:left w:w="100" w:type="dxa"/>
              <w:bottom w:w="100" w:type="dxa"/>
              <w:right w:w="100" w:type="dxa"/>
            </w:tcMar>
          </w:tcPr>
          <w:p w14:paraId="69927FD6" w14:textId="5971E47A" w:rsidR="00314316" w:rsidRDefault="00617C90">
            <w:pPr>
              <w:widowControl w:val="0"/>
              <w:spacing w:line="240" w:lineRule="auto"/>
              <w:contextualSpacing w:val="0"/>
            </w:pPr>
            <w:r>
              <w:t xml:space="preserve">If </w:t>
            </w:r>
            <w:r w:rsidR="00E2370B">
              <w:t>IT support is limited or lacking, options may be limited, to</w:t>
            </w:r>
            <w:r>
              <w:t xml:space="preserve"> include inexpensive commercial packages or open-source solutions that can be implemented with little need for customization and configuration. Web-based solutions that are maintained by the community (e.g.</w:t>
            </w:r>
            <w:r w:rsidR="00880030">
              <w:t>,</w:t>
            </w:r>
            <w:r>
              <w:t xml:space="preserve"> a Symbiota node within a regional portal) are another increasingly popular possibility.</w:t>
            </w:r>
          </w:p>
          <w:p w14:paraId="343F1999" w14:textId="77777777" w:rsidR="00314316" w:rsidRDefault="00314316">
            <w:pPr>
              <w:widowControl w:val="0"/>
              <w:spacing w:line="240" w:lineRule="auto"/>
              <w:contextualSpacing w:val="0"/>
            </w:pPr>
          </w:p>
          <w:p w14:paraId="73C5C8C9" w14:textId="18D2238D" w:rsidR="00314316" w:rsidRDefault="00617C90">
            <w:pPr>
              <w:widowControl w:val="0"/>
              <w:spacing w:line="240" w:lineRule="auto"/>
              <w:contextualSpacing w:val="0"/>
            </w:pPr>
            <w:r>
              <w:t>Excel spreadsheets</w:t>
            </w:r>
            <w:r w:rsidR="00E2370B">
              <w:t>,</w:t>
            </w:r>
            <w:r>
              <w:t xml:space="preserve"> Access,</w:t>
            </w:r>
            <w:r w:rsidR="00E2370B">
              <w:t xml:space="preserve"> and</w:t>
            </w:r>
            <w:r>
              <w:t xml:space="preserve"> Filemaker Pro databases, etc. are relatively inexpensive and easy to use, but still require design and configuration and may be prone to corruption of data.</w:t>
            </w:r>
          </w:p>
          <w:p w14:paraId="05B4CECB" w14:textId="1CAA3567" w:rsidR="00314316" w:rsidRDefault="00617C90" w:rsidP="000A21A6">
            <w:pPr>
              <w:widowControl w:val="0"/>
              <w:spacing w:line="240" w:lineRule="auto"/>
              <w:contextualSpacing w:val="0"/>
            </w:pPr>
            <w:r>
              <w:rPr>
                <w:highlight w:val="yellow"/>
              </w:rPr>
              <w:t xml:space="preserve"> </w:t>
            </w:r>
            <w:r>
              <w:br/>
            </w:r>
            <w:r w:rsidR="000A21A6">
              <w:t>With</w:t>
            </w:r>
            <w:r>
              <w:t xml:space="preserve"> ample IT resources and time, </w:t>
            </w:r>
            <w:r w:rsidR="000A21A6">
              <w:t>customization of existing open-source solutions or creation of custom solutions is possible.</w:t>
            </w:r>
            <w:r>
              <w:t xml:space="preserve"> See Morris (2005) for a discussion of some of the issues and considerations.  </w:t>
            </w:r>
          </w:p>
        </w:tc>
        <w:tc>
          <w:tcPr>
            <w:tcW w:w="2340" w:type="dxa"/>
            <w:tcMar>
              <w:top w:w="100" w:type="dxa"/>
              <w:left w:w="100" w:type="dxa"/>
              <w:bottom w:w="100" w:type="dxa"/>
              <w:right w:w="100" w:type="dxa"/>
            </w:tcMar>
          </w:tcPr>
          <w:p w14:paraId="046DFA52" w14:textId="77777777" w:rsidR="00314316" w:rsidRDefault="00617C90">
            <w:pPr>
              <w:widowControl w:val="0"/>
              <w:spacing w:line="240" w:lineRule="auto"/>
              <w:contextualSpacing w:val="0"/>
            </w:pPr>
            <w:r>
              <w:t xml:space="preserve">Symbiota: </w:t>
            </w:r>
            <w:hyperlink r:id="rId10">
              <w:r>
                <w:rPr>
                  <w:color w:val="1155CC"/>
                  <w:u w:val="single"/>
                </w:rPr>
                <w:t>http://symbiota.org/</w:t>
              </w:r>
            </w:hyperlink>
            <w:r>
              <w:t>.</w:t>
            </w:r>
          </w:p>
          <w:p w14:paraId="0A28D497" w14:textId="77777777" w:rsidR="00314316" w:rsidRDefault="00314316">
            <w:pPr>
              <w:widowControl w:val="0"/>
              <w:spacing w:line="240" w:lineRule="auto"/>
              <w:contextualSpacing w:val="0"/>
            </w:pPr>
          </w:p>
          <w:p w14:paraId="5B704C31" w14:textId="77777777" w:rsidR="00314316" w:rsidRDefault="00617C90">
            <w:pPr>
              <w:widowControl w:val="0"/>
              <w:spacing w:line="240" w:lineRule="auto"/>
              <w:contextualSpacing w:val="0"/>
            </w:pPr>
            <w:r>
              <w:t xml:space="preserve">Specify: </w:t>
            </w:r>
            <w:hyperlink r:id="rId11">
              <w:r>
                <w:rPr>
                  <w:color w:val="1155CC"/>
                  <w:u w:val="single"/>
                </w:rPr>
                <w:t>http://specifyx.specifysoftware.org/</w:t>
              </w:r>
            </w:hyperlink>
            <w:r>
              <w:t>.</w:t>
            </w:r>
          </w:p>
          <w:p w14:paraId="7E27DB80" w14:textId="77777777" w:rsidR="00314316" w:rsidRDefault="00314316">
            <w:pPr>
              <w:widowControl w:val="0"/>
              <w:spacing w:line="240" w:lineRule="auto"/>
              <w:contextualSpacing w:val="0"/>
            </w:pPr>
          </w:p>
          <w:p w14:paraId="5A1CA653" w14:textId="5383FBD2" w:rsidR="00314316" w:rsidRDefault="00617C90">
            <w:pPr>
              <w:widowControl w:val="0"/>
              <w:spacing w:line="240" w:lineRule="auto"/>
              <w:contextualSpacing w:val="0"/>
            </w:pPr>
            <w:r>
              <w:t>See: Morris</w:t>
            </w:r>
            <w:r w:rsidR="00436B6F">
              <w:t xml:space="preserve"> (</w:t>
            </w:r>
            <w:r>
              <w:t>2005</w:t>
            </w:r>
            <w:r w:rsidR="00436B6F">
              <w:t>)</w:t>
            </w:r>
            <w:r w:rsidR="00770F66">
              <w:t xml:space="preserve">.  </w:t>
            </w:r>
            <w:r>
              <w:t xml:space="preserve"> </w:t>
            </w:r>
          </w:p>
          <w:p w14:paraId="18259C7D" w14:textId="2495E8BC" w:rsidR="00314316" w:rsidRDefault="00AD1449">
            <w:pPr>
              <w:widowControl w:val="0"/>
              <w:spacing w:line="240" w:lineRule="auto"/>
              <w:contextualSpacing w:val="0"/>
            </w:pPr>
            <w:hyperlink r:id="rId12">
              <w:r w:rsidR="00617C90">
                <w:rPr>
                  <w:color w:val="1155CC"/>
                  <w:u w:val="single"/>
                </w:rPr>
                <w:t>http://citeseerx.ist.psu.edu/viewdoc/download?doi=10.1.1.113.2339&amp;rep=rep1&amp;type=pdf</w:t>
              </w:r>
            </w:hyperlink>
            <w:r w:rsidR="00617C90">
              <w:t>.</w:t>
            </w:r>
            <w:r w:rsidR="007C4CA4">
              <w:t xml:space="preserve"> or: </w:t>
            </w:r>
            <w:hyperlink r:id="rId13" w:history="1">
              <w:r w:rsidR="007C4CA4" w:rsidRPr="006F7162">
                <w:rPr>
                  <w:rStyle w:val="Hyperlink"/>
                </w:rPr>
                <w:t>http://systbio.org/files/phyloinformatics/7.pdf</w:t>
              </w:r>
            </w:hyperlink>
          </w:p>
          <w:p w14:paraId="75F1352F" w14:textId="77777777" w:rsidR="00314316" w:rsidRDefault="00314316">
            <w:pPr>
              <w:widowControl w:val="0"/>
              <w:spacing w:line="240" w:lineRule="auto"/>
              <w:contextualSpacing w:val="0"/>
            </w:pPr>
          </w:p>
          <w:p w14:paraId="41923ABE" w14:textId="77777777" w:rsidR="00314316" w:rsidRDefault="00617C90">
            <w:pPr>
              <w:widowControl w:val="0"/>
              <w:spacing w:line="240" w:lineRule="auto"/>
              <w:contextualSpacing w:val="0"/>
            </w:pPr>
            <w:r>
              <w:t>Commercial or other biodiversity database systems for cost include:</w:t>
            </w:r>
          </w:p>
          <w:p w14:paraId="21E46FCE" w14:textId="77777777" w:rsidR="00314316" w:rsidRDefault="00AD1449">
            <w:pPr>
              <w:widowControl w:val="0"/>
              <w:spacing w:line="240" w:lineRule="auto"/>
              <w:contextualSpacing w:val="0"/>
            </w:pPr>
            <w:hyperlink r:id="rId14">
              <w:r w:rsidR="00617C90">
                <w:rPr>
                  <w:color w:val="1155CC"/>
                  <w:u w:val="single"/>
                </w:rPr>
                <w:t>Arctos</w:t>
              </w:r>
            </w:hyperlink>
          </w:p>
          <w:p w14:paraId="53A1F113" w14:textId="77777777" w:rsidR="00314316" w:rsidRDefault="00AD1449">
            <w:pPr>
              <w:widowControl w:val="0"/>
              <w:spacing w:line="240" w:lineRule="auto"/>
              <w:contextualSpacing w:val="0"/>
            </w:pPr>
            <w:hyperlink r:id="rId15">
              <w:r w:rsidR="00617C90">
                <w:rPr>
                  <w:color w:val="1155CC"/>
                  <w:u w:val="single"/>
                </w:rPr>
                <w:t>EMu</w:t>
              </w:r>
            </w:hyperlink>
          </w:p>
          <w:p w14:paraId="06AA4B6F" w14:textId="77777777" w:rsidR="00314316" w:rsidRDefault="00AD1449">
            <w:pPr>
              <w:widowControl w:val="0"/>
              <w:spacing w:line="240" w:lineRule="auto"/>
              <w:contextualSpacing w:val="0"/>
            </w:pPr>
            <w:hyperlink r:id="rId16">
              <w:r w:rsidR="00617C90">
                <w:rPr>
                  <w:color w:val="1155CC"/>
                  <w:u w:val="single"/>
                </w:rPr>
                <w:t>PastPerfect</w:t>
              </w:r>
            </w:hyperlink>
          </w:p>
          <w:p w14:paraId="3A3A65FF" w14:textId="77777777" w:rsidR="00314316" w:rsidRDefault="00314316">
            <w:pPr>
              <w:widowControl w:val="0"/>
              <w:spacing w:line="240" w:lineRule="auto"/>
              <w:contextualSpacing w:val="0"/>
            </w:pPr>
          </w:p>
          <w:p w14:paraId="3F3D4562" w14:textId="57045C31" w:rsidR="00916E8B" w:rsidRDefault="00617C90">
            <w:pPr>
              <w:widowControl w:val="0"/>
              <w:spacing w:line="240" w:lineRule="auto"/>
              <w:contextualSpacing w:val="0"/>
            </w:pPr>
            <w:r>
              <w:lastRenderedPageBreak/>
              <w:t xml:space="preserve">Reviews for these and others are at </w:t>
            </w:r>
            <w:hyperlink r:id="rId17">
              <w:r>
                <w:rPr>
                  <w:color w:val="1155CC"/>
                  <w:u w:val="single"/>
                </w:rPr>
                <w:t>https://www.idigbio.org/content/biological-collections-databases</w:t>
              </w:r>
            </w:hyperlink>
            <w:r>
              <w:t>.</w:t>
            </w:r>
          </w:p>
        </w:tc>
      </w:tr>
      <w:tr w:rsidR="00314316" w14:paraId="354FA35E" w14:textId="77777777" w:rsidTr="007409C2">
        <w:tc>
          <w:tcPr>
            <w:tcW w:w="720" w:type="dxa"/>
            <w:tcMar>
              <w:top w:w="100" w:type="dxa"/>
              <w:left w:w="100" w:type="dxa"/>
              <w:bottom w:w="100" w:type="dxa"/>
              <w:right w:w="100" w:type="dxa"/>
            </w:tcMar>
          </w:tcPr>
          <w:p w14:paraId="6866D3E2" w14:textId="77777777" w:rsidR="00314316" w:rsidRDefault="00617C90">
            <w:pPr>
              <w:widowControl w:val="0"/>
              <w:spacing w:line="240" w:lineRule="auto"/>
              <w:contextualSpacing w:val="0"/>
            </w:pPr>
            <w:r>
              <w:rPr>
                <w:b/>
              </w:rPr>
              <w:lastRenderedPageBreak/>
              <w:t>T3</w:t>
            </w:r>
          </w:p>
        </w:tc>
        <w:tc>
          <w:tcPr>
            <w:tcW w:w="2016" w:type="dxa"/>
            <w:tcMar>
              <w:top w:w="100" w:type="dxa"/>
              <w:left w:w="100" w:type="dxa"/>
              <w:bottom w:w="100" w:type="dxa"/>
              <w:right w:w="100" w:type="dxa"/>
            </w:tcMar>
          </w:tcPr>
          <w:p w14:paraId="4BDB8395" w14:textId="3FE79511" w:rsidR="00314316" w:rsidRDefault="00617C90">
            <w:pPr>
              <w:widowControl w:val="0"/>
              <w:spacing w:line="240" w:lineRule="auto"/>
              <w:contextualSpacing w:val="0"/>
            </w:pPr>
            <w:r>
              <w:t xml:space="preserve">Assess </w:t>
            </w:r>
            <w:r w:rsidR="00E2370B">
              <w:t>collection</w:t>
            </w:r>
            <w:r>
              <w:t xml:space="preserve"> size.</w:t>
            </w:r>
          </w:p>
        </w:tc>
        <w:tc>
          <w:tcPr>
            <w:tcW w:w="4147" w:type="dxa"/>
            <w:tcMar>
              <w:top w:w="100" w:type="dxa"/>
              <w:left w:w="100" w:type="dxa"/>
              <w:bottom w:w="100" w:type="dxa"/>
              <w:right w:w="100" w:type="dxa"/>
            </w:tcMar>
          </w:tcPr>
          <w:p w14:paraId="3F53B5FC" w14:textId="02933294" w:rsidR="00314316" w:rsidRDefault="00E2370B">
            <w:pPr>
              <w:widowControl w:val="0"/>
              <w:spacing w:line="240" w:lineRule="auto"/>
              <w:contextualSpacing w:val="0"/>
            </w:pPr>
            <w:r>
              <w:t>If digitizing a small collection</w:t>
            </w:r>
            <w:r w:rsidR="00617C90">
              <w:t xml:space="preserve"> (100s or a few 1000s of records), it may not be worth the time and money to implement a complex and highly customized database. </w:t>
            </w:r>
          </w:p>
          <w:p w14:paraId="097949A2" w14:textId="77777777" w:rsidR="00314316" w:rsidRDefault="00314316">
            <w:pPr>
              <w:widowControl w:val="0"/>
              <w:spacing w:line="240" w:lineRule="auto"/>
              <w:contextualSpacing w:val="0"/>
            </w:pPr>
          </w:p>
          <w:p w14:paraId="0D0A9177" w14:textId="129DB219" w:rsidR="00314316" w:rsidRDefault="00E2370B" w:rsidP="00E2370B">
            <w:pPr>
              <w:widowControl w:val="0"/>
              <w:spacing w:line="240" w:lineRule="auto"/>
              <w:contextualSpacing w:val="0"/>
            </w:pPr>
            <w:r>
              <w:t xml:space="preserve">For </w:t>
            </w:r>
            <w:r w:rsidR="00617C90">
              <w:t>a very large collection, some solutions may not be able to hold all records or provide a</w:t>
            </w:r>
            <w:r w:rsidR="003119E5">
              <w:t>n</w:t>
            </w:r>
            <w:r w:rsidR="00617C90">
              <w:t xml:space="preserve"> effective means of querying data.</w:t>
            </w:r>
          </w:p>
        </w:tc>
        <w:tc>
          <w:tcPr>
            <w:tcW w:w="2340" w:type="dxa"/>
            <w:tcMar>
              <w:top w:w="100" w:type="dxa"/>
              <w:left w:w="100" w:type="dxa"/>
              <w:bottom w:w="100" w:type="dxa"/>
              <w:right w:w="100" w:type="dxa"/>
            </w:tcMar>
          </w:tcPr>
          <w:p w14:paraId="697B2BE3" w14:textId="77777777" w:rsidR="00314316" w:rsidRDefault="00314316">
            <w:pPr>
              <w:widowControl w:val="0"/>
              <w:spacing w:line="240" w:lineRule="auto"/>
              <w:contextualSpacing w:val="0"/>
            </w:pPr>
          </w:p>
        </w:tc>
      </w:tr>
      <w:tr w:rsidR="00314316" w14:paraId="6484B40D" w14:textId="77777777" w:rsidTr="007409C2">
        <w:tc>
          <w:tcPr>
            <w:tcW w:w="720" w:type="dxa"/>
            <w:tcMar>
              <w:top w:w="100" w:type="dxa"/>
              <w:left w:w="100" w:type="dxa"/>
              <w:bottom w:w="100" w:type="dxa"/>
              <w:right w:w="100" w:type="dxa"/>
            </w:tcMar>
          </w:tcPr>
          <w:p w14:paraId="4B3B294F" w14:textId="77777777" w:rsidR="00314316" w:rsidRDefault="00617C90">
            <w:pPr>
              <w:widowControl w:val="0"/>
              <w:spacing w:line="240" w:lineRule="auto"/>
              <w:contextualSpacing w:val="0"/>
            </w:pPr>
            <w:r>
              <w:rPr>
                <w:b/>
              </w:rPr>
              <w:t>T4</w:t>
            </w:r>
          </w:p>
        </w:tc>
        <w:tc>
          <w:tcPr>
            <w:tcW w:w="2016" w:type="dxa"/>
            <w:tcMar>
              <w:top w:w="100" w:type="dxa"/>
              <w:left w:w="100" w:type="dxa"/>
              <w:bottom w:w="100" w:type="dxa"/>
              <w:right w:w="100" w:type="dxa"/>
            </w:tcMar>
          </w:tcPr>
          <w:p w14:paraId="37ACA593" w14:textId="445430E6" w:rsidR="00314316" w:rsidRDefault="00617C90" w:rsidP="000D72E7">
            <w:pPr>
              <w:widowControl w:val="0"/>
              <w:spacing w:line="240" w:lineRule="auto"/>
              <w:contextualSpacing w:val="0"/>
            </w:pPr>
            <w:r>
              <w:t>Assess</w:t>
            </w:r>
            <w:r w:rsidR="000D72E7">
              <w:t xml:space="preserve"> the existence and format of</w:t>
            </w:r>
            <w:r>
              <w:t xml:space="preserve"> legacy data.</w:t>
            </w:r>
          </w:p>
        </w:tc>
        <w:tc>
          <w:tcPr>
            <w:tcW w:w="4147" w:type="dxa"/>
            <w:tcMar>
              <w:top w:w="100" w:type="dxa"/>
              <w:left w:w="100" w:type="dxa"/>
              <w:bottom w:w="100" w:type="dxa"/>
              <w:right w:w="100" w:type="dxa"/>
            </w:tcMar>
          </w:tcPr>
          <w:p w14:paraId="7558C520" w14:textId="14505DF0" w:rsidR="00314316" w:rsidRDefault="00E2370B">
            <w:pPr>
              <w:widowControl w:val="0"/>
              <w:spacing w:line="240" w:lineRule="auto"/>
              <w:contextualSpacing w:val="0"/>
            </w:pPr>
            <w:r>
              <w:t>L</w:t>
            </w:r>
            <w:r w:rsidR="00617C90">
              <w:t xml:space="preserve">egacy data </w:t>
            </w:r>
            <w:r>
              <w:t>may</w:t>
            </w:r>
            <w:r w:rsidR="00617C90">
              <w:t xml:space="preserve"> need to be imported into </w:t>
            </w:r>
            <w:r>
              <w:t>a</w:t>
            </w:r>
            <w:r w:rsidR="00617C90">
              <w:t xml:space="preserve"> new database solution. The ease of mapping data between the old and new system will vary depending on the structure of the old data and the new database model. An understanding of the Darwin Core terms can facilitate this process.</w:t>
            </w:r>
          </w:p>
          <w:p w14:paraId="698F5CD3" w14:textId="77777777" w:rsidR="00314316" w:rsidRDefault="00314316">
            <w:pPr>
              <w:widowControl w:val="0"/>
              <w:spacing w:line="240" w:lineRule="auto"/>
              <w:contextualSpacing w:val="0"/>
            </w:pPr>
          </w:p>
          <w:p w14:paraId="3BE902C3" w14:textId="465E9784" w:rsidR="00314316" w:rsidRDefault="00617C90" w:rsidP="00880030">
            <w:pPr>
              <w:widowControl w:val="0"/>
              <w:spacing w:line="240" w:lineRule="auto"/>
              <w:contextualSpacing w:val="0"/>
            </w:pPr>
            <w:r>
              <w:t xml:space="preserve">Also consider the formats in which </w:t>
            </w:r>
            <w:r w:rsidR="00B060DD">
              <w:t>data</w:t>
            </w:r>
            <w:r>
              <w:t xml:space="preserve"> can </w:t>
            </w:r>
            <w:r w:rsidR="00B060DD">
              <w:t xml:space="preserve">be </w:t>
            </w:r>
            <w:r>
              <w:t>export</w:t>
            </w:r>
            <w:r w:rsidR="00B060DD">
              <w:t>ed</w:t>
            </w:r>
            <w:r>
              <w:t xml:space="preserve"> from </w:t>
            </w:r>
            <w:r w:rsidR="008F10C1">
              <w:t xml:space="preserve">the </w:t>
            </w:r>
            <w:r>
              <w:t xml:space="preserve">old database and the import formats recognized by the new database. If </w:t>
            </w:r>
            <w:r w:rsidR="00B060DD">
              <w:t xml:space="preserve">using </w:t>
            </w:r>
            <w:r>
              <w:t xml:space="preserve">a commercial solution, </w:t>
            </w:r>
            <w:r w:rsidR="008F10C1">
              <w:t xml:space="preserve">then </w:t>
            </w:r>
            <w:r>
              <w:t>the vendor may be able to assist you in the process of database migration.</w:t>
            </w:r>
          </w:p>
        </w:tc>
        <w:tc>
          <w:tcPr>
            <w:tcW w:w="2340" w:type="dxa"/>
            <w:tcMar>
              <w:top w:w="100" w:type="dxa"/>
              <w:left w:w="100" w:type="dxa"/>
              <w:bottom w:w="100" w:type="dxa"/>
              <w:right w:w="100" w:type="dxa"/>
            </w:tcMar>
          </w:tcPr>
          <w:p w14:paraId="751BD332" w14:textId="77777777" w:rsidR="00314316" w:rsidRDefault="00617C90">
            <w:pPr>
              <w:widowControl w:val="0"/>
              <w:spacing w:line="240" w:lineRule="auto"/>
              <w:contextualSpacing w:val="0"/>
            </w:pPr>
            <w:r>
              <w:t xml:space="preserve">See: Darwin Core standard: </w:t>
            </w:r>
            <w:hyperlink r:id="rId18">
              <w:r>
                <w:rPr>
                  <w:color w:val="1155CC"/>
                  <w:u w:val="single"/>
                </w:rPr>
                <w:t>http://rs.tdwg.org/dwc/terms/index.htm#</w:t>
              </w:r>
            </w:hyperlink>
            <w:r>
              <w:t>.</w:t>
            </w:r>
          </w:p>
          <w:p w14:paraId="478215A2" w14:textId="77777777" w:rsidR="00314316" w:rsidRDefault="00314316">
            <w:pPr>
              <w:widowControl w:val="0"/>
              <w:spacing w:line="240" w:lineRule="auto"/>
              <w:contextualSpacing w:val="0"/>
            </w:pPr>
          </w:p>
        </w:tc>
      </w:tr>
      <w:tr w:rsidR="00314316" w14:paraId="427C9531" w14:textId="77777777" w:rsidTr="007409C2">
        <w:tc>
          <w:tcPr>
            <w:tcW w:w="720" w:type="dxa"/>
            <w:tcMar>
              <w:top w:w="100" w:type="dxa"/>
              <w:left w:w="100" w:type="dxa"/>
              <w:bottom w:w="100" w:type="dxa"/>
              <w:right w:w="100" w:type="dxa"/>
            </w:tcMar>
          </w:tcPr>
          <w:p w14:paraId="51FC4C82" w14:textId="77777777" w:rsidR="00314316" w:rsidRDefault="00617C90">
            <w:pPr>
              <w:widowControl w:val="0"/>
              <w:spacing w:line="240" w:lineRule="auto"/>
              <w:contextualSpacing w:val="0"/>
            </w:pPr>
            <w:r>
              <w:rPr>
                <w:b/>
              </w:rPr>
              <w:t>T5</w:t>
            </w:r>
          </w:p>
        </w:tc>
        <w:tc>
          <w:tcPr>
            <w:tcW w:w="2016" w:type="dxa"/>
            <w:tcMar>
              <w:top w:w="100" w:type="dxa"/>
              <w:left w:w="100" w:type="dxa"/>
              <w:bottom w:w="100" w:type="dxa"/>
              <w:right w:w="100" w:type="dxa"/>
            </w:tcMar>
          </w:tcPr>
          <w:p w14:paraId="571005BF" w14:textId="77777777" w:rsidR="00314316" w:rsidRDefault="00617C90">
            <w:pPr>
              <w:widowControl w:val="0"/>
              <w:spacing w:line="240" w:lineRule="auto"/>
              <w:contextualSpacing w:val="0"/>
            </w:pPr>
            <w:r>
              <w:t>Assess the kinds of data that will be managed in the database.</w:t>
            </w:r>
          </w:p>
        </w:tc>
        <w:tc>
          <w:tcPr>
            <w:tcW w:w="4147" w:type="dxa"/>
            <w:tcMar>
              <w:top w:w="100" w:type="dxa"/>
              <w:left w:w="100" w:type="dxa"/>
              <w:bottom w:w="100" w:type="dxa"/>
              <w:right w:w="100" w:type="dxa"/>
            </w:tcMar>
          </w:tcPr>
          <w:p w14:paraId="1CB94728" w14:textId="1EA17CA2" w:rsidR="00314316" w:rsidRDefault="00617C90">
            <w:pPr>
              <w:widowControl w:val="0"/>
              <w:spacing w:line="240" w:lineRule="auto"/>
              <w:contextualSpacing w:val="0"/>
            </w:pPr>
            <w:r>
              <w:t xml:space="preserve">Determine if </w:t>
            </w:r>
            <w:r w:rsidR="000D72E7">
              <w:t>the</w:t>
            </w:r>
            <w:r>
              <w:t xml:space="preserve"> institution simply needs a place to store specimen occurrence data, or something that can handle accessioning, loans, multimedia, etc.</w:t>
            </w:r>
          </w:p>
          <w:p w14:paraId="0AEB8A0C" w14:textId="77777777" w:rsidR="00314316" w:rsidRDefault="00314316">
            <w:pPr>
              <w:widowControl w:val="0"/>
              <w:spacing w:line="240" w:lineRule="auto"/>
              <w:contextualSpacing w:val="0"/>
            </w:pPr>
          </w:p>
          <w:p w14:paraId="091BB0E6" w14:textId="6AC02FD4" w:rsidR="00314316" w:rsidRDefault="00617C90">
            <w:pPr>
              <w:widowControl w:val="0"/>
              <w:spacing w:line="240" w:lineRule="auto"/>
              <w:contextualSpacing w:val="0"/>
            </w:pPr>
            <w:r>
              <w:t xml:space="preserve">If </w:t>
            </w:r>
            <w:r w:rsidR="000D72E7">
              <w:t xml:space="preserve">digitization includes </w:t>
            </w:r>
            <w:r>
              <w:t>imaging</w:t>
            </w:r>
            <w:r w:rsidR="000D72E7">
              <w:t xml:space="preserve">, </w:t>
            </w:r>
            <w:r>
              <w:t>ensure the selected database supports linkages to images and other multimedia objects.</w:t>
            </w:r>
          </w:p>
          <w:p w14:paraId="065E266C" w14:textId="77777777" w:rsidR="00314316" w:rsidRDefault="00314316">
            <w:pPr>
              <w:widowControl w:val="0"/>
              <w:spacing w:line="240" w:lineRule="auto"/>
              <w:contextualSpacing w:val="0"/>
            </w:pPr>
          </w:p>
          <w:p w14:paraId="64F4BFEB" w14:textId="040B2815" w:rsidR="00314316" w:rsidRDefault="00617C90">
            <w:pPr>
              <w:widowControl w:val="0"/>
              <w:spacing w:line="240" w:lineRule="auto"/>
              <w:contextualSpacing w:val="0"/>
            </w:pPr>
            <w:r>
              <w:t>Simple, flat solutions (e.g</w:t>
            </w:r>
            <w:r w:rsidR="00880030">
              <w:t>.</w:t>
            </w:r>
            <w:r>
              <w:t>, spreadsheets) can be easy to implement and use; however, there are great risks associated with such solutions (e.g., accidental deletion of records, sorting mistakes, etc</w:t>
            </w:r>
            <w:r w:rsidR="00F616C7">
              <w:t>.</w:t>
            </w:r>
            <w:r>
              <w:t>).</w:t>
            </w:r>
          </w:p>
          <w:p w14:paraId="1C738D8A" w14:textId="77777777" w:rsidR="00314316" w:rsidRDefault="00314316">
            <w:pPr>
              <w:widowControl w:val="0"/>
              <w:spacing w:line="240" w:lineRule="auto"/>
              <w:contextualSpacing w:val="0"/>
            </w:pPr>
          </w:p>
          <w:p w14:paraId="1809A194" w14:textId="16544A21" w:rsidR="00314316" w:rsidRDefault="00617C90" w:rsidP="000D72E7">
            <w:pPr>
              <w:widowControl w:val="0"/>
              <w:spacing w:line="240" w:lineRule="auto"/>
              <w:contextualSpacing w:val="0"/>
            </w:pPr>
            <w:r>
              <w:lastRenderedPageBreak/>
              <w:t xml:space="preserve">Whether considering an open-source or commercial solution, it is highly recommended </w:t>
            </w:r>
            <w:r w:rsidR="000D72E7">
              <w:t xml:space="preserve">to </w:t>
            </w:r>
            <w:r>
              <w:t xml:space="preserve">evaluate test versions of the applications to </w:t>
            </w:r>
            <w:r w:rsidR="000D72E7">
              <w:t xml:space="preserve">ensure they meet institutional </w:t>
            </w:r>
            <w:r>
              <w:t>needs.</w:t>
            </w:r>
          </w:p>
        </w:tc>
        <w:tc>
          <w:tcPr>
            <w:tcW w:w="2340" w:type="dxa"/>
            <w:tcMar>
              <w:top w:w="100" w:type="dxa"/>
              <w:left w:w="100" w:type="dxa"/>
              <w:bottom w:w="100" w:type="dxa"/>
              <w:right w:w="100" w:type="dxa"/>
            </w:tcMar>
          </w:tcPr>
          <w:p w14:paraId="44887851" w14:textId="77777777" w:rsidR="00314316" w:rsidRDefault="00314316">
            <w:pPr>
              <w:widowControl w:val="0"/>
              <w:spacing w:line="240" w:lineRule="auto"/>
              <w:contextualSpacing w:val="0"/>
            </w:pPr>
          </w:p>
        </w:tc>
      </w:tr>
      <w:tr w:rsidR="00314316" w14:paraId="723374CA" w14:textId="77777777" w:rsidTr="007409C2">
        <w:tc>
          <w:tcPr>
            <w:tcW w:w="720" w:type="dxa"/>
            <w:tcMar>
              <w:top w:w="100" w:type="dxa"/>
              <w:left w:w="100" w:type="dxa"/>
              <w:bottom w:w="100" w:type="dxa"/>
              <w:right w:w="100" w:type="dxa"/>
            </w:tcMar>
          </w:tcPr>
          <w:p w14:paraId="40744381" w14:textId="77777777" w:rsidR="00314316" w:rsidRDefault="00617C90">
            <w:pPr>
              <w:widowControl w:val="0"/>
              <w:spacing w:line="240" w:lineRule="auto"/>
              <w:contextualSpacing w:val="0"/>
            </w:pPr>
            <w:r>
              <w:rPr>
                <w:b/>
              </w:rPr>
              <w:lastRenderedPageBreak/>
              <w:t>T6</w:t>
            </w:r>
          </w:p>
        </w:tc>
        <w:tc>
          <w:tcPr>
            <w:tcW w:w="2016" w:type="dxa"/>
            <w:tcMar>
              <w:top w:w="100" w:type="dxa"/>
              <w:left w:w="100" w:type="dxa"/>
              <w:bottom w:w="100" w:type="dxa"/>
              <w:right w:w="100" w:type="dxa"/>
            </w:tcMar>
          </w:tcPr>
          <w:p w14:paraId="474E8960" w14:textId="31E4B8BE" w:rsidR="00314316" w:rsidRDefault="00617C90" w:rsidP="000A21A6">
            <w:pPr>
              <w:widowControl w:val="0"/>
              <w:spacing w:line="240" w:lineRule="auto"/>
              <w:contextualSpacing w:val="0"/>
            </w:pPr>
            <w:r>
              <w:t xml:space="preserve">Assess </w:t>
            </w:r>
            <w:r w:rsidR="000A21A6">
              <w:t>the kind and number</w:t>
            </w:r>
            <w:r>
              <w:t xml:space="preserve"> </w:t>
            </w:r>
            <w:r w:rsidR="000A21A6">
              <w:t xml:space="preserve">of </w:t>
            </w:r>
            <w:r>
              <w:t xml:space="preserve">staff </w:t>
            </w:r>
            <w:r w:rsidR="000A21A6">
              <w:t xml:space="preserve">that </w:t>
            </w:r>
            <w:r>
              <w:t>will interact with the database.</w:t>
            </w:r>
          </w:p>
        </w:tc>
        <w:tc>
          <w:tcPr>
            <w:tcW w:w="4147" w:type="dxa"/>
            <w:tcMar>
              <w:top w:w="100" w:type="dxa"/>
              <w:left w:w="100" w:type="dxa"/>
              <w:bottom w:w="100" w:type="dxa"/>
              <w:right w:w="100" w:type="dxa"/>
            </w:tcMar>
          </w:tcPr>
          <w:p w14:paraId="2AF8F5BA" w14:textId="2F6BC233" w:rsidR="00314316" w:rsidRDefault="00617C90">
            <w:pPr>
              <w:widowControl w:val="0"/>
              <w:spacing w:line="240" w:lineRule="auto"/>
              <w:contextualSpacing w:val="0"/>
            </w:pPr>
            <w:r>
              <w:t xml:space="preserve">A wide variety of individuals may interact with </w:t>
            </w:r>
            <w:r w:rsidR="000A21A6">
              <w:t>an institutional</w:t>
            </w:r>
            <w:r>
              <w:t xml:space="preserve"> database, including students, curator(s), collection manager(s), volunteers, etc.</w:t>
            </w:r>
          </w:p>
          <w:p w14:paraId="2BF7AFD9" w14:textId="77777777" w:rsidR="00314316" w:rsidRDefault="00314316">
            <w:pPr>
              <w:widowControl w:val="0"/>
              <w:spacing w:line="240" w:lineRule="auto"/>
              <w:contextualSpacing w:val="0"/>
            </w:pPr>
          </w:p>
          <w:p w14:paraId="5821D20D" w14:textId="77777777" w:rsidR="00314316" w:rsidRDefault="00617C90">
            <w:pPr>
              <w:widowControl w:val="0"/>
              <w:spacing w:line="240" w:lineRule="auto"/>
              <w:contextualSpacing w:val="0"/>
            </w:pPr>
            <w:r>
              <w:t>Some platforms allow for local or remote data entry by multiple simultaneous users, whereas others (e.g., Access, Excel, FileMaker Pro) may offer single-user licenses only.</w:t>
            </w:r>
          </w:p>
          <w:p w14:paraId="24841BBC" w14:textId="77777777" w:rsidR="00314316" w:rsidRDefault="00314316">
            <w:pPr>
              <w:widowControl w:val="0"/>
              <w:spacing w:line="240" w:lineRule="auto"/>
              <w:contextualSpacing w:val="0"/>
            </w:pPr>
          </w:p>
          <w:p w14:paraId="7B28BB0F" w14:textId="4CF8F2A5" w:rsidR="00314316" w:rsidRDefault="00617C90">
            <w:pPr>
              <w:widowControl w:val="0"/>
              <w:spacing w:line="240" w:lineRule="auto"/>
              <w:contextualSpacing w:val="0"/>
            </w:pPr>
            <w:r>
              <w:t xml:space="preserve">Another consideration is the comfort level of users with computers and the extent of data editing </w:t>
            </w:r>
            <w:r w:rsidR="00B060DD">
              <w:t xml:space="preserve">an institution might allow them to perform. </w:t>
            </w:r>
            <w:r>
              <w:t xml:space="preserve">For example, some databases have rich functionality </w:t>
            </w:r>
            <w:r w:rsidR="00F616C7">
              <w:t>for manag</w:t>
            </w:r>
            <w:r w:rsidR="00B060DD">
              <w:t xml:space="preserve">ing the level of access and editing capability </w:t>
            </w:r>
            <w:r w:rsidR="00F616C7">
              <w:t>individual users are assigned, providing more control for the institution over what types of data might be edited and to what extent. This can be an important consideration for institutions that expect a wide variety of users to be accessing the database.</w:t>
            </w:r>
            <w:r w:rsidR="00F616C7" w:rsidDel="00F616C7">
              <w:t xml:space="preserve"> </w:t>
            </w:r>
          </w:p>
          <w:p w14:paraId="649D1E64" w14:textId="77777777" w:rsidR="00314316" w:rsidRDefault="00617C90">
            <w:pPr>
              <w:widowControl w:val="0"/>
              <w:spacing w:line="240" w:lineRule="auto"/>
              <w:contextualSpacing w:val="0"/>
            </w:pPr>
            <w:r>
              <w:t xml:space="preserve"> </w:t>
            </w:r>
          </w:p>
          <w:p w14:paraId="7AA3CA8D" w14:textId="77777777" w:rsidR="00314316" w:rsidRDefault="00617C90">
            <w:pPr>
              <w:widowControl w:val="0"/>
              <w:spacing w:line="240" w:lineRule="auto"/>
              <w:contextualSpacing w:val="0"/>
            </w:pPr>
            <w:r>
              <w:t>Regardless of the user base, quality control processes are an important consideration. These can range from form fields with controlled input based on underlying authority tables to automated back-end processes that monitor for possible errors.</w:t>
            </w:r>
          </w:p>
        </w:tc>
        <w:tc>
          <w:tcPr>
            <w:tcW w:w="2340" w:type="dxa"/>
            <w:tcMar>
              <w:top w:w="100" w:type="dxa"/>
              <w:left w:w="100" w:type="dxa"/>
              <w:bottom w:w="100" w:type="dxa"/>
              <w:right w:w="100" w:type="dxa"/>
            </w:tcMar>
          </w:tcPr>
          <w:p w14:paraId="789E7676" w14:textId="77777777" w:rsidR="00314316" w:rsidRDefault="00314316">
            <w:pPr>
              <w:widowControl w:val="0"/>
              <w:spacing w:line="240" w:lineRule="auto"/>
              <w:contextualSpacing w:val="0"/>
            </w:pPr>
          </w:p>
        </w:tc>
      </w:tr>
      <w:tr w:rsidR="00314316" w14:paraId="4F6B408E" w14:textId="77777777" w:rsidTr="007409C2">
        <w:tc>
          <w:tcPr>
            <w:tcW w:w="720" w:type="dxa"/>
            <w:tcMar>
              <w:top w:w="100" w:type="dxa"/>
              <w:left w:w="100" w:type="dxa"/>
              <w:bottom w:w="100" w:type="dxa"/>
              <w:right w:w="100" w:type="dxa"/>
            </w:tcMar>
          </w:tcPr>
          <w:p w14:paraId="3B146730" w14:textId="77777777" w:rsidR="00314316" w:rsidRDefault="00617C90">
            <w:pPr>
              <w:widowControl w:val="0"/>
              <w:spacing w:line="240" w:lineRule="auto"/>
              <w:contextualSpacing w:val="0"/>
            </w:pPr>
            <w:r>
              <w:rPr>
                <w:b/>
              </w:rPr>
              <w:t>T8</w:t>
            </w:r>
          </w:p>
        </w:tc>
        <w:tc>
          <w:tcPr>
            <w:tcW w:w="2016" w:type="dxa"/>
            <w:tcMar>
              <w:top w:w="100" w:type="dxa"/>
              <w:left w:w="100" w:type="dxa"/>
              <w:bottom w:w="100" w:type="dxa"/>
              <w:right w:w="100" w:type="dxa"/>
            </w:tcMar>
          </w:tcPr>
          <w:p w14:paraId="18C77561" w14:textId="63DF2D33" w:rsidR="00314316" w:rsidRDefault="00617C90" w:rsidP="008F10C1">
            <w:pPr>
              <w:widowControl w:val="0"/>
              <w:spacing w:line="240" w:lineRule="auto"/>
              <w:contextualSpacing w:val="0"/>
            </w:pPr>
            <w:r>
              <w:t xml:space="preserve">Assess whether data from </w:t>
            </w:r>
            <w:r w:rsidR="000A21A6">
              <w:t>the</w:t>
            </w:r>
            <w:r>
              <w:t xml:space="preserve"> collection will coexist with data from other collections at </w:t>
            </w:r>
            <w:r w:rsidR="000A21A6">
              <w:t>the</w:t>
            </w:r>
            <w:r>
              <w:t xml:space="preserve"> institution.</w:t>
            </w:r>
          </w:p>
        </w:tc>
        <w:tc>
          <w:tcPr>
            <w:tcW w:w="4147" w:type="dxa"/>
            <w:tcMar>
              <w:top w:w="100" w:type="dxa"/>
              <w:left w:w="100" w:type="dxa"/>
              <w:bottom w:w="100" w:type="dxa"/>
              <w:right w:w="100" w:type="dxa"/>
            </w:tcMar>
          </w:tcPr>
          <w:p w14:paraId="280759BD" w14:textId="3B0D6275" w:rsidR="00314316" w:rsidRDefault="00617C90">
            <w:pPr>
              <w:widowControl w:val="0"/>
              <w:spacing w:line="240" w:lineRule="auto"/>
              <w:contextualSpacing w:val="0"/>
            </w:pPr>
            <w:r>
              <w:t>At some institutions</w:t>
            </w:r>
            <w:r w:rsidR="00880030">
              <w:t>,</w:t>
            </w:r>
            <w:r>
              <w:t xml:space="preserve"> data from different disciplines will coexist in the same database. Some databases are better at handling such scenarios than others.</w:t>
            </w:r>
          </w:p>
          <w:p w14:paraId="058171A5" w14:textId="77777777" w:rsidR="00F616C7" w:rsidRDefault="00F616C7">
            <w:pPr>
              <w:widowControl w:val="0"/>
              <w:spacing w:line="240" w:lineRule="auto"/>
              <w:contextualSpacing w:val="0"/>
            </w:pPr>
          </w:p>
          <w:p w14:paraId="36EED505" w14:textId="3D0A7D61" w:rsidR="008F10C1" w:rsidRDefault="008F10C1">
            <w:pPr>
              <w:widowControl w:val="0"/>
              <w:spacing w:line="240" w:lineRule="auto"/>
              <w:contextualSpacing w:val="0"/>
            </w:pPr>
            <w:r>
              <w:t xml:space="preserve">Also consider future changes that may affect database structure.  </w:t>
            </w:r>
          </w:p>
        </w:tc>
        <w:tc>
          <w:tcPr>
            <w:tcW w:w="2340" w:type="dxa"/>
            <w:tcMar>
              <w:top w:w="100" w:type="dxa"/>
              <w:left w:w="100" w:type="dxa"/>
              <w:bottom w:w="100" w:type="dxa"/>
              <w:right w:w="100" w:type="dxa"/>
            </w:tcMar>
          </w:tcPr>
          <w:p w14:paraId="036EDEF0" w14:textId="77777777" w:rsidR="00314316" w:rsidRDefault="00314316">
            <w:pPr>
              <w:widowControl w:val="0"/>
              <w:spacing w:line="240" w:lineRule="auto"/>
              <w:contextualSpacing w:val="0"/>
            </w:pPr>
          </w:p>
        </w:tc>
      </w:tr>
      <w:tr w:rsidR="00314316" w14:paraId="007AE6C2" w14:textId="77777777" w:rsidTr="007409C2">
        <w:tc>
          <w:tcPr>
            <w:tcW w:w="720" w:type="dxa"/>
            <w:tcMar>
              <w:top w:w="100" w:type="dxa"/>
              <w:left w:w="100" w:type="dxa"/>
              <w:bottom w:w="100" w:type="dxa"/>
              <w:right w:w="100" w:type="dxa"/>
            </w:tcMar>
          </w:tcPr>
          <w:p w14:paraId="6098573C" w14:textId="77777777" w:rsidR="00314316" w:rsidRDefault="00617C90">
            <w:pPr>
              <w:widowControl w:val="0"/>
              <w:spacing w:line="240" w:lineRule="auto"/>
              <w:contextualSpacing w:val="0"/>
            </w:pPr>
            <w:r>
              <w:rPr>
                <w:b/>
              </w:rPr>
              <w:t>T9</w:t>
            </w:r>
          </w:p>
        </w:tc>
        <w:tc>
          <w:tcPr>
            <w:tcW w:w="2016" w:type="dxa"/>
            <w:tcMar>
              <w:top w:w="100" w:type="dxa"/>
              <w:left w:w="100" w:type="dxa"/>
              <w:bottom w:w="100" w:type="dxa"/>
              <w:right w:w="100" w:type="dxa"/>
            </w:tcMar>
          </w:tcPr>
          <w:p w14:paraId="4F5775DB" w14:textId="77777777" w:rsidR="00314316" w:rsidRDefault="00617C90">
            <w:pPr>
              <w:widowControl w:val="0"/>
              <w:spacing w:line="240" w:lineRule="auto"/>
              <w:contextualSpacing w:val="0"/>
            </w:pPr>
            <w:r>
              <w:t>Assess database access needs.</w:t>
            </w:r>
          </w:p>
        </w:tc>
        <w:tc>
          <w:tcPr>
            <w:tcW w:w="4147" w:type="dxa"/>
            <w:tcMar>
              <w:top w:w="100" w:type="dxa"/>
              <w:left w:w="100" w:type="dxa"/>
              <w:bottom w:w="100" w:type="dxa"/>
              <w:right w:w="100" w:type="dxa"/>
            </w:tcMar>
          </w:tcPr>
          <w:p w14:paraId="69514353" w14:textId="77183E52" w:rsidR="00314316" w:rsidRDefault="00617C90">
            <w:pPr>
              <w:widowControl w:val="0"/>
              <w:spacing w:line="240" w:lineRule="auto"/>
              <w:contextualSpacing w:val="0"/>
            </w:pPr>
            <w:r>
              <w:t xml:space="preserve">Consider the kinds of users that will access </w:t>
            </w:r>
            <w:r w:rsidR="000A21A6">
              <w:t>the</w:t>
            </w:r>
            <w:r>
              <w:t xml:space="preserve"> database and their location. Are internal users centrally located or dispersed across the institution? Do volunteers play a big role in transcribing and managing?</w:t>
            </w:r>
          </w:p>
          <w:p w14:paraId="6D90AF26" w14:textId="77777777" w:rsidR="00314316" w:rsidRDefault="00314316">
            <w:pPr>
              <w:widowControl w:val="0"/>
              <w:spacing w:line="240" w:lineRule="auto"/>
              <w:contextualSpacing w:val="0"/>
            </w:pPr>
          </w:p>
          <w:p w14:paraId="629C4980" w14:textId="77777777" w:rsidR="00314316" w:rsidRDefault="00617C90">
            <w:pPr>
              <w:widowControl w:val="0"/>
              <w:spacing w:line="240" w:lineRule="auto"/>
              <w:contextualSpacing w:val="0"/>
            </w:pPr>
            <w:r>
              <w:t>Some platforms have web-based interfaces and rich user administration functionality.</w:t>
            </w:r>
          </w:p>
        </w:tc>
        <w:tc>
          <w:tcPr>
            <w:tcW w:w="2340" w:type="dxa"/>
            <w:tcMar>
              <w:top w:w="100" w:type="dxa"/>
              <w:left w:w="100" w:type="dxa"/>
              <w:bottom w:w="100" w:type="dxa"/>
              <w:right w:w="100" w:type="dxa"/>
            </w:tcMar>
          </w:tcPr>
          <w:p w14:paraId="20BCA7B7" w14:textId="77777777" w:rsidR="00314316" w:rsidRDefault="00314316">
            <w:pPr>
              <w:widowControl w:val="0"/>
              <w:spacing w:line="240" w:lineRule="auto"/>
              <w:contextualSpacing w:val="0"/>
            </w:pPr>
          </w:p>
        </w:tc>
      </w:tr>
      <w:tr w:rsidR="00314316" w14:paraId="019A4552" w14:textId="77777777" w:rsidTr="007409C2">
        <w:tc>
          <w:tcPr>
            <w:tcW w:w="720" w:type="dxa"/>
            <w:tcMar>
              <w:top w:w="100" w:type="dxa"/>
              <w:left w:w="100" w:type="dxa"/>
              <w:bottom w:w="100" w:type="dxa"/>
              <w:right w:w="100" w:type="dxa"/>
            </w:tcMar>
          </w:tcPr>
          <w:p w14:paraId="05F35AB3" w14:textId="77777777" w:rsidR="00314316" w:rsidRDefault="00617C90">
            <w:pPr>
              <w:widowControl w:val="0"/>
              <w:spacing w:line="240" w:lineRule="auto"/>
              <w:contextualSpacing w:val="0"/>
            </w:pPr>
            <w:r>
              <w:rPr>
                <w:b/>
              </w:rPr>
              <w:t>T10</w:t>
            </w:r>
          </w:p>
        </w:tc>
        <w:tc>
          <w:tcPr>
            <w:tcW w:w="2016" w:type="dxa"/>
            <w:tcMar>
              <w:top w:w="100" w:type="dxa"/>
              <w:left w:w="100" w:type="dxa"/>
              <w:bottom w:w="100" w:type="dxa"/>
              <w:right w:w="100" w:type="dxa"/>
            </w:tcMar>
          </w:tcPr>
          <w:p w14:paraId="63EB3DAC" w14:textId="77777777" w:rsidR="00314316" w:rsidRDefault="00617C90">
            <w:pPr>
              <w:widowControl w:val="0"/>
              <w:spacing w:line="240" w:lineRule="auto"/>
              <w:contextualSpacing w:val="0"/>
            </w:pPr>
            <w:r>
              <w:t>Assess ease of data export.</w:t>
            </w:r>
          </w:p>
        </w:tc>
        <w:tc>
          <w:tcPr>
            <w:tcW w:w="4147" w:type="dxa"/>
            <w:tcMar>
              <w:top w:w="100" w:type="dxa"/>
              <w:left w:w="100" w:type="dxa"/>
              <w:bottom w:w="100" w:type="dxa"/>
              <w:right w:w="100" w:type="dxa"/>
            </w:tcMar>
          </w:tcPr>
          <w:p w14:paraId="52A9E11C" w14:textId="51F18847" w:rsidR="00314316" w:rsidRDefault="00617C90">
            <w:pPr>
              <w:widowControl w:val="0"/>
              <w:spacing w:line="240" w:lineRule="auto"/>
              <w:contextualSpacing w:val="0"/>
            </w:pPr>
            <w:r>
              <w:t xml:space="preserve">Determine how easy it is to export data from the database and potentially share it outside of the institution, </w:t>
            </w:r>
            <w:r w:rsidR="0072468C">
              <w:t>i.e.,</w:t>
            </w:r>
            <w:r w:rsidR="00F616C7">
              <w:t xml:space="preserve"> </w:t>
            </w:r>
            <w:r>
              <w:t>with data aggregators.</w:t>
            </w:r>
          </w:p>
          <w:p w14:paraId="5A2DBFCB" w14:textId="77777777" w:rsidR="00314316" w:rsidRDefault="00314316">
            <w:pPr>
              <w:widowControl w:val="0"/>
              <w:spacing w:line="240" w:lineRule="auto"/>
              <w:contextualSpacing w:val="0"/>
            </w:pPr>
          </w:p>
          <w:p w14:paraId="2823B9AC" w14:textId="008CD07A" w:rsidR="00314316" w:rsidRDefault="00617C90">
            <w:pPr>
              <w:widowControl w:val="0"/>
              <w:spacing w:line="240" w:lineRule="auto"/>
              <w:contextualSpacing w:val="0"/>
            </w:pPr>
            <w:r>
              <w:t xml:space="preserve">Some platforms facilitate the publishing of data to the internet. For example, some web-based platforms provide instant public access to data. Keep </w:t>
            </w:r>
            <w:r w:rsidR="000A21A6">
              <w:t>the</w:t>
            </w:r>
            <w:r>
              <w:t xml:space="preserve"> institution’s data sharing policy in mind when considering options that provide instant, public access. The ease with which data for sensitive species can be withheld from public view is a consideration, as well. </w:t>
            </w:r>
          </w:p>
          <w:p w14:paraId="7D96B6AD" w14:textId="77777777" w:rsidR="00314316" w:rsidRDefault="00314316">
            <w:pPr>
              <w:widowControl w:val="0"/>
              <w:spacing w:line="240" w:lineRule="auto"/>
              <w:contextualSpacing w:val="0"/>
            </w:pPr>
          </w:p>
          <w:p w14:paraId="19EAF7B9" w14:textId="68CB3225" w:rsidR="00314316" w:rsidRDefault="00617C90">
            <w:pPr>
              <w:widowControl w:val="0"/>
              <w:spacing w:line="240" w:lineRule="auto"/>
              <w:contextualSpacing w:val="0"/>
            </w:pPr>
            <w:r>
              <w:t xml:space="preserve">Local databases can provide greater control over data and </w:t>
            </w:r>
            <w:r w:rsidR="000A21A6">
              <w:t>their</w:t>
            </w:r>
            <w:r>
              <w:t xml:space="preserve"> distribution but may require greater IT support (see T3) </w:t>
            </w:r>
            <w:r w:rsidR="0060293C">
              <w:t>when data are</w:t>
            </w:r>
            <w:r>
              <w:t xml:space="preserve"> share</w:t>
            </w:r>
            <w:r w:rsidR="0060293C">
              <w:t>d</w:t>
            </w:r>
            <w:r>
              <w:t xml:space="preserve"> with external users, aggregators, and web-based presentations.</w:t>
            </w:r>
          </w:p>
          <w:p w14:paraId="662E24D5" w14:textId="77777777" w:rsidR="00314316" w:rsidRDefault="00314316">
            <w:pPr>
              <w:widowControl w:val="0"/>
              <w:spacing w:line="240" w:lineRule="auto"/>
              <w:contextualSpacing w:val="0"/>
            </w:pPr>
          </w:p>
          <w:p w14:paraId="1347FB2A" w14:textId="5D1E0B73" w:rsidR="00314316" w:rsidRDefault="00617C90">
            <w:pPr>
              <w:widowControl w:val="0"/>
              <w:spacing w:line="240" w:lineRule="auto"/>
              <w:contextualSpacing w:val="0"/>
            </w:pPr>
            <w:r>
              <w:t xml:space="preserve">Regardless of </w:t>
            </w:r>
            <w:r w:rsidR="0060293C">
              <w:t xml:space="preserve">the </w:t>
            </w:r>
            <w:r>
              <w:t xml:space="preserve">database solution, it is important </w:t>
            </w:r>
            <w:r w:rsidR="0060293C">
              <w:t>to be able to</w:t>
            </w:r>
            <w:r>
              <w:t xml:space="preserve"> map specimen data to the terms provided in the Darwin Core standard.</w:t>
            </w:r>
          </w:p>
          <w:p w14:paraId="4B7B306E" w14:textId="77777777" w:rsidR="00314316" w:rsidRDefault="00314316">
            <w:pPr>
              <w:widowControl w:val="0"/>
              <w:spacing w:line="240" w:lineRule="auto"/>
              <w:contextualSpacing w:val="0"/>
            </w:pPr>
          </w:p>
          <w:p w14:paraId="4FFDD250" w14:textId="77777777" w:rsidR="00314316" w:rsidRDefault="00617C90">
            <w:pPr>
              <w:widowControl w:val="0"/>
              <w:spacing w:line="240" w:lineRule="auto"/>
              <w:contextualSpacing w:val="0"/>
            </w:pPr>
            <w:r>
              <w:t>A common and increasingly popular means of sharing data over the web is via a Darwin Core Archive. The GBIF Integrated Publishing Toolkit (IPT) is a tool that enables the publishing of such archives.</w:t>
            </w:r>
          </w:p>
        </w:tc>
        <w:tc>
          <w:tcPr>
            <w:tcW w:w="2340" w:type="dxa"/>
            <w:tcMar>
              <w:top w:w="100" w:type="dxa"/>
              <w:left w:w="100" w:type="dxa"/>
              <w:bottom w:w="100" w:type="dxa"/>
              <w:right w:w="100" w:type="dxa"/>
            </w:tcMar>
          </w:tcPr>
          <w:p w14:paraId="577A258C" w14:textId="77777777" w:rsidR="00314316" w:rsidRDefault="00617C90">
            <w:pPr>
              <w:widowControl w:val="0"/>
              <w:spacing w:line="240" w:lineRule="auto"/>
              <w:contextualSpacing w:val="0"/>
            </w:pPr>
            <w:r>
              <w:t xml:space="preserve">See: Darwin Core standard terms: </w:t>
            </w:r>
            <w:hyperlink r:id="rId19">
              <w:r>
                <w:rPr>
                  <w:color w:val="1155CC"/>
                  <w:u w:val="single"/>
                </w:rPr>
                <w:t>http://rs.tdwg.org/dwc/terms/index.htm#</w:t>
              </w:r>
            </w:hyperlink>
            <w:r>
              <w:t>.</w:t>
            </w:r>
          </w:p>
          <w:p w14:paraId="03FF4793" w14:textId="77777777" w:rsidR="00314316" w:rsidRDefault="00314316">
            <w:pPr>
              <w:widowControl w:val="0"/>
              <w:spacing w:line="240" w:lineRule="auto"/>
              <w:contextualSpacing w:val="0"/>
            </w:pPr>
          </w:p>
          <w:p w14:paraId="73699277" w14:textId="35E789D5" w:rsidR="00314316" w:rsidRDefault="00617C90" w:rsidP="000865C7">
            <w:pPr>
              <w:widowControl w:val="0"/>
              <w:spacing w:line="240" w:lineRule="auto"/>
            </w:pPr>
            <w:r>
              <w:t xml:space="preserve">Robertson </w:t>
            </w:r>
            <w:r w:rsidR="00EC3162">
              <w:t xml:space="preserve">et al. </w:t>
            </w:r>
            <w:r w:rsidR="00436B6F">
              <w:t>(</w:t>
            </w:r>
            <w:r w:rsidR="00EC3162">
              <w:t>2014</w:t>
            </w:r>
            <w:r w:rsidR="00436B6F">
              <w:t>)</w:t>
            </w:r>
            <w:r w:rsidR="00EC3162">
              <w:t xml:space="preserve">. </w:t>
            </w:r>
            <w:hyperlink r:id="rId20" w:history="1">
              <w:r w:rsidRPr="0072468C">
                <w:rPr>
                  <w:rStyle w:val="Hyperlink"/>
                </w:rPr>
                <w:t>doi:10.1371/journal.pone.0102623</w:t>
              </w:r>
            </w:hyperlink>
            <w:r>
              <w:t>.</w:t>
            </w:r>
          </w:p>
          <w:p w14:paraId="3424C4AF" w14:textId="77777777" w:rsidR="00314316" w:rsidRDefault="00314316">
            <w:pPr>
              <w:widowControl w:val="0"/>
              <w:spacing w:line="240" w:lineRule="auto"/>
              <w:contextualSpacing w:val="0"/>
            </w:pPr>
          </w:p>
        </w:tc>
      </w:tr>
      <w:tr w:rsidR="00314316" w14:paraId="089BDC62" w14:textId="77777777" w:rsidTr="007409C2">
        <w:tc>
          <w:tcPr>
            <w:tcW w:w="720" w:type="dxa"/>
            <w:tcMar>
              <w:top w:w="100" w:type="dxa"/>
              <w:left w:w="100" w:type="dxa"/>
              <w:bottom w:w="100" w:type="dxa"/>
              <w:right w:w="100" w:type="dxa"/>
            </w:tcMar>
          </w:tcPr>
          <w:p w14:paraId="166202CE" w14:textId="77777777" w:rsidR="00314316" w:rsidRDefault="00617C90">
            <w:pPr>
              <w:widowControl w:val="0"/>
              <w:spacing w:line="240" w:lineRule="auto"/>
              <w:contextualSpacing w:val="0"/>
            </w:pPr>
            <w:r>
              <w:rPr>
                <w:b/>
              </w:rPr>
              <w:t>T11</w:t>
            </w:r>
          </w:p>
        </w:tc>
        <w:tc>
          <w:tcPr>
            <w:tcW w:w="2016" w:type="dxa"/>
            <w:tcMar>
              <w:top w:w="100" w:type="dxa"/>
              <w:left w:w="100" w:type="dxa"/>
              <w:bottom w:w="100" w:type="dxa"/>
              <w:right w:w="100" w:type="dxa"/>
            </w:tcMar>
          </w:tcPr>
          <w:p w14:paraId="49124C2A" w14:textId="77777777" w:rsidR="00314316" w:rsidRDefault="00617C90">
            <w:pPr>
              <w:widowControl w:val="0"/>
              <w:spacing w:line="240" w:lineRule="auto"/>
              <w:contextualSpacing w:val="0"/>
            </w:pPr>
            <w:r>
              <w:t>Assess back-up functionality.</w:t>
            </w:r>
          </w:p>
        </w:tc>
        <w:tc>
          <w:tcPr>
            <w:tcW w:w="4147" w:type="dxa"/>
            <w:tcMar>
              <w:top w:w="100" w:type="dxa"/>
              <w:left w:w="100" w:type="dxa"/>
              <w:bottom w:w="100" w:type="dxa"/>
              <w:right w:w="100" w:type="dxa"/>
            </w:tcMar>
          </w:tcPr>
          <w:p w14:paraId="5E00B67E" w14:textId="0E9F72EB" w:rsidR="00314316" w:rsidRDefault="00617C90">
            <w:pPr>
              <w:widowControl w:val="0"/>
              <w:spacing w:line="240" w:lineRule="auto"/>
              <w:contextualSpacing w:val="0"/>
            </w:pPr>
            <w:r>
              <w:t>Over the short- to medium-term, you will want to back</w:t>
            </w:r>
            <w:r w:rsidR="00F20B68">
              <w:t xml:space="preserve"> </w:t>
            </w:r>
            <w:r>
              <w:t>up the data in your database. See the DATAOne website for a more in-depth consideration of this topic.</w:t>
            </w:r>
          </w:p>
          <w:p w14:paraId="5C65F004" w14:textId="77777777" w:rsidR="00314316" w:rsidRDefault="00314316">
            <w:pPr>
              <w:widowControl w:val="0"/>
              <w:spacing w:line="240" w:lineRule="auto"/>
              <w:contextualSpacing w:val="0"/>
            </w:pPr>
          </w:p>
          <w:p w14:paraId="4DB5A70A" w14:textId="4DB93FA2" w:rsidR="00314316" w:rsidRDefault="00617C90" w:rsidP="00F20B68">
            <w:pPr>
              <w:widowControl w:val="0"/>
              <w:spacing w:line="240" w:lineRule="auto"/>
              <w:contextualSpacing w:val="0"/>
            </w:pPr>
            <w:r>
              <w:t xml:space="preserve">For long-term preservation of </w:t>
            </w:r>
            <w:r w:rsidR="0060293C">
              <w:t>digital</w:t>
            </w:r>
            <w:r>
              <w:t xml:space="preserve"> data, </w:t>
            </w:r>
            <w:r w:rsidR="0060293C">
              <w:t>it is important to adopt</w:t>
            </w:r>
            <w:r>
              <w:t xml:space="preserve"> a true digital preservation environment. See </w:t>
            </w:r>
            <w:r w:rsidR="00F20B68">
              <w:t xml:space="preserve">Module 9: </w:t>
            </w:r>
            <w:r>
              <w:t>Image Archiving and Corrado and Moulaison (2014) for more details about this very big topic.</w:t>
            </w:r>
          </w:p>
        </w:tc>
        <w:tc>
          <w:tcPr>
            <w:tcW w:w="2340" w:type="dxa"/>
            <w:tcMar>
              <w:top w:w="100" w:type="dxa"/>
              <w:left w:w="100" w:type="dxa"/>
              <w:bottom w:w="100" w:type="dxa"/>
              <w:right w:w="100" w:type="dxa"/>
            </w:tcMar>
          </w:tcPr>
          <w:p w14:paraId="4CD5FF74" w14:textId="77777777" w:rsidR="00314316" w:rsidRDefault="00617C90">
            <w:pPr>
              <w:widowControl w:val="0"/>
              <w:spacing w:line="240" w:lineRule="auto"/>
              <w:contextualSpacing w:val="0"/>
            </w:pPr>
            <w:r>
              <w:t xml:space="preserve">See: DATAOne Best Practices for backing-up data: </w:t>
            </w:r>
            <w:hyperlink r:id="rId21">
              <w:r>
                <w:rPr>
                  <w:color w:val="1155CC"/>
                  <w:u w:val="single"/>
                </w:rPr>
                <w:t>https://www.dataone.org/best-practices/backup-your-data</w:t>
              </w:r>
            </w:hyperlink>
            <w:r>
              <w:t>.</w:t>
            </w:r>
          </w:p>
          <w:p w14:paraId="48B5D04B" w14:textId="77777777" w:rsidR="00314316" w:rsidRDefault="00314316">
            <w:pPr>
              <w:widowControl w:val="0"/>
              <w:spacing w:line="240" w:lineRule="auto"/>
              <w:contextualSpacing w:val="0"/>
            </w:pPr>
          </w:p>
          <w:p w14:paraId="0204AE35" w14:textId="545C4F7D" w:rsidR="000D72E7" w:rsidRDefault="00617C90" w:rsidP="00303BC5">
            <w:pPr>
              <w:widowControl w:val="0"/>
              <w:spacing w:line="240" w:lineRule="auto"/>
              <w:contextualSpacing w:val="0"/>
            </w:pPr>
            <w:r w:rsidRPr="00F616C7">
              <w:rPr>
                <w:color w:val="auto"/>
                <w:highlight w:val="white"/>
              </w:rPr>
              <w:t>Corrado</w:t>
            </w:r>
            <w:r w:rsidR="00EC3162" w:rsidRPr="00F616C7">
              <w:rPr>
                <w:color w:val="auto"/>
                <w:highlight w:val="white"/>
              </w:rPr>
              <w:t xml:space="preserve"> and</w:t>
            </w:r>
            <w:r w:rsidRPr="00F616C7">
              <w:rPr>
                <w:color w:val="auto"/>
                <w:highlight w:val="white"/>
              </w:rPr>
              <w:t xml:space="preserve"> Moulaison</w:t>
            </w:r>
            <w:r w:rsidR="00436B6F">
              <w:rPr>
                <w:color w:val="auto"/>
                <w:highlight w:val="white"/>
              </w:rPr>
              <w:t xml:space="preserve"> (</w:t>
            </w:r>
            <w:r w:rsidRPr="00F616C7">
              <w:rPr>
                <w:color w:val="auto"/>
                <w:highlight w:val="white"/>
              </w:rPr>
              <w:t>2014</w:t>
            </w:r>
            <w:r w:rsidR="00436B6F">
              <w:rPr>
                <w:color w:val="auto"/>
                <w:highlight w:val="white"/>
              </w:rPr>
              <w:t>)</w:t>
            </w:r>
            <w:r w:rsidRPr="00F616C7">
              <w:rPr>
                <w:color w:val="auto"/>
                <w:highlight w:val="white"/>
              </w:rPr>
              <w:t xml:space="preserve">. </w:t>
            </w:r>
          </w:p>
        </w:tc>
      </w:tr>
    </w:tbl>
    <w:p w14:paraId="5E6246C3" w14:textId="77777777" w:rsidR="00314316" w:rsidRDefault="00314316"/>
    <w:p w14:paraId="23B6DC0F" w14:textId="56CB0AA8" w:rsidR="002821B3" w:rsidRDefault="00F20B68">
      <w:r>
        <w:t>Literature Cited</w:t>
      </w:r>
    </w:p>
    <w:p w14:paraId="54D195E3" w14:textId="77777777" w:rsidR="000D72E7" w:rsidRDefault="000D72E7"/>
    <w:p w14:paraId="6ED8C28C" w14:textId="4664C2F2" w:rsidR="000D72E7" w:rsidRPr="00F616C7" w:rsidRDefault="000D72E7" w:rsidP="000D72E7">
      <w:pPr>
        <w:widowControl w:val="0"/>
        <w:spacing w:line="240" w:lineRule="auto"/>
        <w:rPr>
          <w:color w:val="auto"/>
        </w:rPr>
      </w:pPr>
      <w:r w:rsidRPr="00F616C7">
        <w:rPr>
          <w:color w:val="auto"/>
          <w:highlight w:val="white"/>
        </w:rPr>
        <w:t>Corrado, E. M.</w:t>
      </w:r>
      <w:r w:rsidR="00782BEA">
        <w:rPr>
          <w:color w:val="auto"/>
          <w:highlight w:val="white"/>
        </w:rPr>
        <w:t>,</w:t>
      </w:r>
      <w:r w:rsidRPr="00F616C7">
        <w:rPr>
          <w:color w:val="auto"/>
          <w:highlight w:val="white"/>
        </w:rPr>
        <w:t xml:space="preserve"> and H. L. Moulaison. 2014. Digital preservation for libraries, archives, and museums. Rowman &amp; Littlefield, Lanham, </w:t>
      </w:r>
      <w:r w:rsidR="00F20B68" w:rsidRPr="00F616C7">
        <w:rPr>
          <w:color w:val="auto"/>
          <w:highlight w:val="white"/>
        </w:rPr>
        <w:t>M</w:t>
      </w:r>
      <w:r w:rsidR="00F20B68">
        <w:rPr>
          <w:color w:val="auto"/>
          <w:highlight w:val="white"/>
        </w:rPr>
        <w:t>aryland, USA</w:t>
      </w:r>
      <w:r w:rsidRPr="00F616C7">
        <w:rPr>
          <w:color w:val="auto"/>
          <w:highlight w:val="white"/>
        </w:rPr>
        <w:t>.</w:t>
      </w:r>
    </w:p>
    <w:p w14:paraId="427E7251" w14:textId="77777777" w:rsidR="00EC3162" w:rsidRDefault="00EC3162"/>
    <w:p w14:paraId="475DFF89" w14:textId="77777777" w:rsidR="00EC3162" w:rsidRDefault="00EC3162" w:rsidP="00EC3162">
      <w:r>
        <w:t xml:space="preserve">DataONE. Backup your data. </w:t>
      </w:r>
      <w:hyperlink r:id="rId22" w:history="1">
        <w:r w:rsidRPr="00086DC0">
          <w:rPr>
            <w:rStyle w:val="Hyperlink"/>
          </w:rPr>
          <w:t>https://www.dataone.org/best-practices/backup-your-data</w:t>
        </w:r>
      </w:hyperlink>
      <w:r>
        <w:t xml:space="preserve"> Accessed 1 May 2015.</w:t>
      </w:r>
    </w:p>
    <w:p w14:paraId="494B6346" w14:textId="77777777" w:rsidR="002821B3" w:rsidRDefault="002821B3"/>
    <w:p w14:paraId="6C2C55D6" w14:textId="462502F8" w:rsidR="002821B3" w:rsidRPr="00F616C7" w:rsidRDefault="002821B3">
      <w:pPr>
        <w:rPr>
          <w:color w:val="auto"/>
          <w:u w:val="single"/>
        </w:rPr>
      </w:pPr>
      <w:r w:rsidRPr="00F616C7">
        <w:rPr>
          <w:color w:val="auto"/>
          <w:highlight w:val="white"/>
        </w:rPr>
        <w:t>Frazier</w:t>
      </w:r>
      <w:r w:rsidR="00F20B68">
        <w:rPr>
          <w:color w:val="auto"/>
          <w:highlight w:val="white"/>
        </w:rPr>
        <w:t>,</w:t>
      </w:r>
      <w:r w:rsidRPr="00F616C7">
        <w:rPr>
          <w:color w:val="auto"/>
          <w:highlight w:val="white"/>
        </w:rPr>
        <w:t xml:space="preserve"> C</w:t>
      </w:r>
      <w:r w:rsidR="00F20B68">
        <w:rPr>
          <w:color w:val="auto"/>
          <w:highlight w:val="white"/>
        </w:rPr>
        <w:t xml:space="preserve">. </w:t>
      </w:r>
      <w:r w:rsidRPr="00F616C7">
        <w:rPr>
          <w:color w:val="auto"/>
          <w:highlight w:val="white"/>
        </w:rPr>
        <w:t>K</w:t>
      </w:r>
      <w:r w:rsidR="00F20B68">
        <w:rPr>
          <w:color w:val="auto"/>
          <w:highlight w:val="white"/>
        </w:rPr>
        <w:t>.</w:t>
      </w:r>
      <w:r w:rsidRPr="00F616C7">
        <w:rPr>
          <w:color w:val="auto"/>
          <w:highlight w:val="white"/>
        </w:rPr>
        <w:t xml:space="preserve">, </w:t>
      </w:r>
      <w:r w:rsidR="00F20B68">
        <w:rPr>
          <w:color w:val="auto"/>
          <w:highlight w:val="white"/>
        </w:rPr>
        <w:t xml:space="preserve">J. </w:t>
      </w:r>
      <w:r w:rsidRPr="00F616C7">
        <w:rPr>
          <w:color w:val="auto"/>
          <w:highlight w:val="white"/>
        </w:rPr>
        <w:t xml:space="preserve">Wall, </w:t>
      </w:r>
      <w:r w:rsidR="00F20B68">
        <w:rPr>
          <w:color w:val="auto"/>
          <w:highlight w:val="white"/>
        </w:rPr>
        <w:t xml:space="preserve">and S. </w:t>
      </w:r>
      <w:r w:rsidRPr="00F616C7">
        <w:rPr>
          <w:color w:val="auto"/>
          <w:highlight w:val="white"/>
        </w:rPr>
        <w:t>Grant</w:t>
      </w:r>
      <w:r w:rsidR="00F20B68">
        <w:rPr>
          <w:color w:val="auto"/>
          <w:highlight w:val="white"/>
        </w:rPr>
        <w:t>.</w:t>
      </w:r>
      <w:r w:rsidRPr="00F616C7">
        <w:rPr>
          <w:color w:val="auto"/>
          <w:highlight w:val="white"/>
        </w:rPr>
        <w:t xml:space="preserve"> 2008</w:t>
      </w:r>
      <w:r w:rsidR="00F20B68">
        <w:rPr>
          <w:color w:val="auto"/>
          <w:highlight w:val="white"/>
        </w:rPr>
        <w:t>.</w:t>
      </w:r>
      <w:r w:rsidR="00F20B68" w:rsidRPr="00F616C7">
        <w:rPr>
          <w:color w:val="auto"/>
          <w:highlight w:val="white"/>
        </w:rPr>
        <w:t xml:space="preserve"> </w:t>
      </w:r>
      <w:r w:rsidRPr="00F616C7">
        <w:rPr>
          <w:color w:val="auto"/>
          <w:highlight w:val="white"/>
        </w:rPr>
        <w:t>Initiating a Natural History Collection Digitisation Project, version 1.0. Global Biodiversity Information Facility, Copenhagen</w:t>
      </w:r>
      <w:r w:rsidR="00F20B68">
        <w:rPr>
          <w:color w:val="auto"/>
          <w:highlight w:val="white"/>
        </w:rPr>
        <w:t>, Denmark</w:t>
      </w:r>
      <w:r w:rsidRPr="00F616C7">
        <w:rPr>
          <w:color w:val="auto"/>
          <w:highlight w:val="white"/>
        </w:rPr>
        <w:t xml:space="preserve">. </w:t>
      </w:r>
      <w:hyperlink r:id="rId23">
        <w:r w:rsidRPr="00F616C7">
          <w:rPr>
            <w:color w:val="auto"/>
            <w:highlight w:val="white"/>
            <w:u w:val="single"/>
          </w:rPr>
          <w:t>http://www.gbif.org/resource/80574</w:t>
        </w:r>
      </w:hyperlink>
    </w:p>
    <w:p w14:paraId="08D53215" w14:textId="77777777" w:rsidR="006F7162" w:rsidRPr="00F616C7" w:rsidRDefault="006F7162">
      <w:pPr>
        <w:rPr>
          <w:color w:val="auto"/>
          <w:u w:val="single"/>
        </w:rPr>
      </w:pPr>
    </w:p>
    <w:p w14:paraId="75EEFE9B" w14:textId="4E6453D4" w:rsidR="006F7162" w:rsidRPr="00F616C7" w:rsidRDefault="006F7162">
      <w:pPr>
        <w:rPr>
          <w:rStyle w:val="Hyperlink"/>
          <w:color w:val="auto"/>
        </w:rPr>
      </w:pPr>
      <w:r w:rsidRPr="00F616C7">
        <w:rPr>
          <w:color w:val="auto"/>
          <w:highlight w:val="white"/>
        </w:rPr>
        <w:t xml:space="preserve">Morris, P. 2005. </w:t>
      </w:r>
      <w:r w:rsidRPr="00F616C7">
        <w:rPr>
          <w:color w:val="auto"/>
        </w:rPr>
        <w:t xml:space="preserve">Relational database design and implementation for biodiversity informatics. </w:t>
      </w:r>
      <w:r w:rsidR="00F20B68" w:rsidRPr="00184446">
        <w:rPr>
          <w:i/>
          <w:color w:val="auto"/>
        </w:rPr>
        <w:t>PhyloInformatics</w:t>
      </w:r>
      <w:r w:rsidR="00F20B68" w:rsidRPr="00F616C7">
        <w:rPr>
          <w:color w:val="auto"/>
        </w:rPr>
        <w:t xml:space="preserve"> </w:t>
      </w:r>
      <w:r w:rsidRPr="00F616C7">
        <w:rPr>
          <w:color w:val="auto"/>
        </w:rPr>
        <w:t>7: 1</w:t>
      </w:r>
      <w:r w:rsidR="00F20B68">
        <w:rPr>
          <w:color w:val="auto"/>
        </w:rPr>
        <w:t>–</w:t>
      </w:r>
      <w:r w:rsidRPr="00F616C7">
        <w:rPr>
          <w:color w:val="auto"/>
        </w:rPr>
        <w:t xml:space="preserve">66. </w:t>
      </w:r>
      <w:hyperlink r:id="rId24" w:history="1">
        <w:r w:rsidRPr="00F616C7">
          <w:rPr>
            <w:rStyle w:val="Hyperlink"/>
            <w:color w:val="auto"/>
          </w:rPr>
          <w:t>http://systbio.org/files/phyloinformatics/7.pdf</w:t>
        </w:r>
      </w:hyperlink>
      <w:r w:rsidRPr="00F616C7">
        <w:rPr>
          <w:color w:val="auto"/>
        </w:rPr>
        <w:t xml:space="preserve"> or </w:t>
      </w:r>
      <w:hyperlink r:id="rId25" w:history="1">
        <w:r w:rsidRPr="00F616C7">
          <w:rPr>
            <w:rStyle w:val="Hyperlink"/>
            <w:color w:val="auto"/>
          </w:rPr>
          <w:t>http://systbio.org/files/phyloinformatics/7.pdf</w:t>
        </w:r>
      </w:hyperlink>
    </w:p>
    <w:p w14:paraId="56B3ECB0" w14:textId="77777777" w:rsidR="00EC3162" w:rsidRDefault="00EC3162">
      <w:pPr>
        <w:rPr>
          <w:rStyle w:val="Hyperlink"/>
        </w:rPr>
      </w:pPr>
    </w:p>
    <w:p w14:paraId="4F8BEFB5" w14:textId="26C8FE60" w:rsidR="00EC3162" w:rsidRDefault="00EC3162" w:rsidP="0060293C">
      <w:pPr>
        <w:widowControl w:val="0"/>
        <w:spacing w:line="240" w:lineRule="auto"/>
      </w:pPr>
      <w:r>
        <w:t>Robertson</w:t>
      </w:r>
      <w:r w:rsidR="00F20B68">
        <w:t>,</w:t>
      </w:r>
      <w:r>
        <w:t xml:space="preserve"> T</w:t>
      </w:r>
      <w:r w:rsidR="00F20B68">
        <w:t>.</w:t>
      </w:r>
      <w:r>
        <w:t xml:space="preserve">, M. Döring, R. Guralnick, D. Bloom, J. Wieczorek, K. Braak, J. Otegui, L. Russell, </w:t>
      </w:r>
      <w:r w:rsidR="00F20B68">
        <w:t xml:space="preserve">and </w:t>
      </w:r>
      <w:r>
        <w:t>P. Desmet. 2014</w:t>
      </w:r>
      <w:r w:rsidR="00F20B68">
        <w:t xml:space="preserve">. </w:t>
      </w:r>
      <w:r>
        <w:t xml:space="preserve">The GBIF Integrated Publishing Toolkit: facilitating the efficient publishing of biodiversity data on the internet. </w:t>
      </w:r>
      <w:r w:rsidRPr="00184446">
        <w:rPr>
          <w:i/>
        </w:rPr>
        <w:t>PLoS ONE</w:t>
      </w:r>
      <w:r>
        <w:t xml:space="preserve"> 9(8): e102623. </w:t>
      </w:r>
      <w:hyperlink r:id="rId26" w:history="1">
        <w:r w:rsidRPr="0072468C">
          <w:rPr>
            <w:rStyle w:val="Hyperlink"/>
          </w:rPr>
          <w:t>doi:10.1371/journal.pone.0102623</w:t>
        </w:r>
      </w:hyperlink>
      <w:r>
        <w:t>.</w:t>
      </w:r>
    </w:p>
    <w:sectPr w:rsidR="00EC3162">
      <w:headerReference w:type="even" r:id="rId27"/>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D92D4" w14:textId="77777777" w:rsidR="00A568BA" w:rsidRDefault="00A568BA" w:rsidP="00A568BA">
      <w:pPr>
        <w:spacing w:line="240" w:lineRule="auto"/>
      </w:pPr>
      <w:r>
        <w:separator/>
      </w:r>
    </w:p>
  </w:endnote>
  <w:endnote w:type="continuationSeparator" w:id="0">
    <w:p w14:paraId="48162A49" w14:textId="77777777" w:rsidR="00A568BA" w:rsidRDefault="00A568BA" w:rsidP="00A56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52D8B" w14:textId="77777777" w:rsidR="00A568BA" w:rsidRDefault="00A568BA" w:rsidP="00A568BA">
      <w:pPr>
        <w:spacing w:line="240" w:lineRule="auto"/>
      </w:pPr>
      <w:r>
        <w:separator/>
      </w:r>
    </w:p>
  </w:footnote>
  <w:footnote w:type="continuationSeparator" w:id="0">
    <w:p w14:paraId="62498035" w14:textId="77777777" w:rsidR="00A568BA" w:rsidRDefault="00A568BA" w:rsidP="00A568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3F8E" w14:textId="77777777" w:rsidR="00A568BA" w:rsidRDefault="00AD1449">
    <w:pPr>
      <w:pStyle w:val="Header"/>
    </w:pPr>
    <w:sdt>
      <w:sdtPr>
        <w:id w:val="171999623"/>
        <w:placeholder>
          <w:docPart w:val="75A5609BBE5EC64FAF1A87BCA91F277C"/>
        </w:placeholder>
        <w:temporary/>
        <w:showingPlcHdr/>
      </w:sdtPr>
      <w:sdtEndPr/>
      <w:sdtContent>
        <w:r w:rsidR="00A568BA">
          <w:t>[Type text]</w:t>
        </w:r>
      </w:sdtContent>
    </w:sdt>
    <w:r w:rsidR="00A568BA">
      <w:ptab w:relativeTo="margin" w:alignment="center" w:leader="none"/>
    </w:r>
    <w:sdt>
      <w:sdtPr>
        <w:id w:val="171999624"/>
        <w:placeholder>
          <w:docPart w:val="000DAC00F9F505469072CE526C7A20DB"/>
        </w:placeholder>
        <w:temporary/>
        <w:showingPlcHdr/>
      </w:sdtPr>
      <w:sdtEndPr/>
      <w:sdtContent>
        <w:r w:rsidR="00A568BA">
          <w:t>[Type text]</w:t>
        </w:r>
      </w:sdtContent>
    </w:sdt>
    <w:r w:rsidR="00A568BA">
      <w:ptab w:relativeTo="margin" w:alignment="right" w:leader="none"/>
    </w:r>
    <w:sdt>
      <w:sdtPr>
        <w:id w:val="171999625"/>
        <w:placeholder>
          <w:docPart w:val="3FAAADDB8150944F988155C1E212F0C7"/>
        </w:placeholder>
        <w:temporary/>
        <w:showingPlcHdr/>
      </w:sdtPr>
      <w:sdtEndPr/>
      <w:sdtContent>
        <w:r w:rsidR="00A568BA">
          <w:t>[Type text]</w:t>
        </w:r>
      </w:sdtContent>
    </w:sdt>
  </w:p>
  <w:p w14:paraId="46D65A96" w14:textId="77777777" w:rsidR="00A568BA" w:rsidRDefault="00A568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F2A0A" w14:textId="41587985" w:rsidR="00A568BA" w:rsidRPr="00C75D77" w:rsidRDefault="00A568BA" w:rsidP="00A568BA">
    <w:pPr>
      <w:pStyle w:val="Header"/>
      <w:ind w:right="360"/>
    </w:pPr>
    <w:r>
      <w:t>Nelson</w:t>
    </w:r>
    <w:r w:rsidRPr="0029453B">
      <w:t xml:space="preserve"> et al.—App</w:t>
    </w:r>
    <w:r>
      <w:t>lications in Plant Sciences 2015</w:t>
    </w:r>
    <w:r w:rsidRPr="0029453B">
      <w:t xml:space="preserve"> </w:t>
    </w:r>
    <w:r>
      <w:t>3(9): 1500065</w:t>
    </w:r>
    <w:r w:rsidRPr="0029453B">
      <w:t>—Data Supplement S</w:t>
    </w:r>
    <w:r>
      <w:t>10</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AD1449">
      <w:rPr>
        <w:rStyle w:val="PageNumber"/>
        <w:noProof/>
      </w:rPr>
      <w:t>1</w:t>
    </w:r>
    <w:r w:rsidRPr="0029453B">
      <w:rPr>
        <w:rStyle w:val="PageNumber"/>
      </w:rPr>
      <w:fldChar w:fldCharType="end"/>
    </w:r>
  </w:p>
  <w:p w14:paraId="3981E3EC" w14:textId="77777777" w:rsidR="00A568BA" w:rsidRDefault="00A568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316"/>
    <w:rsid w:val="00070DEF"/>
    <w:rsid w:val="000865C7"/>
    <w:rsid w:val="000A21A6"/>
    <w:rsid w:val="000D72E7"/>
    <w:rsid w:val="00154BAE"/>
    <w:rsid w:val="00184446"/>
    <w:rsid w:val="001C2B84"/>
    <w:rsid w:val="00233B66"/>
    <w:rsid w:val="002821B3"/>
    <w:rsid w:val="00303BC5"/>
    <w:rsid w:val="003119E5"/>
    <w:rsid w:val="00314316"/>
    <w:rsid w:val="00436B6F"/>
    <w:rsid w:val="00463DAF"/>
    <w:rsid w:val="00583DDE"/>
    <w:rsid w:val="0060293C"/>
    <w:rsid w:val="00606FCE"/>
    <w:rsid w:val="00617C90"/>
    <w:rsid w:val="006F7162"/>
    <w:rsid w:val="0072468C"/>
    <w:rsid w:val="00730E3A"/>
    <w:rsid w:val="007409C2"/>
    <w:rsid w:val="00770F66"/>
    <w:rsid w:val="00782BEA"/>
    <w:rsid w:val="007C4CA4"/>
    <w:rsid w:val="00880030"/>
    <w:rsid w:val="008F10C1"/>
    <w:rsid w:val="00907F8B"/>
    <w:rsid w:val="00916E8B"/>
    <w:rsid w:val="00A568BA"/>
    <w:rsid w:val="00A87460"/>
    <w:rsid w:val="00AD1449"/>
    <w:rsid w:val="00B060DD"/>
    <w:rsid w:val="00B44111"/>
    <w:rsid w:val="00E2370B"/>
    <w:rsid w:val="00EC3162"/>
    <w:rsid w:val="00F20B68"/>
    <w:rsid w:val="00F616C7"/>
    <w:rsid w:val="00FD6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47F22"/>
  <w15:docId w15:val="{BA5927CD-CA81-4F35-B8A4-4D5C737B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606FCE"/>
    <w:rPr>
      <w:sz w:val="16"/>
      <w:szCs w:val="16"/>
    </w:rPr>
  </w:style>
  <w:style w:type="paragraph" w:styleId="CommentText">
    <w:name w:val="annotation text"/>
    <w:basedOn w:val="Normal"/>
    <w:link w:val="CommentTextChar"/>
    <w:uiPriority w:val="99"/>
    <w:semiHidden/>
    <w:unhideWhenUsed/>
    <w:rsid w:val="00606FCE"/>
    <w:pPr>
      <w:spacing w:line="240" w:lineRule="auto"/>
    </w:pPr>
    <w:rPr>
      <w:sz w:val="20"/>
    </w:rPr>
  </w:style>
  <w:style w:type="character" w:customStyle="1" w:styleId="CommentTextChar">
    <w:name w:val="Comment Text Char"/>
    <w:basedOn w:val="DefaultParagraphFont"/>
    <w:link w:val="CommentText"/>
    <w:uiPriority w:val="99"/>
    <w:semiHidden/>
    <w:rsid w:val="00606FCE"/>
    <w:rPr>
      <w:sz w:val="20"/>
    </w:rPr>
  </w:style>
  <w:style w:type="paragraph" w:styleId="CommentSubject">
    <w:name w:val="annotation subject"/>
    <w:basedOn w:val="CommentText"/>
    <w:next w:val="CommentText"/>
    <w:link w:val="CommentSubjectChar"/>
    <w:uiPriority w:val="99"/>
    <w:semiHidden/>
    <w:unhideWhenUsed/>
    <w:rsid w:val="00606FCE"/>
    <w:rPr>
      <w:b/>
      <w:bCs/>
    </w:rPr>
  </w:style>
  <w:style w:type="character" w:customStyle="1" w:styleId="CommentSubjectChar">
    <w:name w:val="Comment Subject Char"/>
    <w:basedOn w:val="CommentTextChar"/>
    <w:link w:val="CommentSubject"/>
    <w:uiPriority w:val="99"/>
    <w:semiHidden/>
    <w:rsid w:val="00606FCE"/>
    <w:rPr>
      <w:b/>
      <w:bCs/>
      <w:sz w:val="20"/>
    </w:rPr>
  </w:style>
  <w:style w:type="paragraph" w:styleId="BalloonText">
    <w:name w:val="Balloon Text"/>
    <w:basedOn w:val="Normal"/>
    <w:link w:val="BalloonTextChar"/>
    <w:uiPriority w:val="99"/>
    <w:semiHidden/>
    <w:unhideWhenUsed/>
    <w:rsid w:val="00606F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FCE"/>
    <w:rPr>
      <w:rFonts w:ascii="Segoe UI" w:hAnsi="Segoe UI" w:cs="Segoe UI"/>
      <w:sz w:val="18"/>
      <w:szCs w:val="18"/>
    </w:rPr>
  </w:style>
  <w:style w:type="character" w:styleId="Hyperlink">
    <w:name w:val="Hyperlink"/>
    <w:basedOn w:val="DefaultParagraphFont"/>
    <w:uiPriority w:val="99"/>
    <w:unhideWhenUsed/>
    <w:rsid w:val="0072468C"/>
    <w:rPr>
      <w:color w:val="0563C1" w:themeColor="hyperlink"/>
      <w:u w:val="single"/>
    </w:rPr>
  </w:style>
  <w:style w:type="character" w:styleId="FollowedHyperlink">
    <w:name w:val="FollowedHyperlink"/>
    <w:basedOn w:val="DefaultParagraphFont"/>
    <w:uiPriority w:val="99"/>
    <w:semiHidden/>
    <w:unhideWhenUsed/>
    <w:rsid w:val="0072468C"/>
    <w:rPr>
      <w:color w:val="954F72" w:themeColor="followedHyperlink"/>
      <w:u w:val="single"/>
    </w:rPr>
  </w:style>
  <w:style w:type="paragraph" w:styleId="Header">
    <w:name w:val="header"/>
    <w:basedOn w:val="Normal"/>
    <w:link w:val="HeaderChar"/>
    <w:uiPriority w:val="99"/>
    <w:unhideWhenUsed/>
    <w:rsid w:val="00A568BA"/>
    <w:pPr>
      <w:tabs>
        <w:tab w:val="center" w:pos="4320"/>
        <w:tab w:val="right" w:pos="8640"/>
      </w:tabs>
      <w:spacing w:line="240" w:lineRule="auto"/>
    </w:pPr>
  </w:style>
  <w:style w:type="character" w:customStyle="1" w:styleId="HeaderChar">
    <w:name w:val="Header Char"/>
    <w:basedOn w:val="DefaultParagraphFont"/>
    <w:link w:val="Header"/>
    <w:uiPriority w:val="99"/>
    <w:rsid w:val="00A568BA"/>
  </w:style>
  <w:style w:type="paragraph" w:styleId="Footer">
    <w:name w:val="footer"/>
    <w:basedOn w:val="Normal"/>
    <w:link w:val="FooterChar"/>
    <w:uiPriority w:val="99"/>
    <w:unhideWhenUsed/>
    <w:rsid w:val="00A568BA"/>
    <w:pPr>
      <w:tabs>
        <w:tab w:val="center" w:pos="4320"/>
        <w:tab w:val="right" w:pos="8640"/>
      </w:tabs>
      <w:spacing w:line="240" w:lineRule="auto"/>
    </w:pPr>
  </w:style>
  <w:style w:type="character" w:customStyle="1" w:styleId="FooterChar">
    <w:name w:val="Footer Char"/>
    <w:basedOn w:val="DefaultParagraphFont"/>
    <w:link w:val="Footer"/>
    <w:uiPriority w:val="99"/>
    <w:rsid w:val="00A568BA"/>
  </w:style>
  <w:style w:type="character" w:styleId="PageNumber">
    <w:name w:val="page number"/>
    <w:basedOn w:val="DefaultParagraphFont"/>
    <w:uiPriority w:val="99"/>
    <w:semiHidden/>
    <w:unhideWhenUsed/>
    <w:rsid w:val="00A5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71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hyperlink" Target="http://systbio.org/files/phyloinformatics/7.pdf" TargetMode="External"/><Relationship Id="rId18" Type="http://schemas.openxmlformats.org/officeDocument/2006/relationships/hyperlink" Target="http://rs.tdwg.org/dwc/terms/index.htm" TargetMode="External"/><Relationship Id="rId26" Type="http://schemas.openxmlformats.org/officeDocument/2006/relationships/hyperlink" Target="http://dx.doi.org/10.1371/journal.pone.0102623" TargetMode="External"/><Relationship Id="rId3" Type="http://schemas.openxmlformats.org/officeDocument/2006/relationships/settings" Target="settings.xml"/><Relationship Id="rId21" Type="http://schemas.openxmlformats.org/officeDocument/2006/relationships/hyperlink" Target="https://www.dataone.org/best-practices/backup-your-data" TargetMode="External"/><Relationship Id="rId7" Type="http://schemas.openxmlformats.org/officeDocument/2006/relationships/hyperlink" Target="https://github.com/iDigBioWorkflows/FlatSheetsDigitizatonWorkflows" TargetMode="External"/><Relationship Id="rId12" Type="http://schemas.openxmlformats.org/officeDocument/2006/relationships/hyperlink" Target="http://citeseerx.ist.psu.edu/viewdoc/download?doi=10.1.1.113.2339&amp;rep=rep1&amp;type=pdf" TargetMode="External"/><Relationship Id="rId17" Type="http://schemas.openxmlformats.org/officeDocument/2006/relationships/hyperlink" Target="https://www.idigbio.org/content/biological-collections-databases" TargetMode="External"/><Relationship Id="rId25" Type="http://schemas.openxmlformats.org/officeDocument/2006/relationships/hyperlink" Target="http://systbio.org/files/phyloinformatics/7.pdf" TargetMode="External"/><Relationship Id="rId2" Type="http://schemas.openxmlformats.org/officeDocument/2006/relationships/styles" Target="styles.xml"/><Relationship Id="rId16" Type="http://schemas.openxmlformats.org/officeDocument/2006/relationships/hyperlink" Target="http://www.museumsoftware.com/" TargetMode="External"/><Relationship Id="rId20" Type="http://schemas.openxmlformats.org/officeDocument/2006/relationships/hyperlink" Target="http://dx.doi.org/10.1371/journal.pone.010262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ecifyx.specifysoftware.org/" TargetMode="External"/><Relationship Id="rId24" Type="http://schemas.openxmlformats.org/officeDocument/2006/relationships/hyperlink" Target="http://systbio.org/files/phyloinformatics/7.pdf" TargetMode="External"/><Relationship Id="rId5" Type="http://schemas.openxmlformats.org/officeDocument/2006/relationships/footnotes" Target="footnotes.xml"/><Relationship Id="rId15" Type="http://schemas.openxmlformats.org/officeDocument/2006/relationships/hyperlink" Target="http://www.kesoftware.com/" TargetMode="External"/><Relationship Id="rId23" Type="http://schemas.openxmlformats.org/officeDocument/2006/relationships/hyperlink" Target="http://www.gbif.org/resource/80574" TargetMode="External"/><Relationship Id="rId28" Type="http://schemas.openxmlformats.org/officeDocument/2006/relationships/header" Target="header2.xml"/><Relationship Id="rId10" Type="http://schemas.openxmlformats.org/officeDocument/2006/relationships/hyperlink" Target="http://symbiota.org/" TargetMode="External"/><Relationship Id="rId19" Type="http://schemas.openxmlformats.org/officeDocument/2006/relationships/hyperlink" Target="http://rs.tdwg.org/dwc/terms/index.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bif.org/resource/80574" TargetMode="External"/><Relationship Id="rId14" Type="http://schemas.openxmlformats.org/officeDocument/2006/relationships/hyperlink" Target="http://arctosdb.org/" TargetMode="External"/><Relationship Id="rId22" Type="http://schemas.openxmlformats.org/officeDocument/2006/relationships/hyperlink" Target="https://www.dataone.org/best-practices/backup-your-data"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A5609BBE5EC64FAF1A87BCA91F277C"/>
        <w:category>
          <w:name w:val="General"/>
          <w:gallery w:val="placeholder"/>
        </w:category>
        <w:types>
          <w:type w:val="bbPlcHdr"/>
        </w:types>
        <w:behaviors>
          <w:behavior w:val="content"/>
        </w:behaviors>
        <w:guid w:val="{EB1B6554-CFCE-D44F-B531-68880234AA3C}"/>
      </w:docPartPr>
      <w:docPartBody>
        <w:p w:rsidR="0002628C" w:rsidRDefault="001E3E52" w:rsidP="001E3E52">
          <w:pPr>
            <w:pStyle w:val="75A5609BBE5EC64FAF1A87BCA91F277C"/>
          </w:pPr>
          <w:r>
            <w:t>[Type text]</w:t>
          </w:r>
        </w:p>
      </w:docPartBody>
    </w:docPart>
    <w:docPart>
      <w:docPartPr>
        <w:name w:val="000DAC00F9F505469072CE526C7A20DB"/>
        <w:category>
          <w:name w:val="General"/>
          <w:gallery w:val="placeholder"/>
        </w:category>
        <w:types>
          <w:type w:val="bbPlcHdr"/>
        </w:types>
        <w:behaviors>
          <w:behavior w:val="content"/>
        </w:behaviors>
        <w:guid w:val="{7983586A-C0AB-8C4A-9151-3F4EC8CCA73F}"/>
      </w:docPartPr>
      <w:docPartBody>
        <w:p w:rsidR="0002628C" w:rsidRDefault="001E3E52" w:rsidP="001E3E52">
          <w:pPr>
            <w:pStyle w:val="000DAC00F9F505469072CE526C7A20DB"/>
          </w:pPr>
          <w:r>
            <w:t>[Type text]</w:t>
          </w:r>
        </w:p>
      </w:docPartBody>
    </w:docPart>
    <w:docPart>
      <w:docPartPr>
        <w:name w:val="3FAAADDB8150944F988155C1E212F0C7"/>
        <w:category>
          <w:name w:val="General"/>
          <w:gallery w:val="placeholder"/>
        </w:category>
        <w:types>
          <w:type w:val="bbPlcHdr"/>
        </w:types>
        <w:behaviors>
          <w:behavior w:val="content"/>
        </w:behaviors>
        <w:guid w:val="{B4737556-A3EF-2346-A32B-D264D9711402}"/>
      </w:docPartPr>
      <w:docPartBody>
        <w:p w:rsidR="0002628C" w:rsidRDefault="001E3E52" w:rsidP="001E3E52">
          <w:pPr>
            <w:pStyle w:val="3FAAADDB8150944F988155C1E212F0C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52"/>
    <w:rsid w:val="0002628C"/>
    <w:rsid w:val="001E3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5609BBE5EC64FAF1A87BCA91F277C">
    <w:name w:val="75A5609BBE5EC64FAF1A87BCA91F277C"/>
    <w:rsid w:val="001E3E52"/>
  </w:style>
  <w:style w:type="paragraph" w:customStyle="1" w:styleId="000DAC00F9F505469072CE526C7A20DB">
    <w:name w:val="000DAC00F9F505469072CE526C7A20DB"/>
    <w:rsid w:val="001E3E52"/>
  </w:style>
  <w:style w:type="paragraph" w:customStyle="1" w:styleId="3FAAADDB8150944F988155C1E212F0C7">
    <w:name w:val="3FAAADDB8150944F988155C1E212F0C7"/>
    <w:rsid w:val="001E3E52"/>
  </w:style>
  <w:style w:type="paragraph" w:customStyle="1" w:styleId="5DB6811CB58D2148B62084E63A6C9AF3">
    <w:name w:val="5DB6811CB58D2148B62084E63A6C9AF3"/>
    <w:rsid w:val="001E3E52"/>
  </w:style>
  <w:style w:type="paragraph" w:customStyle="1" w:styleId="52022F8C52F5204D8A76F00A871AB697">
    <w:name w:val="52022F8C52F5204D8A76F00A871AB697"/>
    <w:rsid w:val="001E3E52"/>
  </w:style>
  <w:style w:type="paragraph" w:customStyle="1" w:styleId="86AD3A6D2AC5D04A8124244EB5053778">
    <w:name w:val="86AD3A6D2AC5D04A8124244EB5053778"/>
    <w:rsid w:val="001E3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22272-0443-4568-93BC-5A1CF967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Gil Nelson</cp:lastModifiedBy>
  <cp:revision>20</cp:revision>
  <dcterms:created xsi:type="dcterms:W3CDTF">2015-05-25T12:19:00Z</dcterms:created>
  <dcterms:modified xsi:type="dcterms:W3CDTF">2015-08-31T13:04:00Z</dcterms:modified>
</cp:coreProperties>
</file>