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2EFF98EA" w14:textId="0A1ABF11" w:rsidR="00E64491" w:rsidRPr="00E64491" w:rsidRDefault="00E64491">
      <w:pPr>
        <w:rPr>
          <w:rFonts w:ascii="Arial" w:eastAsia="Arial" w:hAnsi="Arial" w:cs="Arial"/>
          <w:sz w:val="20"/>
        </w:rPr>
      </w:pPr>
      <w:r w:rsidRPr="00E64491">
        <w:t xml:space="preserve">This workflow was developed at an iDigBio workshop in January 2015. The most recent version is available at </w:t>
      </w:r>
      <w:bookmarkStart w:id="0" w:name="_GoBack"/>
      <w:bookmarkEnd w:id="0"/>
      <w:r w:rsidR="00B7235A">
        <w:rPr>
          <w:color w:val="0000FF"/>
          <w:u w:val="single"/>
        </w:rPr>
        <w:fldChar w:fldCharType="begin"/>
      </w:r>
      <w:r w:rsidR="00B7235A">
        <w:rPr>
          <w:color w:val="0000FF"/>
          <w:u w:val="single"/>
        </w:rPr>
        <w:instrText xml:space="preserve"> HYPERLINK "</w:instrText>
      </w:r>
      <w:r w:rsidR="00B7235A" w:rsidRPr="00E64491">
        <w:rPr>
          <w:color w:val="0000FF"/>
          <w:u w:val="single"/>
        </w:rPr>
        <w:instrText>https://github.com/iDigBioWorkflows/FlatSheetsDigitizat</w:instrText>
      </w:r>
      <w:r w:rsidR="00B7235A">
        <w:rPr>
          <w:color w:val="0000FF"/>
          <w:u w:val="single"/>
        </w:rPr>
        <w:instrText>i</w:instrText>
      </w:r>
      <w:r w:rsidR="00B7235A" w:rsidRPr="00E64491">
        <w:rPr>
          <w:color w:val="0000FF"/>
          <w:u w:val="single"/>
        </w:rPr>
        <w:instrText>onWorkflows</w:instrText>
      </w:r>
      <w:r w:rsidR="00B7235A">
        <w:rPr>
          <w:color w:val="0000FF"/>
          <w:u w:val="single"/>
        </w:rPr>
        <w:instrText xml:space="preserve">" </w:instrText>
      </w:r>
      <w:r w:rsidR="00B7235A">
        <w:rPr>
          <w:color w:val="0000FF"/>
          <w:u w:val="single"/>
        </w:rPr>
        <w:fldChar w:fldCharType="separate"/>
      </w:r>
      <w:r w:rsidR="00B7235A" w:rsidRPr="0017544E">
        <w:rPr>
          <w:rStyle w:val="Hyperlink"/>
        </w:rPr>
        <w:t>https://github.com/iDigBioWorkflows/FlatSheetsD</w:t>
      </w:r>
      <w:r w:rsidR="00B7235A" w:rsidRPr="0017544E">
        <w:rPr>
          <w:rStyle w:val="Hyperlink"/>
        </w:rPr>
        <w:t>i</w:t>
      </w:r>
      <w:r w:rsidR="00B7235A" w:rsidRPr="0017544E">
        <w:rPr>
          <w:rStyle w:val="Hyperlink"/>
        </w:rPr>
        <w:t>gitizationWorkflows</w:t>
      </w:r>
      <w:r w:rsidR="00B7235A">
        <w:rPr>
          <w:color w:val="0000FF"/>
          <w:u w:val="single"/>
        </w:rPr>
        <w:fldChar w:fldCharType="end"/>
      </w:r>
      <w:r w:rsidRPr="00E64491">
        <w:t xml:space="preserve"> and </w:t>
      </w:r>
      <w:hyperlink r:id="rId8" w:tgtFrame="_blank" w:history="1">
        <w:r w:rsidRPr="00E64491">
          <w:rPr>
            <w:color w:val="0000FF"/>
            <w:u w:val="single"/>
          </w:rPr>
          <w:t>https://www.idigbio.org/content/workflow-modules-and-task-lists</w:t>
        </w:r>
      </w:hyperlink>
      <w:r w:rsidRPr="00E64491">
        <w:t>.</w:t>
      </w:r>
    </w:p>
    <w:p w14:paraId="1E9A1C55" w14:textId="77777777" w:rsidR="00E64491" w:rsidRDefault="00E64491">
      <w:pPr>
        <w:rPr>
          <w:rFonts w:ascii="Arial" w:eastAsia="Arial" w:hAnsi="Arial" w:cs="Arial"/>
          <w:b/>
        </w:rPr>
      </w:pPr>
    </w:p>
    <w:p w14:paraId="291EC6B3" w14:textId="209654BE" w:rsidR="007E2E39" w:rsidRDefault="008A6777">
      <w:r>
        <w:rPr>
          <w:rFonts w:ascii="Arial" w:eastAsia="Arial" w:hAnsi="Arial" w:cs="Arial"/>
          <w:b/>
        </w:rPr>
        <w:t xml:space="preserve">Appendix S11. </w:t>
      </w:r>
      <w:r w:rsidR="00C50675">
        <w:rPr>
          <w:rFonts w:ascii="Arial" w:eastAsia="Arial" w:hAnsi="Arial" w:cs="Arial"/>
          <w:b/>
        </w:rPr>
        <w:t>Module 11: Data Capture</w:t>
      </w:r>
    </w:p>
    <w:p w14:paraId="1CB98C8F" w14:textId="77777777" w:rsidR="007E2E39" w:rsidRDefault="007E2E39"/>
    <w:p w14:paraId="15520106" w14:textId="679F68E5" w:rsidR="007E2E39" w:rsidRDefault="00C50675">
      <w:r>
        <w:rPr>
          <w:rFonts w:ascii="Arial" w:eastAsia="Arial" w:hAnsi="Arial" w:cs="Arial"/>
          <w:sz w:val="22"/>
        </w:rPr>
        <w:t>The underlying focus of the steps throughout these digitization modules is to encourage i</w:t>
      </w:r>
      <w:r w:rsidR="008A6777">
        <w:rPr>
          <w:rFonts w:ascii="Arial" w:eastAsia="Arial" w:hAnsi="Arial" w:cs="Arial"/>
          <w:sz w:val="22"/>
        </w:rPr>
        <w:t>nstitutions to follow an object-to-image-to-</w:t>
      </w:r>
      <w:r>
        <w:rPr>
          <w:rFonts w:ascii="Arial" w:eastAsia="Arial" w:hAnsi="Arial" w:cs="Arial"/>
          <w:sz w:val="22"/>
        </w:rPr>
        <w:t>data workflow through which all specimens are first imaged and data recorded from these images. Nevertheless, some institutions choose, for various justifiabl</w:t>
      </w:r>
      <w:r w:rsidR="008A6777">
        <w:rPr>
          <w:rFonts w:ascii="Arial" w:eastAsia="Arial" w:hAnsi="Arial" w:cs="Arial"/>
          <w:sz w:val="22"/>
        </w:rPr>
        <w:t>e reasons, to pursue a specimen-to-</w:t>
      </w:r>
      <w:r>
        <w:rPr>
          <w:rFonts w:ascii="Arial" w:eastAsia="Arial" w:hAnsi="Arial" w:cs="Arial"/>
          <w:sz w:val="22"/>
        </w:rPr>
        <w:t>data workflow and we try to accommodate both approaches below.</w:t>
      </w:r>
    </w:p>
    <w:p w14:paraId="05FE0A11" w14:textId="77777777" w:rsidR="007E2E39" w:rsidRDefault="007E2E39"/>
    <w:p w14:paraId="7DD4DB34" w14:textId="77777777" w:rsidR="007E2E39" w:rsidRDefault="007E2E39"/>
    <w:tbl>
      <w:tblPr>
        <w:tblStyle w:val="a"/>
        <w:tblW w:w="9573" w:type="dxa"/>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84"/>
        <w:gridCol w:w="2195"/>
        <w:gridCol w:w="4516"/>
        <w:gridCol w:w="2078"/>
      </w:tblGrid>
      <w:tr w:rsidR="007E2E39" w14:paraId="254F06A8" w14:textId="77777777" w:rsidTr="00FC176B">
        <w:trPr>
          <w:cnfStyle w:val="000000100000" w:firstRow="0" w:lastRow="0" w:firstColumn="0" w:lastColumn="0" w:oddVBand="0" w:evenVBand="0" w:oddHBand="1" w:evenHBand="0" w:firstRowFirstColumn="0" w:firstRowLastColumn="0" w:lastRowFirstColumn="0" w:lastRowLastColumn="0"/>
          <w:trHeight w:val="240"/>
        </w:trPr>
        <w:tc>
          <w:tcPr>
            <w:tcW w:w="784" w:type="dxa"/>
          </w:tcPr>
          <w:p w14:paraId="69EA6076" w14:textId="77777777" w:rsidR="007E2E39" w:rsidRDefault="00C50675" w:rsidP="008A0A5B">
            <w:pPr>
              <w:jc w:val="center"/>
            </w:pPr>
            <w:r>
              <w:rPr>
                <w:rFonts w:ascii="Arial" w:eastAsia="Arial" w:hAnsi="Arial" w:cs="Arial"/>
                <w:b/>
                <w:sz w:val="22"/>
              </w:rPr>
              <w:t>Task ID</w:t>
            </w:r>
          </w:p>
        </w:tc>
        <w:tc>
          <w:tcPr>
            <w:tcW w:w="2195" w:type="dxa"/>
          </w:tcPr>
          <w:p w14:paraId="5F837165" w14:textId="77777777" w:rsidR="007E2E39" w:rsidRDefault="00C50675">
            <w:r>
              <w:rPr>
                <w:rFonts w:ascii="Arial" w:eastAsia="Arial" w:hAnsi="Arial" w:cs="Arial"/>
                <w:b/>
                <w:sz w:val="22"/>
              </w:rPr>
              <w:t>Task Description</w:t>
            </w:r>
          </w:p>
        </w:tc>
        <w:tc>
          <w:tcPr>
            <w:tcW w:w="4516" w:type="dxa"/>
          </w:tcPr>
          <w:p w14:paraId="50A22A6C" w14:textId="77777777" w:rsidR="007E2E39" w:rsidRDefault="00C50675">
            <w:r>
              <w:rPr>
                <w:rFonts w:ascii="Arial" w:eastAsia="Arial" w:hAnsi="Arial" w:cs="Arial"/>
                <w:b/>
                <w:sz w:val="22"/>
              </w:rPr>
              <w:t>Explanations and Comments</w:t>
            </w:r>
          </w:p>
        </w:tc>
        <w:tc>
          <w:tcPr>
            <w:tcW w:w="2078" w:type="dxa"/>
          </w:tcPr>
          <w:p w14:paraId="78425F4D" w14:textId="77777777" w:rsidR="007E2E39" w:rsidRDefault="00C50675">
            <w:r>
              <w:rPr>
                <w:rFonts w:ascii="Arial" w:eastAsia="Arial" w:hAnsi="Arial" w:cs="Arial"/>
                <w:b/>
                <w:sz w:val="22"/>
              </w:rPr>
              <w:t>Resources</w:t>
            </w:r>
          </w:p>
        </w:tc>
      </w:tr>
      <w:tr w:rsidR="007E2E39" w14:paraId="3F25658E" w14:textId="77777777" w:rsidTr="00FC176B">
        <w:trPr>
          <w:cnfStyle w:val="000000010000" w:firstRow="0" w:lastRow="0" w:firstColumn="0" w:lastColumn="0" w:oddVBand="0" w:evenVBand="0" w:oddHBand="0" w:evenHBand="1" w:firstRowFirstColumn="0" w:firstRowLastColumn="0" w:lastRowFirstColumn="0" w:lastRowLastColumn="0"/>
          <w:trHeight w:val="1520"/>
        </w:trPr>
        <w:tc>
          <w:tcPr>
            <w:tcW w:w="784" w:type="dxa"/>
          </w:tcPr>
          <w:p w14:paraId="63BF3445" w14:textId="77777777" w:rsidR="007E2E39" w:rsidRDefault="00C50675">
            <w:r>
              <w:rPr>
                <w:rFonts w:ascii="Arial" w:eastAsia="Arial" w:hAnsi="Arial" w:cs="Arial"/>
                <w:b/>
                <w:sz w:val="22"/>
              </w:rPr>
              <w:t>T1</w:t>
            </w:r>
          </w:p>
        </w:tc>
        <w:tc>
          <w:tcPr>
            <w:tcW w:w="2195" w:type="dxa"/>
          </w:tcPr>
          <w:p w14:paraId="394521B8" w14:textId="77777777" w:rsidR="007E2E39" w:rsidRDefault="00C50675">
            <w:r>
              <w:rPr>
                <w:rFonts w:ascii="Arial" w:eastAsia="Arial" w:hAnsi="Arial" w:cs="Arial"/>
                <w:sz w:val="22"/>
              </w:rPr>
              <w:t>Perform any preparatory steps.</w:t>
            </w:r>
          </w:p>
        </w:tc>
        <w:tc>
          <w:tcPr>
            <w:tcW w:w="4516" w:type="dxa"/>
          </w:tcPr>
          <w:p w14:paraId="2C2B63D7" w14:textId="77777777" w:rsidR="007E2E39" w:rsidRDefault="00C50675">
            <w:r>
              <w:rPr>
                <w:rFonts w:ascii="Arial" w:eastAsia="Arial" w:hAnsi="Arial" w:cs="Arial"/>
                <w:sz w:val="22"/>
              </w:rPr>
              <w:t xml:space="preserve">Determine application to be used for data capture, taking into consideration community standards (especially the Darwin Core standard) and project and institutional informatics environment, requirements, and policies. </w:t>
            </w:r>
          </w:p>
          <w:p w14:paraId="17A1FA56" w14:textId="77777777" w:rsidR="007E2E39" w:rsidRDefault="007E2E39"/>
          <w:p w14:paraId="3C0D76CE" w14:textId="7ABA8E7C" w:rsidR="007E2E39" w:rsidRDefault="00C50675">
            <w:r>
              <w:rPr>
                <w:rFonts w:ascii="Arial" w:eastAsia="Arial" w:hAnsi="Arial" w:cs="Arial"/>
                <w:sz w:val="22"/>
              </w:rPr>
              <w:t xml:space="preserve">The data capture application (and underlying database) may not be </w:t>
            </w:r>
            <w:r w:rsidR="00405084">
              <w:rPr>
                <w:rFonts w:ascii="Arial" w:eastAsia="Arial" w:hAnsi="Arial" w:cs="Arial"/>
                <w:sz w:val="22"/>
              </w:rPr>
              <w:t>the</w:t>
            </w:r>
            <w:r>
              <w:rPr>
                <w:rFonts w:ascii="Arial" w:eastAsia="Arial" w:hAnsi="Arial" w:cs="Arial"/>
                <w:sz w:val="22"/>
              </w:rPr>
              <w:t xml:space="preserve"> primary institutional database. For example, one might capture data via an intermediate application/database (e.g., a web-based application and underlying database) and then later import the data into the primary institutional database.</w:t>
            </w:r>
          </w:p>
          <w:p w14:paraId="6B939433" w14:textId="77777777" w:rsidR="007E2E39" w:rsidRDefault="007E2E39"/>
          <w:p w14:paraId="17A960CA" w14:textId="752A808C" w:rsidR="007E2E39" w:rsidRDefault="00C50675">
            <w:r>
              <w:rPr>
                <w:rFonts w:ascii="Arial" w:eastAsia="Arial" w:hAnsi="Arial" w:cs="Arial"/>
                <w:sz w:val="22"/>
              </w:rPr>
              <w:t xml:space="preserve">Load images and skeletal records (if relevant) into application being used for data capture. Perform other tasks that facilitate data capture such as </w:t>
            </w:r>
            <w:r w:rsidR="009257A6">
              <w:rPr>
                <w:rFonts w:ascii="Arial" w:eastAsia="Arial" w:hAnsi="Arial" w:cs="Arial"/>
                <w:sz w:val="22"/>
              </w:rPr>
              <w:t>o</w:t>
            </w:r>
            <w:r>
              <w:rPr>
                <w:rFonts w:ascii="Arial" w:eastAsia="Arial" w:hAnsi="Arial" w:cs="Arial"/>
                <w:sz w:val="22"/>
              </w:rPr>
              <w:t xml:space="preserve">ptical </w:t>
            </w:r>
            <w:r w:rsidR="009257A6">
              <w:rPr>
                <w:rFonts w:ascii="Arial" w:eastAsia="Arial" w:hAnsi="Arial" w:cs="Arial"/>
                <w:sz w:val="22"/>
              </w:rPr>
              <w:t xml:space="preserve">character recognition </w:t>
            </w:r>
            <w:r>
              <w:rPr>
                <w:rFonts w:ascii="Arial" w:eastAsia="Arial" w:hAnsi="Arial" w:cs="Arial"/>
                <w:sz w:val="22"/>
              </w:rPr>
              <w:t>(OCR):</w:t>
            </w:r>
          </w:p>
          <w:p w14:paraId="57F2ED63" w14:textId="77777777" w:rsidR="007E2E39" w:rsidRDefault="007E2E39"/>
          <w:p w14:paraId="1D89DE29" w14:textId="5CA5534E" w:rsidR="007E2E39" w:rsidRDefault="00C50675">
            <w:pPr>
              <w:numPr>
                <w:ilvl w:val="0"/>
                <w:numId w:val="3"/>
              </w:numPr>
              <w:ind w:hanging="360"/>
              <w:rPr>
                <w:sz w:val="22"/>
              </w:rPr>
            </w:pPr>
            <w:r>
              <w:rPr>
                <w:rFonts w:ascii="Arial" w:eastAsia="Arial" w:hAnsi="Arial" w:cs="Arial"/>
                <w:sz w:val="22"/>
              </w:rPr>
              <w:t xml:space="preserve">It is strongly recommended that a specimen record with minimal data (a skeletal record) be created in a prior module (most logically </w:t>
            </w:r>
            <w:r w:rsidR="009257A6">
              <w:rPr>
                <w:rFonts w:ascii="Arial" w:eastAsia="Arial" w:hAnsi="Arial" w:cs="Arial"/>
                <w:sz w:val="22"/>
              </w:rPr>
              <w:t xml:space="preserve">Module 6: </w:t>
            </w:r>
            <w:r>
              <w:rPr>
                <w:rFonts w:ascii="Arial" w:eastAsia="Arial" w:hAnsi="Arial" w:cs="Arial"/>
                <w:sz w:val="22"/>
              </w:rPr>
              <w:t>Imaging). This record must at least contain a barcode and preferably taxonomic and/or geographic data. This facilitates sorting and filtering of records at later steps in this module.</w:t>
            </w:r>
          </w:p>
          <w:p w14:paraId="4D1C93A6" w14:textId="77777777" w:rsidR="007E2E39" w:rsidRDefault="007E2E39"/>
          <w:p w14:paraId="5C592F74" w14:textId="3A8C4359" w:rsidR="007E2E39" w:rsidRDefault="00C50675">
            <w:pPr>
              <w:numPr>
                <w:ilvl w:val="0"/>
                <w:numId w:val="5"/>
              </w:numPr>
              <w:ind w:hanging="360"/>
              <w:rPr>
                <w:sz w:val="22"/>
              </w:rPr>
            </w:pPr>
            <w:r>
              <w:rPr>
                <w:rFonts w:ascii="Arial" w:eastAsia="Arial" w:hAnsi="Arial" w:cs="Arial"/>
                <w:sz w:val="22"/>
              </w:rPr>
              <w:t xml:space="preserve">OCR processing should occur before manual data capture begins. Consider </w:t>
            </w:r>
            <w:r w:rsidR="009257A6">
              <w:rPr>
                <w:rFonts w:ascii="Arial" w:eastAsia="Arial" w:hAnsi="Arial" w:cs="Arial"/>
                <w:sz w:val="22"/>
              </w:rPr>
              <w:t xml:space="preserve">the </w:t>
            </w:r>
            <w:r>
              <w:rPr>
                <w:rFonts w:ascii="Arial" w:eastAsia="Arial" w:hAnsi="Arial" w:cs="Arial"/>
                <w:sz w:val="22"/>
              </w:rPr>
              <w:t xml:space="preserve">particular OCR software being used and how this integrates with </w:t>
            </w:r>
            <w:r w:rsidR="009257A6">
              <w:rPr>
                <w:rFonts w:ascii="Arial" w:eastAsia="Arial" w:hAnsi="Arial" w:cs="Arial"/>
                <w:sz w:val="22"/>
              </w:rPr>
              <w:t xml:space="preserve">the </w:t>
            </w:r>
            <w:r>
              <w:rPr>
                <w:rFonts w:ascii="Arial" w:eastAsia="Arial" w:hAnsi="Arial" w:cs="Arial"/>
                <w:sz w:val="22"/>
              </w:rPr>
              <w:t>software being used for manual data capture and other databases where the records will reside.</w:t>
            </w:r>
          </w:p>
          <w:p w14:paraId="647E6169" w14:textId="77777777" w:rsidR="007E2E39" w:rsidRDefault="007E2E39"/>
          <w:p w14:paraId="5F6BE50A" w14:textId="77777777" w:rsidR="007E2E39" w:rsidRDefault="00C50675">
            <w:pPr>
              <w:keepNext/>
            </w:pPr>
            <w:r>
              <w:rPr>
                <w:rFonts w:ascii="Arial" w:eastAsia="Arial" w:hAnsi="Arial" w:cs="Arial"/>
                <w:sz w:val="22"/>
              </w:rPr>
              <w:t>When included,</w:t>
            </w:r>
            <w:r w:rsidR="00483D19">
              <w:rPr>
                <w:rFonts w:ascii="Arial" w:eastAsia="Arial" w:hAnsi="Arial" w:cs="Arial"/>
                <w:sz w:val="22"/>
              </w:rPr>
              <w:t xml:space="preserve"> </w:t>
            </w:r>
            <w:r>
              <w:rPr>
                <w:rFonts w:ascii="Arial" w:eastAsia="Arial" w:hAnsi="Arial" w:cs="Arial"/>
                <w:sz w:val="22"/>
              </w:rPr>
              <w:t>OCR constitutes a subtask of at least the following steps:</w:t>
            </w:r>
          </w:p>
          <w:p w14:paraId="493EA00D" w14:textId="77777777" w:rsidR="007E2E39" w:rsidRDefault="00C50675">
            <w:pPr>
              <w:keepNext/>
              <w:numPr>
                <w:ilvl w:val="0"/>
                <w:numId w:val="1"/>
              </w:numPr>
              <w:ind w:hanging="360"/>
              <w:rPr>
                <w:sz w:val="22"/>
              </w:rPr>
            </w:pPr>
            <w:r>
              <w:rPr>
                <w:rFonts w:ascii="Arial" w:eastAsia="Arial" w:hAnsi="Arial" w:cs="Arial"/>
                <w:sz w:val="22"/>
              </w:rPr>
              <w:t>Ingest specimen or label image(s) into an OCR tool.</w:t>
            </w:r>
          </w:p>
          <w:p w14:paraId="028EF063" w14:textId="77777777" w:rsidR="007E2E39" w:rsidRDefault="00C50675">
            <w:pPr>
              <w:keepNext/>
              <w:numPr>
                <w:ilvl w:val="0"/>
                <w:numId w:val="1"/>
              </w:numPr>
              <w:ind w:hanging="360"/>
              <w:rPr>
                <w:sz w:val="22"/>
              </w:rPr>
            </w:pPr>
            <w:r>
              <w:rPr>
                <w:rFonts w:ascii="Arial" w:eastAsia="Arial" w:hAnsi="Arial" w:cs="Arial"/>
                <w:sz w:val="22"/>
              </w:rPr>
              <w:t>Execute OCR on image(s).</w:t>
            </w:r>
          </w:p>
          <w:p w14:paraId="40A8BB64" w14:textId="77777777" w:rsidR="007E2E39" w:rsidRDefault="00C50675">
            <w:pPr>
              <w:keepNext/>
              <w:numPr>
                <w:ilvl w:val="0"/>
                <w:numId w:val="1"/>
              </w:numPr>
              <w:ind w:hanging="360"/>
              <w:rPr>
                <w:sz w:val="22"/>
              </w:rPr>
            </w:pPr>
            <w:r>
              <w:rPr>
                <w:rFonts w:ascii="Arial" w:eastAsia="Arial" w:hAnsi="Arial" w:cs="Arial"/>
                <w:sz w:val="22"/>
              </w:rPr>
              <w:t>Import or insert OCR results into the data entry application.</w:t>
            </w:r>
          </w:p>
          <w:p w14:paraId="2429B25D" w14:textId="77777777" w:rsidR="007E2E39" w:rsidRDefault="00C50675">
            <w:pPr>
              <w:keepNext/>
              <w:numPr>
                <w:ilvl w:val="0"/>
                <w:numId w:val="1"/>
              </w:numPr>
              <w:ind w:hanging="360"/>
              <w:rPr>
                <w:sz w:val="22"/>
              </w:rPr>
            </w:pPr>
            <w:r>
              <w:rPr>
                <w:rFonts w:ascii="Arial" w:eastAsia="Arial" w:hAnsi="Arial" w:cs="Arial"/>
                <w:sz w:val="22"/>
              </w:rPr>
              <w:t>Process OCR results within the data entry application</w:t>
            </w:r>
            <w:r w:rsidR="00483D19">
              <w:rPr>
                <w:rFonts w:ascii="Arial" w:eastAsia="Arial" w:hAnsi="Arial" w:cs="Arial"/>
                <w:sz w:val="22"/>
              </w:rPr>
              <w:t>; typical approaches include</w:t>
            </w:r>
            <w:r>
              <w:rPr>
                <w:rFonts w:ascii="Arial" w:eastAsia="Arial" w:hAnsi="Arial" w:cs="Arial"/>
                <w:sz w:val="22"/>
              </w:rPr>
              <w:t>:</w:t>
            </w:r>
          </w:p>
          <w:p w14:paraId="6EAC6BC1" w14:textId="32008812" w:rsidR="007E2E39" w:rsidRDefault="00C50675">
            <w:pPr>
              <w:keepNext/>
              <w:numPr>
                <w:ilvl w:val="0"/>
                <w:numId w:val="1"/>
              </w:numPr>
              <w:ind w:left="1062" w:hanging="360"/>
              <w:rPr>
                <w:sz w:val="22"/>
              </w:rPr>
            </w:pPr>
            <w:r>
              <w:rPr>
                <w:rFonts w:ascii="Arial" w:eastAsia="Arial" w:hAnsi="Arial" w:cs="Arial"/>
                <w:sz w:val="22"/>
              </w:rPr>
              <w:t>Delineate regions of interest within the OCR output and identify the fields into which the text should be imported (e.g</w:t>
            </w:r>
            <w:r w:rsidR="00285DFB">
              <w:rPr>
                <w:rFonts w:ascii="Arial" w:eastAsia="Arial" w:hAnsi="Arial" w:cs="Arial"/>
                <w:sz w:val="22"/>
              </w:rPr>
              <w:t>.</w:t>
            </w:r>
            <w:r w:rsidR="009257A6">
              <w:rPr>
                <w:rFonts w:ascii="Arial" w:eastAsia="Arial" w:hAnsi="Arial" w:cs="Arial"/>
                <w:sz w:val="22"/>
              </w:rPr>
              <w:t>,</w:t>
            </w:r>
            <w:r>
              <w:rPr>
                <w:rFonts w:ascii="Arial" w:eastAsia="Arial" w:hAnsi="Arial" w:cs="Arial"/>
                <w:sz w:val="22"/>
              </w:rPr>
              <w:t xml:space="preserve"> Apiary), </w:t>
            </w:r>
          </w:p>
          <w:p w14:paraId="67AEC060" w14:textId="2E5E8F9D" w:rsidR="007E2E39" w:rsidRDefault="00C50675">
            <w:pPr>
              <w:keepNext/>
              <w:numPr>
                <w:ilvl w:val="0"/>
                <w:numId w:val="1"/>
              </w:numPr>
              <w:ind w:left="1062" w:hanging="360"/>
              <w:rPr>
                <w:sz w:val="22"/>
              </w:rPr>
            </w:pPr>
            <w:r>
              <w:rPr>
                <w:rFonts w:ascii="Arial" w:eastAsia="Arial" w:hAnsi="Arial" w:cs="Arial"/>
                <w:sz w:val="22"/>
              </w:rPr>
              <w:t>Clean, parse, format, and import text into a spreadsheet for later upl</w:t>
            </w:r>
            <w:r w:rsidR="00483D19">
              <w:rPr>
                <w:rFonts w:ascii="Arial" w:eastAsia="Arial" w:hAnsi="Arial" w:cs="Arial"/>
                <w:sz w:val="22"/>
              </w:rPr>
              <w:t>oad to the database (e.g., SALIX</w:t>
            </w:r>
            <w:r>
              <w:rPr>
                <w:rFonts w:ascii="Arial" w:eastAsia="Arial" w:hAnsi="Arial" w:cs="Arial"/>
                <w:sz w:val="22"/>
              </w:rPr>
              <w:t xml:space="preserve">), </w:t>
            </w:r>
          </w:p>
          <w:p w14:paraId="3617070E" w14:textId="77777777" w:rsidR="007E2E39" w:rsidRDefault="00C50675">
            <w:pPr>
              <w:keepNext/>
              <w:numPr>
                <w:ilvl w:val="0"/>
                <w:numId w:val="1"/>
              </w:numPr>
              <w:ind w:left="1062" w:hanging="360"/>
              <w:rPr>
                <w:sz w:val="22"/>
              </w:rPr>
            </w:pPr>
            <w:r>
              <w:rPr>
                <w:rFonts w:ascii="Arial" w:eastAsia="Arial" w:hAnsi="Arial" w:cs="Arial"/>
                <w:sz w:val="22"/>
              </w:rPr>
              <w:t>Display and copy text from visible OCR output (e.g., Symbiota).</w:t>
            </w:r>
          </w:p>
          <w:p w14:paraId="2C76784F" w14:textId="77777777" w:rsidR="007E2E39" w:rsidRDefault="00C50675">
            <w:pPr>
              <w:keepNext/>
              <w:numPr>
                <w:ilvl w:val="0"/>
                <w:numId w:val="1"/>
              </w:numPr>
              <w:ind w:hanging="360"/>
              <w:rPr>
                <w:sz w:val="22"/>
              </w:rPr>
            </w:pPr>
            <w:r>
              <w:rPr>
                <w:rFonts w:ascii="Arial" w:eastAsia="Arial" w:hAnsi="Arial" w:cs="Arial"/>
                <w:sz w:val="22"/>
              </w:rPr>
              <w:t>Verify and correct OCR errors (typically via manual keystroking).</w:t>
            </w:r>
          </w:p>
          <w:p w14:paraId="57F22878" w14:textId="77777777" w:rsidR="007E2E39" w:rsidRDefault="00C50675">
            <w:pPr>
              <w:keepNext/>
              <w:numPr>
                <w:ilvl w:val="0"/>
                <w:numId w:val="1"/>
              </w:numPr>
              <w:ind w:hanging="360"/>
              <w:rPr>
                <w:sz w:val="22"/>
              </w:rPr>
            </w:pPr>
            <w:r>
              <w:rPr>
                <w:rFonts w:ascii="Arial" w:eastAsia="Arial" w:hAnsi="Arial" w:cs="Arial"/>
                <w:sz w:val="22"/>
              </w:rPr>
              <w:t>Archive corrected, unparsed verbatim text.</w:t>
            </w:r>
          </w:p>
          <w:p w14:paraId="00075F29" w14:textId="7A5AF1A3" w:rsidR="007E2E39" w:rsidRDefault="00C50675" w:rsidP="009257A6">
            <w:pPr>
              <w:keepNext/>
            </w:pPr>
            <w:r>
              <w:rPr>
                <w:rFonts w:ascii="Arial" w:eastAsia="Arial" w:hAnsi="Arial" w:cs="Arial"/>
                <w:sz w:val="22"/>
              </w:rPr>
              <w:br/>
              <w:t>It should be noted that OCR execution and processing (with the exception of Symbiota</w:t>
            </w:r>
            <w:r w:rsidR="009257A6">
              <w:rPr>
                <w:rFonts w:ascii="Arial" w:eastAsia="Arial" w:hAnsi="Arial" w:cs="Arial"/>
                <w:sz w:val="22"/>
              </w:rPr>
              <w:t>’</w:t>
            </w:r>
            <w:r>
              <w:rPr>
                <w:rFonts w:ascii="Arial" w:eastAsia="Arial" w:hAnsi="Arial" w:cs="Arial"/>
                <w:sz w:val="22"/>
              </w:rPr>
              <w:t xml:space="preserve">s integrated and largely seamless OCR implementation) is often a batch process independent </w:t>
            </w:r>
            <w:r w:rsidR="00483D19">
              <w:rPr>
                <w:rFonts w:ascii="Arial" w:eastAsia="Arial" w:hAnsi="Arial" w:cs="Arial"/>
                <w:sz w:val="22"/>
              </w:rPr>
              <w:t xml:space="preserve">of, </w:t>
            </w:r>
            <w:r>
              <w:rPr>
                <w:rFonts w:ascii="Arial" w:eastAsia="Arial" w:hAnsi="Arial" w:cs="Arial"/>
                <w:sz w:val="22"/>
              </w:rPr>
              <w:t>and external to</w:t>
            </w:r>
            <w:r w:rsidR="00483D19">
              <w:rPr>
                <w:rFonts w:ascii="Arial" w:eastAsia="Arial" w:hAnsi="Arial" w:cs="Arial"/>
                <w:sz w:val="22"/>
              </w:rPr>
              <w:t>,</w:t>
            </w:r>
            <w:r>
              <w:rPr>
                <w:rFonts w:ascii="Arial" w:eastAsia="Arial" w:hAnsi="Arial" w:cs="Arial"/>
                <w:sz w:val="22"/>
              </w:rPr>
              <w:t xml:space="preserve"> an in</w:t>
            </w:r>
            <w:r w:rsidR="00483D19">
              <w:rPr>
                <w:rFonts w:ascii="Arial" w:eastAsia="Arial" w:hAnsi="Arial" w:cs="Arial"/>
                <w:sz w:val="22"/>
              </w:rPr>
              <w:t>-</w:t>
            </w:r>
            <w:r>
              <w:rPr>
                <w:rFonts w:ascii="Arial" w:eastAsia="Arial" w:hAnsi="Arial" w:cs="Arial"/>
                <w:sz w:val="22"/>
              </w:rPr>
              <w:t>line data capture workflow, the results of which are imported into a database to update existing records. Work is underway in the community to refine OCR accuracy and enhance OCR integration.</w:t>
            </w:r>
          </w:p>
        </w:tc>
        <w:tc>
          <w:tcPr>
            <w:tcW w:w="2078" w:type="dxa"/>
          </w:tcPr>
          <w:p w14:paraId="35DA5A06" w14:textId="77777777" w:rsidR="007E2E39" w:rsidRDefault="00C50675">
            <w:r>
              <w:rPr>
                <w:rFonts w:ascii="Arial" w:eastAsia="Arial" w:hAnsi="Arial" w:cs="Arial"/>
                <w:sz w:val="22"/>
              </w:rPr>
              <w:lastRenderedPageBreak/>
              <w:t>Data entry application.</w:t>
            </w:r>
          </w:p>
          <w:p w14:paraId="14BC5F84" w14:textId="77777777" w:rsidR="007E2E39" w:rsidRDefault="00C50675">
            <w:r>
              <w:rPr>
                <w:rFonts w:ascii="Arial" w:eastAsia="Arial" w:hAnsi="Arial" w:cs="Arial"/>
                <w:sz w:val="22"/>
              </w:rPr>
              <w:t>Images.</w:t>
            </w:r>
          </w:p>
          <w:p w14:paraId="19A90912" w14:textId="77777777" w:rsidR="007E2E39" w:rsidRDefault="00C50675">
            <w:r>
              <w:rPr>
                <w:rFonts w:ascii="Arial" w:eastAsia="Arial" w:hAnsi="Arial" w:cs="Arial"/>
                <w:sz w:val="22"/>
              </w:rPr>
              <w:t>Skeletal data.</w:t>
            </w:r>
          </w:p>
          <w:p w14:paraId="04CDC146" w14:textId="77777777" w:rsidR="007E2E39" w:rsidRDefault="00C50675">
            <w:pPr>
              <w:rPr>
                <w:rFonts w:ascii="Arial" w:eastAsia="Arial" w:hAnsi="Arial" w:cs="Arial"/>
                <w:sz w:val="22"/>
              </w:rPr>
            </w:pPr>
            <w:r>
              <w:rPr>
                <w:rFonts w:ascii="Arial" w:eastAsia="Arial" w:hAnsi="Arial" w:cs="Arial"/>
                <w:sz w:val="22"/>
              </w:rPr>
              <w:t>OCR software or OCR-integrated data entry application.</w:t>
            </w:r>
          </w:p>
          <w:p w14:paraId="2A30C638" w14:textId="77777777" w:rsidR="00F267AD" w:rsidRDefault="00F267AD">
            <w:pPr>
              <w:rPr>
                <w:rFonts w:ascii="Arial" w:eastAsia="Arial" w:hAnsi="Arial" w:cs="Arial"/>
                <w:sz w:val="22"/>
              </w:rPr>
            </w:pPr>
          </w:p>
          <w:p w14:paraId="0E3EA08B" w14:textId="77777777" w:rsidR="007E2E39" w:rsidRDefault="00C50675">
            <w:pPr>
              <w:rPr>
                <w:rFonts w:ascii="Arial" w:eastAsia="Arial" w:hAnsi="Arial" w:cs="Arial"/>
                <w:sz w:val="22"/>
              </w:rPr>
            </w:pPr>
            <w:r>
              <w:rPr>
                <w:rFonts w:ascii="Arial" w:eastAsia="Arial" w:hAnsi="Arial" w:cs="Arial"/>
                <w:sz w:val="22"/>
              </w:rPr>
              <w:t xml:space="preserve">See: Darwin Core Standard, </w:t>
            </w:r>
            <w:hyperlink r:id="rId9">
              <w:r>
                <w:rPr>
                  <w:rFonts w:ascii="Arial" w:eastAsia="Arial" w:hAnsi="Arial" w:cs="Arial"/>
                  <w:color w:val="1155CC"/>
                  <w:sz w:val="22"/>
                  <w:u w:val="single"/>
                </w:rPr>
                <w:t>http://rs.tdwg.org/dwc/index.htm</w:t>
              </w:r>
            </w:hyperlink>
            <w:r>
              <w:rPr>
                <w:rFonts w:ascii="Arial" w:eastAsia="Arial" w:hAnsi="Arial" w:cs="Arial"/>
                <w:sz w:val="22"/>
              </w:rPr>
              <w:t>.</w:t>
            </w:r>
          </w:p>
          <w:p w14:paraId="10F7138E" w14:textId="77777777" w:rsidR="000609BF" w:rsidRDefault="000609BF">
            <w:pPr>
              <w:rPr>
                <w:rFonts w:ascii="Arial" w:eastAsia="Arial" w:hAnsi="Arial" w:cs="Arial"/>
                <w:sz w:val="22"/>
              </w:rPr>
            </w:pPr>
          </w:p>
          <w:p w14:paraId="71B5DA31" w14:textId="68807F10" w:rsidR="000609BF" w:rsidRDefault="000609BF">
            <w:pPr>
              <w:rPr>
                <w:rFonts w:ascii="Arial" w:eastAsia="Arial" w:hAnsi="Arial" w:cs="Arial"/>
                <w:sz w:val="22"/>
              </w:rPr>
            </w:pPr>
            <w:r>
              <w:rPr>
                <w:rFonts w:ascii="Arial" w:eastAsia="Arial" w:hAnsi="Arial" w:cs="Arial"/>
                <w:sz w:val="22"/>
              </w:rPr>
              <w:t>For additional information on OCR, see:</w:t>
            </w:r>
          </w:p>
          <w:p w14:paraId="24976CFE" w14:textId="0645C87D" w:rsidR="000609BF" w:rsidRDefault="00927EDD">
            <w:hyperlink r:id="rId10" w:history="1">
              <w:r w:rsidR="000609BF" w:rsidRPr="000609BF">
                <w:rPr>
                  <w:rStyle w:val="Hyperlink"/>
                </w:rPr>
                <w:t>https://www.idigbio.org/wiki/index.php/OCR_Resources</w:t>
              </w:r>
            </w:hyperlink>
          </w:p>
          <w:p w14:paraId="0A6D93DB" w14:textId="77777777" w:rsidR="00F267AD" w:rsidRDefault="00F267AD"/>
          <w:p w14:paraId="28CDF40E" w14:textId="77777777" w:rsidR="00F267AD" w:rsidRPr="00C83050" w:rsidRDefault="00F267AD">
            <w:pPr>
              <w:rPr>
                <w:rFonts w:ascii="Arial" w:hAnsi="Arial" w:cs="Arial"/>
                <w:sz w:val="22"/>
                <w:szCs w:val="22"/>
              </w:rPr>
            </w:pPr>
            <w:r w:rsidRPr="00C83050">
              <w:rPr>
                <w:rFonts w:ascii="Arial" w:hAnsi="Arial" w:cs="Arial"/>
                <w:sz w:val="22"/>
                <w:szCs w:val="22"/>
              </w:rPr>
              <w:t>For information on Apiary, see:</w:t>
            </w:r>
          </w:p>
          <w:p w14:paraId="0018791C" w14:textId="1B8BEDE5" w:rsidR="00F267AD" w:rsidRPr="00C83050" w:rsidRDefault="00927EDD">
            <w:pPr>
              <w:rPr>
                <w:rFonts w:ascii="Arial" w:hAnsi="Arial" w:cs="Arial"/>
                <w:sz w:val="22"/>
                <w:szCs w:val="22"/>
              </w:rPr>
            </w:pPr>
            <w:hyperlink r:id="rId11" w:history="1">
              <w:r w:rsidR="00F267AD" w:rsidRPr="00C83050">
                <w:rPr>
                  <w:rStyle w:val="Hyperlink"/>
                  <w:rFonts w:ascii="Arial" w:hAnsi="Arial" w:cs="Arial"/>
                  <w:sz w:val="22"/>
                  <w:szCs w:val="22"/>
                </w:rPr>
                <w:t>http://www.apiaryproject.org/</w:t>
              </w:r>
            </w:hyperlink>
          </w:p>
          <w:p w14:paraId="176F515E" w14:textId="77777777" w:rsidR="00F267AD" w:rsidRPr="00C83050" w:rsidRDefault="00F267AD">
            <w:pPr>
              <w:rPr>
                <w:rFonts w:ascii="Arial" w:hAnsi="Arial" w:cs="Arial"/>
                <w:sz w:val="22"/>
                <w:szCs w:val="22"/>
              </w:rPr>
            </w:pPr>
          </w:p>
          <w:p w14:paraId="29F8512D" w14:textId="77777777" w:rsidR="00F267AD" w:rsidRPr="00C83050" w:rsidRDefault="00F267AD">
            <w:pPr>
              <w:rPr>
                <w:rFonts w:ascii="Arial" w:hAnsi="Arial" w:cs="Arial"/>
                <w:sz w:val="22"/>
                <w:szCs w:val="22"/>
              </w:rPr>
            </w:pPr>
            <w:r w:rsidRPr="00C83050">
              <w:rPr>
                <w:rFonts w:ascii="Arial" w:hAnsi="Arial" w:cs="Arial"/>
                <w:sz w:val="22"/>
                <w:szCs w:val="22"/>
              </w:rPr>
              <w:t xml:space="preserve">For information on SALIX, see: </w:t>
            </w:r>
          </w:p>
          <w:p w14:paraId="364F056A" w14:textId="70098B2B" w:rsidR="00F267AD" w:rsidRPr="00C83050" w:rsidRDefault="00927EDD">
            <w:pPr>
              <w:rPr>
                <w:rFonts w:ascii="Arial" w:hAnsi="Arial" w:cs="Arial"/>
                <w:sz w:val="22"/>
                <w:szCs w:val="22"/>
              </w:rPr>
            </w:pPr>
            <w:hyperlink r:id="rId12" w:history="1">
              <w:r w:rsidR="00F267AD" w:rsidRPr="00C83050">
                <w:rPr>
                  <w:rStyle w:val="Hyperlink"/>
                  <w:rFonts w:ascii="Arial" w:hAnsi="Arial" w:cs="Arial"/>
                  <w:sz w:val="22"/>
                  <w:szCs w:val="22"/>
                </w:rPr>
                <w:t>http://daryllafferty.com/salix/</w:t>
              </w:r>
            </w:hyperlink>
            <w:r w:rsidR="00F267AD" w:rsidRPr="00C83050">
              <w:rPr>
                <w:rFonts w:ascii="Arial" w:hAnsi="Arial" w:cs="Arial"/>
                <w:sz w:val="22"/>
                <w:szCs w:val="22"/>
              </w:rPr>
              <w:t xml:space="preserve"> and </w:t>
            </w:r>
            <w:hyperlink r:id="rId13" w:history="1">
              <w:r w:rsidR="00F267AD" w:rsidRPr="00C83050">
                <w:rPr>
                  <w:rStyle w:val="Hyperlink"/>
                  <w:rFonts w:ascii="Arial" w:hAnsi="Arial" w:cs="Arial"/>
                  <w:sz w:val="22"/>
                  <w:szCs w:val="22"/>
                </w:rPr>
                <w:t>http://nhc.asu.edu/</w:t>
              </w:r>
              <w:r w:rsidR="00F267AD" w:rsidRPr="00C83050">
                <w:rPr>
                  <w:rStyle w:val="Hyperlink"/>
                  <w:rFonts w:ascii="Arial" w:hAnsi="Arial" w:cs="Arial"/>
                  <w:sz w:val="22"/>
                  <w:szCs w:val="22"/>
                </w:rPr>
                <w:lastRenderedPageBreak/>
                <w:t>vpherbarium/canotia/SALIX3.pdf</w:t>
              </w:r>
            </w:hyperlink>
          </w:p>
          <w:p w14:paraId="392CE583" w14:textId="77777777" w:rsidR="00F267AD" w:rsidRDefault="00F267AD"/>
          <w:p w14:paraId="71009445" w14:textId="77777777" w:rsidR="00F267AD" w:rsidRDefault="00F267AD" w:rsidP="00F267AD">
            <w:r>
              <w:rPr>
                <w:rFonts w:ascii="Arial" w:eastAsia="Arial" w:hAnsi="Arial" w:cs="Arial"/>
                <w:sz w:val="22"/>
              </w:rPr>
              <w:t xml:space="preserve">For information on Symbiota, see: </w:t>
            </w:r>
            <w:hyperlink r:id="rId14" w:history="1">
              <w:r w:rsidRPr="00F267AD">
                <w:rPr>
                  <w:rStyle w:val="Hyperlink"/>
                  <w:rFonts w:ascii="Arial" w:eastAsia="Arial" w:hAnsi="Arial" w:cs="Arial"/>
                  <w:sz w:val="22"/>
                </w:rPr>
                <w:t>http://symbiota.org/docs/</w:t>
              </w:r>
            </w:hyperlink>
          </w:p>
          <w:p w14:paraId="2491308F" w14:textId="77777777" w:rsidR="00F267AD" w:rsidRDefault="00F267AD"/>
          <w:p w14:paraId="13A1BEE7" w14:textId="77777777" w:rsidR="007E2E39" w:rsidRDefault="007E2E39"/>
        </w:tc>
      </w:tr>
      <w:tr w:rsidR="007E2E39" w14:paraId="580B2E28" w14:textId="77777777" w:rsidTr="00FC176B">
        <w:trPr>
          <w:cnfStyle w:val="000000100000" w:firstRow="0" w:lastRow="0" w:firstColumn="0" w:lastColumn="0" w:oddVBand="0" w:evenVBand="0" w:oddHBand="1" w:evenHBand="0" w:firstRowFirstColumn="0" w:firstRowLastColumn="0" w:lastRowFirstColumn="0" w:lastRowLastColumn="0"/>
          <w:trHeight w:val="368"/>
        </w:trPr>
        <w:tc>
          <w:tcPr>
            <w:tcW w:w="784" w:type="dxa"/>
          </w:tcPr>
          <w:p w14:paraId="18B5D6EC" w14:textId="45EAC73E" w:rsidR="007E2E39" w:rsidRDefault="00C50675">
            <w:r>
              <w:rPr>
                <w:rFonts w:ascii="Arial" w:eastAsia="Arial" w:hAnsi="Arial" w:cs="Arial"/>
                <w:b/>
                <w:sz w:val="22"/>
              </w:rPr>
              <w:lastRenderedPageBreak/>
              <w:t>T2</w:t>
            </w:r>
          </w:p>
        </w:tc>
        <w:tc>
          <w:tcPr>
            <w:tcW w:w="2195" w:type="dxa"/>
          </w:tcPr>
          <w:p w14:paraId="1302E983" w14:textId="4D79BE36" w:rsidR="007E2E39" w:rsidRDefault="00C50675">
            <w:r>
              <w:rPr>
                <w:rFonts w:ascii="Arial" w:eastAsia="Arial" w:hAnsi="Arial" w:cs="Arial"/>
                <w:sz w:val="22"/>
              </w:rPr>
              <w:t>Determine extent of record</w:t>
            </w:r>
            <w:r w:rsidR="009257A6">
              <w:rPr>
                <w:rFonts w:ascii="Arial" w:eastAsia="Arial" w:hAnsi="Arial" w:cs="Arial"/>
                <w:sz w:val="22"/>
              </w:rPr>
              <w:t>-</w:t>
            </w:r>
            <w:r>
              <w:rPr>
                <w:rFonts w:ascii="Arial" w:eastAsia="Arial" w:hAnsi="Arial" w:cs="Arial"/>
                <w:sz w:val="22"/>
              </w:rPr>
              <w:t>level data</w:t>
            </w:r>
            <w:r w:rsidR="00E64491">
              <w:rPr>
                <w:rFonts w:ascii="Arial" w:eastAsia="Arial" w:hAnsi="Arial" w:cs="Arial"/>
                <w:sz w:val="22"/>
              </w:rPr>
              <w:t xml:space="preserve"> </w:t>
            </w:r>
            <w:r>
              <w:rPr>
                <w:rFonts w:ascii="Arial" w:eastAsia="Arial" w:hAnsi="Arial" w:cs="Arial"/>
                <w:sz w:val="22"/>
              </w:rPr>
              <w:t>fields to capture into the database.</w:t>
            </w:r>
          </w:p>
        </w:tc>
        <w:tc>
          <w:tcPr>
            <w:tcW w:w="4516" w:type="dxa"/>
          </w:tcPr>
          <w:p w14:paraId="3E416ED4" w14:textId="086BCCDA" w:rsidR="007E2E39" w:rsidRDefault="00C50675">
            <w:r>
              <w:rPr>
                <w:rFonts w:ascii="Arial" w:eastAsia="Arial" w:hAnsi="Arial" w:cs="Arial"/>
                <w:sz w:val="22"/>
              </w:rPr>
              <w:t xml:space="preserve">The extent of data captured from specimens in a first pass </w:t>
            </w:r>
            <w:r w:rsidR="00483D19">
              <w:rPr>
                <w:rFonts w:ascii="Arial" w:eastAsia="Arial" w:hAnsi="Arial" w:cs="Arial"/>
                <w:sz w:val="22"/>
              </w:rPr>
              <w:t xml:space="preserve">varies widely among institutions, with some </w:t>
            </w:r>
            <w:r>
              <w:rPr>
                <w:rFonts w:ascii="Arial" w:eastAsia="Arial" w:hAnsi="Arial" w:cs="Arial"/>
                <w:sz w:val="22"/>
              </w:rPr>
              <w:t xml:space="preserve"> </w:t>
            </w:r>
            <w:r w:rsidR="00483D19">
              <w:rPr>
                <w:rFonts w:ascii="Arial" w:eastAsia="Arial" w:hAnsi="Arial" w:cs="Arial"/>
                <w:sz w:val="22"/>
              </w:rPr>
              <w:t xml:space="preserve">creating </w:t>
            </w:r>
            <w:r>
              <w:rPr>
                <w:rFonts w:ascii="Arial" w:eastAsia="Arial" w:hAnsi="Arial" w:cs="Arial"/>
                <w:sz w:val="22"/>
              </w:rPr>
              <w:t xml:space="preserve">skeletal (short) records that include a restricted set of elements  </w:t>
            </w:r>
            <w:r w:rsidR="000609BF">
              <w:rPr>
                <w:rFonts w:ascii="Arial" w:eastAsia="Arial" w:hAnsi="Arial" w:cs="Arial"/>
                <w:sz w:val="22"/>
              </w:rPr>
              <w:t>and</w:t>
            </w:r>
            <w:r w:rsidR="00483D19">
              <w:rPr>
                <w:rFonts w:ascii="Arial" w:eastAsia="Arial" w:hAnsi="Arial" w:cs="Arial"/>
                <w:sz w:val="22"/>
              </w:rPr>
              <w:t xml:space="preserve"> others creat</w:t>
            </w:r>
            <w:r w:rsidR="000609BF">
              <w:rPr>
                <w:rFonts w:ascii="Arial" w:eastAsia="Arial" w:hAnsi="Arial" w:cs="Arial"/>
                <w:sz w:val="22"/>
              </w:rPr>
              <w:t>ing</w:t>
            </w:r>
            <w:r w:rsidR="00483D19">
              <w:rPr>
                <w:rFonts w:ascii="Arial" w:eastAsia="Arial" w:hAnsi="Arial" w:cs="Arial"/>
                <w:sz w:val="22"/>
              </w:rPr>
              <w:t xml:space="preserve"> </w:t>
            </w:r>
            <w:r>
              <w:rPr>
                <w:rFonts w:ascii="Arial" w:eastAsia="Arial" w:hAnsi="Arial" w:cs="Arial"/>
                <w:sz w:val="22"/>
              </w:rPr>
              <w:t>fully populated (long) records that include all label data, including annotations</w:t>
            </w:r>
            <w:r w:rsidR="00483D19">
              <w:rPr>
                <w:rFonts w:ascii="Arial" w:eastAsia="Arial" w:hAnsi="Arial" w:cs="Arial"/>
                <w:sz w:val="22"/>
              </w:rPr>
              <w:t xml:space="preserve"> and determination history</w:t>
            </w:r>
            <w:r>
              <w:rPr>
                <w:rFonts w:ascii="Arial" w:eastAsia="Arial" w:hAnsi="Arial" w:cs="Arial"/>
                <w:sz w:val="22"/>
              </w:rPr>
              <w:t>.</w:t>
            </w:r>
            <w:r>
              <w:rPr>
                <w:rFonts w:ascii="Arial" w:eastAsia="Arial" w:hAnsi="Arial" w:cs="Arial"/>
                <w:sz w:val="22"/>
              </w:rPr>
              <w:br/>
            </w:r>
            <w:r>
              <w:rPr>
                <w:rFonts w:ascii="Arial" w:eastAsia="Arial" w:hAnsi="Arial" w:cs="Arial"/>
                <w:sz w:val="22"/>
              </w:rPr>
              <w:br/>
              <w:t>Decisions about what to include in a skeletal record are dependent upon numerous factors, including the composition and arrangement (e.g., geographic, taxonomic, collector) of the collection, an institution's expected plans for future processing and data completion (e.g., OCR, NLP, automated georeferencing), anticipation of additional data entry over time from images, commitments made to funding agencies (e.g.</w:t>
            </w:r>
            <w:r w:rsidR="009257A6">
              <w:rPr>
                <w:rFonts w:ascii="Arial" w:eastAsia="Arial" w:hAnsi="Arial" w:cs="Arial"/>
                <w:sz w:val="22"/>
              </w:rPr>
              <w:t>,</w:t>
            </w:r>
            <w:r>
              <w:rPr>
                <w:rFonts w:ascii="Arial" w:eastAsia="Arial" w:hAnsi="Arial" w:cs="Arial"/>
                <w:sz w:val="22"/>
              </w:rPr>
              <w:t xml:space="preserve"> numbers and levels of records to be digitized, project intent, etc.), institutional focus (e.g., quantity of records completed vs. record robustness), potential use of current and developing search technologies for automated or assisted record completion, use of political boundary centroids for first-level  georeferencing, and/or intended reliance on specimen images to provide first-level serving of complete label data.</w:t>
            </w:r>
          </w:p>
        </w:tc>
        <w:tc>
          <w:tcPr>
            <w:tcW w:w="2078" w:type="dxa"/>
          </w:tcPr>
          <w:p w14:paraId="6F457E4C" w14:textId="77777777" w:rsidR="007E2E39" w:rsidRDefault="00C50675">
            <w:r>
              <w:rPr>
                <w:rFonts w:ascii="Arial" w:eastAsia="Arial" w:hAnsi="Arial" w:cs="Arial"/>
                <w:sz w:val="22"/>
              </w:rPr>
              <w:t>Institutional or project policy, intent, and/or goals.</w:t>
            </w:r>
          </w:p>
        </w:tc>
      </w:tr>
      <w:tr w:rsidR="007E2E39" w14:paraId="49DFA48C" w14:textId="77777777" w:rsidTr="00FC176B">
        <w:trPr>
          <w:cnfStyle w:val="000000010000" w:firstRow="0" w:lastRow="0" w:firstColumn="0" w:lastColumn="0" w:oddVBand="0" w:evenVBand="0" w:oddHBand="0" w:evenHBand="1" w:firstRowFirstColumn="0" w:firstRowLastColumn="0" w:lastRowFirstColumn="0" w:lastRowLastColumn="0"/>
          <w:trHeight w:val="620"/>
        </w:trPr>
        <w:tc>
          <w:tcPr>
            <w:tcW w:w="784" w:type="dxa"/>
          </w:tcPr>
          <w:p w14:paraId="3FF69ACF" w14:textId="77777777" w:rsidR="007E2E39" w:rsidRDefault="00C50675">
            <w:r>
              <w:rPr>
                <w:rFonts w:ascii="Arial" w:eastAsia="Arial" w:hAnsi="Arial" w:cs="Arial"/>
                <w:b/>
                <w:sz w:val="22"/>
              </w:rPr>
              <w:t>T3</w:t>
            </w:r>
          </w:p>
        </w:tc>
        <w:tc>
          <w:tcPr>
            <w:tcW w:w="2195" w:type="dxa"/>
          </w:tcPr>
          <w:p w14:paraId="729DCEB6" w14:textId="77777777" w:rsidR="007E2E39" w:rsidRDefault="00C50675">
            <w:r>
              <w:rPr>
                <w:rFonts w:ascii="Arial" w:eastAsia="Arial" w:hAnsi="Arial" w:cs="Arial"/>
                <w:sz w:val="22"/>
              </w:rPr>
              <w:t>Queue existing image files previously prepared for data capture, or procure physical specimens for data entry.</w:t>
            </w:r>
          </w:p>
        </w:tc>
        <w:tc>
          <w:tcPr>
            <w:tcW w:w="4516" w:type="dxa"/>
          </w:tcPr>
          <w:p w14:paraId="2B102251" w14:textId="77777777" w:rsidR="007E2E39" w:rsidRDefault="00C50675">
            <w:r>
              <w:rPr>
                <w:rFonts w:ascii="Arial" w:eastAsia="Arial" w:hAnsi="Arial" w:cs="Arial"/>
                <w:sz w:val="22"/>
              </w:rPr>
              <w:t>Queuing images can take many forms. For example, record sets of skeletal data or OCR’d datasets associated with images could be filtered by criteria catered to the data entry person’s interests, the project’s focus, etc.</w:t>
            </w:r>
          </w:p>
          <w:p w14:paraId="25013D31" w14:textId="77777777" w:rsidR="007E2E39" w:rsidRDefault="007E2E39"/>
          <w:p w14:paraId="3B954A62" w14:textId="6B224FE8" w:rsidR="007E2E39" w:rsidRDefault="00C50675" w:rsidP="00BF0C96">
            <w:r>
              <w:rPr>
                <w:rFonts w:ascii="Arial" w:eastAsia="Arial" w:hAnsi="Arial" w:cs="Arial"/>
                <w:sz w:val="22"/>
              </w:rPr>
              <w:t xml:space="preserve">If data are to be entered from specimen sheets rather than images, time must be allowed to move specimens to the data entry station(s). This may necessitate an additional terminating task </w:t>
            </w:r>
            <w:r w:rsidR="00BF0C96">
              <w:rPr>
                <w:rFonts w:ascii="Arial" w:eastAsia="Arial" w:hAnsi="Arial" w:cs="Arial"/>
                <w:sz w:val="22"/>
              </w:rPr>
              <w:t>(</w:t>
            </w:r>
            <w:r>
              <w:rPr>
                <w:rFonts w:ascii="Arial" w:eastAsia="Arial" w:hAnsi="Arial" w:cs="Arial"/>
                <w:sz w:val="22"/>
              </w:rPr>
              <w:t xml:space="preserve">in </w:t>
            </w:r>
            <w:r w:rsidR="00BF0C96">
              <w:rPr>
                <w:rFonts w:ascii="Arial" w:eastAsia="Arial" w:hAnsi="Arial" w:cs="Arial"/>
                <w:sz w:val="22"/>
              </w:rPr>
              <w:t xml:space="preserve">Module 6: </w:t>
            </w:r>
            <w:r>
              <w:rPr>
                <w:rFonts w:ascii="Arial" w:eastAsia="Arial" w:hAnsi="Arial" w:cs="Arial"/>
                <w:sz w:val="22"/>
              </w:rPr>
              <w:t>Imaging</w:t>
            </w:r>
            <w:r w:rsidR="00BF0C96">
              <w:rPr>
                <w:rFonts w:ascii="Arial" w:eastAsia="Arial" w:hAnsi="Arial" w:cs="Arial"/>
                <w:sz w:val="22"/>
              </w:rPr>
              <w:t>)</w:t>
            </w:r>
            <w:r>
              <w:rPr>
                <w:rFonts w:ascii="Arial" w:eastAsia="Arial" w:hAnsi="Arial" w:cs="Arial"/>
                <w:sz w:val="22"/>
              </w:rPr>
              <w:t xml:space="preserve"> in which specimen folders are moved to a data entry staging area following imaging to eliminate the need to refile specimens </w:t>
            </w:r>
            <w:r w:rsidR="00BF0C96">
              <w:rPr>
                <w:rFonts w:ascii="Arial" w:eastAsia="Arial" w:hAnsi="Arial" w:cs="Arial"/>
                <w:sz w:val="22"/>
              </w:rPr>
              <w:t>and</w:t>
            </w:r>
            <w:r>
              <w:rPr>
                <w:rFonts w:ascii="Arial" w:eastAsia="Arial" w:hAnsi="Arial" w:cs="Arial"/>
                <w:sz w:val="22"/>
              </w:rPr>
              <w:t xml:space="preserve"> pull them </w:t>
            </w:r>
            <w:r w:rsidR="0015314B">
              <w:rPr>
                <w:rFonts w:ascii="Arial" w:eastAsia="Arial" w:hAnsi="Arial" w:cs="Arial"/>
                <w:sz w:val="22"/>
              </w:rPr>
              <w:t xml:space="preserve">again </w:t>
            </w:r>
            <w:r>
              <w:rPr>
                <w:rFonts w:ascii="Arial" w:eastAsia="Arial" w:hAnsi="Arial" w:cs="Arial"/>
                <w:sz w:val="22"/>
              </w:rPr>
              <w:t xml:space="preserve">at data entry time. Alternatively, if data entry precedes or occurs parallel with imaging, additional terminating steps may be needed in </w:t>
            </w:r>
            <w:r w:rsidR="00BF0C96">
              <w:rPr>
                <w:rFonts w:ascii="Arial" w:eastAsia="Arial" w:hAnsi="Arial" w:cs="Arial"/>
                <w:sz w:val="22"/>
              </w:rPr>
              <w:t xml:space="preserve">Module 1: </w:t>
            </w:r>
            <w:r>
              <w:rPr>
                <w:rFonts w:ascii="Arial" w:eastAsia="Arial" w:hAnsi="Arial" w:cs="Arial"/>
                <w:sz w:val="22"/>
              </w:rPr>
              <w:t>Pre-digitization Curation or other modules for moving specimens to the data entry station. It should be noted that in some institutions both of these strategies are used concurrently, effectively accommodating a variety of pathways for specimens to arrive at the data entry station(s).</w:t>
            </w:r>
          </w:p>
        </w:tc>
        <w:tc>
          <w:tcPr>
            <w:tcW w:w="2078" w:type="dxa"/>
          </w:tcPr>
          <w:p w14:paraId="69535350" w14:textId="77777777" w:rsidR="007E2E39" w:rsidRDefault="00C50675">
            <w:r>
              <w:rPr>
                <w:rFonts w:ascii="Arial" w:eastAsia="Arial" w:hAnsi="Arial" w:cs="Arial"/>
                <w:sz w:val="22"/>
              </w:rPr>
              <w:t>Computer.</w:t>
            </w:r>
          </w:p>
          <w:p w14:paraId="3CB0095E" w14:textId="77777777" w:rsidR="007E2E39" w:rsidRDefault="00C50675">
            <w:r>
              <w:rPr>
                <w:rFonts w:ascii="Arial" w:eastAsia="Arial" w:hAnsi="Arial" w:cs="Arial"/>
                <w:sz w:val="22"/>
              </w:rPr>
              <w:t>Software.</w:t>
            </w:r>
            <w:r>
              <w:rPr>
                <w:rFonts w:ascii="Arial" w:eastAsia="Arial" w:hAnsi="Arial" w:cs="Arial"/>
                <w:sz w:val="22"/>
              </w:rPr>
              <w:br/>
              <w:t>Cart or cabinet for transporting specimens.</w:t>
            </w:r>
          </w:p>
          <w:p w14:paraId="486424CE" w14:textId="77777777" w:rsidR="007E2E39" w:rsidRDefault="00C50675">
            <w:r>
              <w:rPr>
                <w:rFonts w:ascii="Arial" w:eastAsia="Arial" w:hAnsi="Arial" w:cs="Arial"/>
                <w:sz w:val="22"/>
              </w:rPr>
              <w:t>‘Swing’ cabinet.</w:t>
            </w:r>
          </w:p>
          <w:p w14:paraId="44E4BB84" w14:textId="77777777" w:rsidR="007E2E39" w:rsidRDefault="00C50675">
            <w:r>
              <w:rPr>
                <w:rFonts w:ascii="Arial" w:eastAsia="Arial" w:hAnsi="Arial" w:cs="Arial"/>
                <w:sz w:val="22"/>
              </w:rPr>
              <w:t>Drop tags.</w:t>
            </w:r>
          </w:p>
          <w:p w14:paraId="15FA9823" w14:textId="77777777" w:rsidR="007E2E39" w:rsidRDefault="00C50675">
            <w:r>
              <w:rPr>
                <w:rFonts w:ascii="Arial" w:eastAsia="Arial" w:hAnsi="Arial" w:cs="Arial"/>
                <w:sz w:val="22"/>
              </w:rPr>
              <w:t>White boards with magnets.</w:t>
            </w:r>
          </w:p>
          <w:p w14:paraId="49AB40BE" w14:textId="77777777" w:rsidR="007E2E39" w:rsidRDefault="00C50675">
            <w:r>
              <w:rPr>
                <w:rFonts w:ascii="Arial" w:eastAsia="Arial" w:hAnsi="Arial" w:cs="Arial"/>
                <w:sz w:val="22"/>
              </w:rPr>
              <w:t>Images.</w:t>
            </w:r>
          </w:p>
        </w:tc>
      </w:tr>
      <w:tr w:rsidR="007E2E39" w14:paraId="6D8CED63" w14:textId="77777777" w:rsidTr="00FC176B">
        <w:trPr>
          <w:cnfStyle w:val="000000100000" w:firstRow="0" w:lastRow="0" w:firstColumn="0" w:lastColumn="0" w:oddVBand="0" w:evenVBand="0" w:oddHBand="1" w:evenHBand="0" w:firstRowFirstColumn="0" w:firstRowLastColumn="0" w:lastRowFirstColumn="0" w:lastRowLastColumn="0"/>
          <w:trHeight w:val="2640"/>
        </w:trPr>
        <w:tc>
          <w:tcPr>
            <w:tcW w:w="784" w:type="dxa"/>
          </w:tcPr>
          <w:p w14:paraId="23B85B70" w14:textId="77777777" w:rsidR="007E2E39" w:rsidRDefault="00C50675">
            <w:r>
              <w:rPr>
                <w:rFonts w:ascii="Arial" w:eastAsia="Arial" w:hAnsi="Arial" w:cs="Arial"/>
                <w:b/>
                <w:sz w:val="22"/>
              </w:rPr>
              <w:t>T4</w:t>
            </w:r>
          </w:p>
        </w:tc>
        <w:tc>
          <w:tcPr>
            <w:tcW w:w="2195" w:type="dxa"/>
          </w:tcPr>
          <w:p w14:paraId="7298A396" w14:textId="1199675F" w:rsidR="007E2E39" w:rsidRDefault="00C50675" w:rsidP="00BF0C96">
            <w:r>
              <w:rPr>
                <w:rFonts w:ascii="Arial" w:eastAsia="Arial" w:hAnsi="Arial" w:cs="Arial"/>
                <w:sz w:val="22"/>
              </w:rPr>
              <w:t xml:space="preserve">Create new empty database record or find existing database records previously created in </w:t>
            </w:r>
            <w:r w:rsidR="00BF0C96">
              <w:rPr>
                <w:rFonts w:ascii="Arial" w:eastAsia="Arial" w:hAnsi="Arial" w:cs="Arial"/>
                <w:sz w:val="22"/>
              </w:rPr>
              <w:t xml:space="preserve">Module 1: </w:t>
            </w:r>
            <w:r>
              <w:rPr>
                <w:rFonts w:ascii="Arial" w:eastAsia="Arial" w:hAnsi="Arial" w:cs="Arial"/>
                <w:sz w:val="22"/>
              </w:rPr>
              <w:t xml:space="preserve">Pre-digitization Curation or </w:t>
            </w:r>
            <w:r w:rsidR="00BF0C96">
              <w:rPr>
                <w:rFonts w:ascii="Arial" w:eastAsia="Arial" w:hAnsi="Arial" w:cs="Arial"/>
                <w:sz w:val="22"/>
              </w:rPr>
              <w:t xml:space="preserve">Module 6: </w:t>
            </w:r>
            <w:r>
              <w:rPr>
                <w:rFonts w:ascii="Arial" w:eastAsia="Arial" w:hAnsi="Arial" w:cs="Arial"/>
                <w:sz w:val="22"/>
              </w:rPr>
              <w:t>Imaging.</w:t>
            </w:r>
          </w:p>
        </w:tc>
        <w:tc>
          <w:tcPr>
            <w:tcW w:w="4516" w:type="dxa"/>
          </w:tcPr>
          <w:p w14:paraId="64C8B1C4" w14:textId="77777777" w:rsidR="007E2E39" w:rsidRDefault="00C50675">
            <w:r>
              <w:rPr>
                <w:rFonts w:ascii="Arial" w:eastAsia="Arial" w:hAnsi="Arial" w:cs="Arial"/>
                <w:sz w:val="22"/>
              </w:rPr>
              <w:t>Some workflows may include creation of a skeletal record within an earlier module equivalent to what is detailed here, or such previously created records might include only a catalog number (e.g., barcode value). Hence, skeletal record creation might be skipped here, or previously created skeletal records might be more completely populated at this step.</w:t>
            </w:r>
          </w:p>
        </w:tc>
        <w:tc>
          <w:tcPr>
            <w:tcW w:w="2078" w:type="dxa"/>
          </w:tcPr>
          <w:p w14:paraId="0258AB36" w14:textId="77777777" w:rsidR="007E2E39" w:rsidRDefault="00C50675">
            <w:r>
              <w:rPr>
                <w:rFonts w:ascii="Arial" w:eastAsia="Arial" w:hAnsi="Arial" w:cs="Arial"/>
                <w:sz w:val="22"/>
              </w:rPr>
              <w:t>Computer.</w:t>
            </w:r>
            <w:r>
              <w:rPr>
                <w:rFonts w:ascii="Arial" w:eastAsia="Arial" w:hAnsi="Arial" w:cs="Arial"/>
                <w:sz w:val="22"/>
              </w:rPr>
              <w:br/>
              <w:t>Database.</w:t>
            </w:r>
          </w:p>
          <w:p w14:paraId="1EACE586" w14:textId="77777777" w:rsidR="007E2E39" w:rsidRDefault="00C50675">
            <w:r>
              <w:rPr>
                <w:rFonts w:ascii="Arial" w:eastAsia="Arial" w:hAnsi="Arial" w:cs="Arial"/>
                <w:sz w:val="22"/>
              </w:rPr>
              <w:t>Images or</w:t>
            </w:r>
          </w:p>
          <w:p w14:paraId="69EE1448" w14:textId="77777777" w:rsidR="007E2E39" w:rsidRDefault="00C50675">
            <w:r>
              <w:rPr>
                <w:rFonts w:ascii="Arial" w:eastAsia="Arial" w:hAnsi="Arial" w:cs="Arial"/>
                <w:sz w:val="22"/>
              </w:rPr>
              <w:t>physical specimens.</w:t>
            </w:r>
          </w:p>
        </w:tc>
      </w:tr>
      <w:tr w:rsidR="007E2E39" w14:paraId="1E346DCA" w14:textId="77777777" w:rsidTr="00FC176B">
        <w:trPr>
          <w:cnfStyle w:val="000000010000" w:firstRow="0" w:lastRow="0" w:firstColumn="0" w:lastColumn="0" w:oddVBand="0" w:evenVBand="0" w:oddHBand="0" w:evenHBand="1" w:firstRowFirstColumn="0" w:firstRowLastColumn="0" w:lastRowFirstColumn="0" w:lastRowLastColumn="0"/>
          <w:trHeight w:val="800"/>
        </w:trPr>
        <w:tc>
          <w:tcPr>
            <w:tcW w:w="784" w:type="dxa"/>
          </w:tcPr>
          <w:p w14:paraId="527BE9FF" w14:textId="77777777" w:rsidR="007E2E39" w:rsidRDefault="00C50675">
            <w:r>
              <w:rPr>
                <w:rFonts w:ascii="Arial" w:eastAsia="Arial" w:hAnsi="Arial" w:cs="Arial"/>
                <w:b/>
                <w:sz w:val="22"/>
              </w:rPr>
              <w:t>T5</w:t>
            </w:r>
          </w:p>
        </w:tc>
        <w:tc>
          <w:tcPr>
            <w:tcW w:w="2195" w:type="dxa"/>
          </w:tcPr>
          <w:p w14:paraId="76CCBF5D" w14:textId="77777777" w:rsidR="007E2E39" w:rsidRDefault="00C50675">
            <w:r>
              <w:rPr>
                <w:rFonts w:ascii="Arial" w:eastAsia="Arial" w:hAnsi="Arial" w:cs="Arial"/>
                <w:sz w:val="22"/>
              </w:rPr>
              <w:t>Enter catalog number or other identifier via keystroke or barcode scanner.</w:t>
            </w:r>
          </w:p>
        </w:tc>
        <w:tc>
          <w:tcPr>
            <w:tcW w:w="4516" w:type="dxa"/>
          </w:tcPr>
          <w:p w14:paraId="62DEB561" w14:textId="4E2C751A" w:rsidR="007E2E39" w:rsidRDefault="00C50675">
            <w:r>
              <w:rPr>
                <w:rFonts w:ascii="Arial" w:eastAsia="Arial" w:hAnsi="Arial" w:cs="Arial"/>
                <w:sz w:val="22"/>
              </w:rPr>
              <w:t>This task may have been completed during one or more previous modules, as suggested in T</w:t>
            </w:r>
            <w:r w:rsidR="00285DFB">
              <w:rPr>
                <w:rFonts w:ascii="Arial" w:eastAsia="Arial" w:hAnsi="Arial" w:cs="Arial"/>
                <w:sz w:val="22"/>
              </w:rPr>
              <w:t>1</w:t>
            </w:r>
            <w:r w:rsidR="0015314B">
              <w:rPr>
                <w:rFonts w:ascii="Arial" w:eastAsia="Arial" w:hAnsi="Arial" w:cs="Arial"/>
                <w:sz w:val="22"/>
              </w:rPr>
              <w:t xml:space="preserve"> and</w:t>
            </w:r>
            <w:r>
              <w:rPr>
                <w:rFonts w:ascii="Arial" w:eastAsia="Arial" w:hAnsi="Arial" w:cs="Arial"/>
                <w:sz w:val="22"/>
              </w:rPr>
              <w:t>T</w:t>
            </w:r>
            <w:r w:rsidR="00285DFB">
              <w:rPr>
                <w:rFonts w:ascii="Arial" w:eastAsia="Arial" w:hAnsi="Arial" w:cs="Arial"/>
                <w:sz w:val="22"/>
              </w:rPr>
              <w:t>4</w:t>
            </w:r>
            <w:r>
              <w:rPr>
                <w:rFonts w:ascii="Arial" w:eastAsia="Arial" w:hAnsi="Arial" w:cs="Arial"/>
                <w:sz w:val="22"/>
              </w:rPr>
              <w:t>. If working from a queue, this step will not be necessary.</w:t>
            </w:r>
          </w:p>
        </w:tc>
        <w:tc>
          <w:tcPr>
            <w:tcW w:w="2078" w:type="dxa"/>
          </w:tcPr>
          <w:p w14:paraId="14E1317E" w14:textId="77777777" w:rsidR="007E2E39" w:rsidRDefault="00C50675">
            <w:r>
              <w:rPr>
                <w:rFonts w:ascii="Arial" w:eastAsia="Arial" w:hAnsi="Arial" w:cs="Arial"/>
                <w:sz w:val="22"/>
              </w:rPr>
              <w:t>Barcode scanner.</w:t>
            </w:r>
          </w:p>
        </w:tc>
      </w:tr>
      <w:tr w:rsidR="00FC176B" w14:paraId="68C80F85" w14:textId="77777777" w:rsidTr="000E2984">
        <w:trPr>
          <w:cnfStyle w:val="000000100000" w:firstRow="0" w:lastRow="0" w:firstColumn="0" w:lastColumn="0" w:oddVBand="0" w:evenVBand="0" w:oddHBand="1" w:evenHBand="0" w:firstRowFirstColumn="0" w:firstRowLastColumn="0" w:lastRowFirstColumn="0" w:lastRowLastColumn="0"/>
          <w:trHeight w:val="800"/>
        </w:trPr>
        <w:tc>
          <w:tcPr>
            <w:tcW w:w="720" w:type="dxa"/>
          </w:tcPr>
          <w:p w14:paraId="6FF811DB" w14:textId="3A9904E1" w:rsidR="00FC176B" w:rsidRDefault="00FC176B" w:rsidP="00FC176B">
            <w:pPr>
              <w:rPr>
                <w:rFonts w:ascii="Arial" w:eastAsia="Arial" w:hAnsi="Arial" w:cs="Arial"/>
                <w:b/>
                <w:sz w:val="22"/>
              </w:rPr>
            </w:pPr>
            <w:r>
              <w:rPr>
                <w:rFonts w:ascii="Arial" w:eastAsia="Arial" w:hAnsi="Arial" w:cs="Arial"/>
                <w:b/>
                <w:sz w:val="22"/>
              </w:rPr>
              <w:t>T6</w:t>
            </w:r>
          </w:p>
        </w:tc>
        <w:tc>
          <w:tcPr>
            <w:tcW w:w="2016" w:type="dxa"/>
          </w:tcPr>
          <w:p w14:paraId="1AD1E43D" w14:textId="1B5D0DF9" w:rsidR="00FC176B" w:rsidRDefault="00FC176B" w:rsidP="00FC176B">
            <w:pPr>
              <w:rPr>
                <w:rFonts w:ascii="Arial" w:eastAsia="Arial" w:hAnsi="Arial" w:cs="Arial"/>
                <w:sz w:val="22"/>
              </w:rPr>
            </w:pPr>
            <w:r>
              <w:rPr>
                <w:rFonts w:ascii="Arial" w:eastAsia="Arial" w:hAnsi="Arial" w:cs="Arial"/>
                <w:sz w:val="22"/>
              </w:rPr>
              <w:t>Enter collector name, collector number, and/or collection date OR the exsiccatae title and number, if applicable.</w:t>
            </w:r>
          </w:p>
        </w:tc>
        <w:tc>
          <w:tcPr>
            <w:tcW w:w="4147" w:type="dxa"/>
          </w:tcPr>
          <w:p w14:paraId="012DBE5F" w14:textId="5BEDC1F4" w:rsidR="00FC176B" w:rsidRDefault="00FC176B" w:rsidP="00FC176B">
            <w:pPr>
              <w:rPr>
                <w:rFonts w:ascii="Arial" w:eastAsia="Arial" w:hAnsi="Arial" w:cs="Arial"/>
                <w:sz w:val="22"/>
              </w:rPr>
            </w:pPr>
            <w:r>
              <w:rPr>
                <w:rFonts w:ascii="Arial" w:eastAsia="Arial" w:hAnsi="Arial" w:cs="Arial"/>
                <w:sz w:val="22"/>
              </w:rPr>
              <w:t>This data facilitates electronic search for duplicates. Attempt to use standardized look-up lists, when appropriate.</w:t>
            </w:r>
          </w:p>
        </w:tc>
        <w:tc>
          <w:tcPr>
            <w:tcW w:w="1908" w:type="dxa"/>
          </w:tcPr>
          <w:p w14:paraId="52ECFD8E" w14:textId="4B3685D5" w:rsidR="00FC176B" w:rsidRDefault="00FC176B" w:rsidP="00FC176B">
            <w:pPr>
              <w:rPr>
                <w:rFonts w:ascii="Arial" w:eastAsia="Arial" w:hAnsi="Arial" w:cs="Arial"/>
                <w:sz w:val="22"/>
              </w:rPr>
            </w:pPr>
            <w:r>
              <w:rPr>
                <w:rFonts w:ascii="Arial" w:eastAsia="Arial" w:hAnsi="Arial" w:cs="Arial"/>
                <w:sz w:val="22"/>
              </w:rPr>
              <w:t>Database interface.</w:t>
            </w:r>
          </w:p>
        </w:tc>
      </w:tr>
      <w:tr w:rsidR="00FC176B" w14:paraId="6F5F90E7" w14:textId="77777777" w:rsidTr="00C459C2">
        <w:trPr>
          <w:cnfStyle w:val="000000010000" w:firstRow="0" w:lastRow="0" w:firstColumn="0" w:lastColumn="0" w:oddVBand="0" w:evenVBand="0" w:oddHBand="0" w:evenHBand="1" w:firstRowFirstColumn="0" w:firstRowLastColumn="0" w:lastRowFirstColumn="0" w:lastRowLastColumn="0"/>
          <w:trHeight w:val="332"/>
        </w:trPr>
        <w:tc>
          <w:tcPr>
            <w:tcW w:w="720" w:type="dxa"/>
          </w:tcPr>
          <w:p w14:paraId="41A34BC9" w14:textId="01D16FD0" w:rsidR="00FC176B" w:rsidRDefault="00FC176B" w:rsidP="00FC176B">
            <w:pPr>
              <w:rPr>
                <w:rFonts w:ascii="Arial" w:eastAsia="Arial" w:hAnsi="Arial" w:cs="Arial"/>
                <w:b/>
                <w:sz w:val="22"/>
              </w:rPr>
            </w:pPr>
            <w:r>
              <w:rPr>
                <w:rFonts w:ascii="Arial" w:eastAsia="Arial" w:hAnsi="Arial" w:cs="Arial"/>
                <w:b/>
                <w:sz w:val="22"/>
              </w:rPr>
              <w:t>T7</w:t>
            </w:r>
          </w:p>
        </w:tc>
        <w:tc>
          <w:tcPr>
            <w:tcW w:w="2016" w:type="dxa"/>
          </w:tcPr>
          <w:p w14:paraId="309F42F3" w14:textId="5ABB1CC2" w:rsidR="00FC176B" w:rsidRDefault="00FC176B" w:rsidP="00FC176B">
            <w:pPr>
              <w:rPr>
                <w:rFonts w:ascii="Arial" w:eastAsia="Arial" w:hAnsi="Arial" w:cs="Arial"/>
                <w:sz w:val="22"/>
              </w:rPr>
            </w:pPr>
            <w:r>
              <w:rPr>
                <w:rFonts w:ascii="Arial" w:eastAsia="Arial" w:hAnsi="Arial" w:cs="Arial"/>
                <w:sz w:val="22"/>
              </w:rPr>
              <w:t>Attempt search for duplicates.</w:t>
            </w:r>
          </w:p>
        </w:tc>
        <w:tc>
          <w:tcPr>
            <w:tcW w:w="4147" w:type="dxa"/>
          </w:tcPr>
          <w:p w14:paraId="68D83174" w14:textId="574B2009" w:rsidR="00FC176B" w:rsidRDefault="00FC176B" w:rsidP="00FC176B">
            <w:pPr>
              <w:rPr>
                <w:rFonts w:ascii="Arial" w:eastAsia="Arial" w:hAnsi="Arial" w:cs="Arial"/>
                <w:sz w:val="22"/>
              </w:rPr>
            </w:pPr>
            <w:r>
              <w:rPr>
                <w:rFonts w:ascii="Arial" w:eastAsia="Arial" w:hAnsi="Arial" w:cs="Arial"/>
                <w:sz w:val="22"/>
              </w:rPr>
              <w:t>In software so equipped, this process attempts to discover duplicate specimens or duplicate collecting events from within a regional or global herbarium network based on exact or closely similar matches on several fields (collector, collector number, collection date, exsiccatae title and number). Software supporting such duplicate searches currently includes Specify 6 (via Scatter, Gather, Reconcile) and Symbiota.</w:t>
            </w:r>
            <w:r>
              <w:rPr>
                <w:rFonts w:ascii="Arial" w:eastAsia="Arial" w:hAnsi="Arial" w:cs="Arial"/>
                <w:sz w:val="22"/>
              </w:rPr>
              <w:br/>
            </w:r>
            <w:r>
              <w:rPr>
                <w:rFonts w:ascii="Arial" w:eastAsia="Arial" w:hAnsi="Arial" w:cs="Arial"/>
                <w:sz w:val="22"/>
              </w:rPr>
              <w:br/>
              <w:t>Even in cases where exact duplicates are not found, duplicate collecting events that are found might facilitate more rapid data entry.</w:t>
            </w:r>
          </w:p>
        </w:tc>
        <w:tc>
          <w:tcPr>
            <w:tcW w:w="1908" w:type="dxa"/>
          </w:tcPr>
          <w:p w14:paraId="7818D6C7" w14:textId="77777777" w:rsidR="00FC176B" w:rsidRDefault="00FC176B" w:rsidP="00FC176B">
            <w:pPr>
              <w:keepNext/>
            </w:pPr>
            <w:r>
              <w:rPr>
                <w:rFonts w:ascii="Arial" w:eastAsia="Arial" w:hAnsi="Arial" w:cs="Arial"/>
                <w:sz w:val="22"/>
              </w:rPr>
              <w:t>Appropriate software.</w:t>
            </w:r>
          </w:p>
          <w:p w14:paraId="6BF48481" w14:textId="77777777" w:rsidR="00FC176B" w:rsidRDefault="00FC176B" w:rsidP="00FC176B">
            <w:pPr>
              <w:keepNext/>
            </w:pPr>
            <w:r>
              <w:rPr>
                <w:rFonts w:ascii="Arial" w:eastAsia="Arial" w:hAnsi="Arial" w:cs="Arial"/>
                <w:sz w:val="22"/>
              </w:rPr>
              <w:t>Connection to networked resources.</w:t>
            </w:r>
          </w:p>
          <w:p w14:paraId="48EE0C6D" w14:textId="1E8C3E94" w:rsidR="00FC176B" w:rsidRDefault="00FC176B" w:rsidP="00FC176B">
            <w:pPr>
              <w:rPr>
                <w:rFonts w:ascii="Arial" w:eastAsia="Arial" w:hAnsi="Arial" w:cs="Arial"/>
                <w:sz w:val="22"/>
              </w:rPr>
            </w:pPr>
            <w:r>
              <w:rPr>
                <w:rFonts w:ascii="Arial" w:eastAsia="Arial" w:hAnsi="Arial" w:cs="Arial"/>
                <w:sz w:val="22"/>
              </w:rPr>
              <w:t>A database that is a source of duplicates.</w:t>
            </w:r>
          </w:p>
        </w:tc>
      </w:tr>
      <w:tr w:rsidR="00FC176B" w14:paraId="620A701F" w14:textId="77777777" w:rsidTr="000E2984">
        <w:trPr>
          <w:cnfStyle w:val="000000100000" w:firstRow="0" w:lastRow="0" w:firstColumn="0" w:lastColumn="0" w:oddVBand="0" w:evenVBand="0" w:oddHBand="1" w:evenHBand="0" w:firstRowFirstColumn="0" w:firstRowLastColumn="0" w:lastRowFirstColumn="0" w:lastRowLastColumn="0"/>
          <w:trHeight w:val="800"/>
        </w:trPr>
        <w:tc>
          <w:tcPr>
            <w:tcW w:w="720" w:type="dxa"/>
          </w:tcPr>
          <w:p w14:paraId="14293615" w14:textId="1E8BA679" w:rsidR="00FC176B" w:rsidRDefault="00FC176B" w:rsidP="00FC176B">
            <w:pPr>
              <w:rPr>
                <w:rFonts w:ascii="Arial" w:eastAsia="Arial" w:hAnsi="Arial" w:cs="Arial"/>
                <w:b/>
                <w:sz w:val="22"/>
              </w:rPr>
            </w:pPr>
            <w:r>
              <w:rPr>
                <w:rFonts w:ascii="Arial" w:eastAsia="Arial" w:hAnsi="Arial" w:cs="Arial"/>
                <w:b/>
                <w:sz w:val="22"/>
              </w:rPr>
              <w:t>T8</w:t>
            </w:r>
          </w:p>
        </w:tc>
        <w:tc>
          <w:tcPr>
            <w:tcW w:w="2016" w:type="dxa"/>
          </w:tcPr>
          <w:p w14:paraId="0C0C9215" w14:textId="6E7E236E" w:rsidR="00FC176B" w:rsidRDefault="00FC176B" w:rsidP="00FC176B">
            <w:pPr>
              <w:rPr>
                <w:rFonts w:ascii="Arial" w:eastAsia="Arial" w:hAnsi="Arial" w:cs="Arial"/>
                <w:sz w:val="22"/>
              </w:rPr>
            </w:pPr>
            <w:r>
              <w:rPr>
                <w:rFonts w:ascii="Arial" w:eastAsia="Arial" w:hAnsi="Arial" w:cs="Arial"/>
                <w:sz w:val="22"/>
              </w:rPr>
              <w:t>Parse and move data from discovered duplicates into the data record.</w:t>
            </w:r>
          </w:p>
        </w:tc>
        <w:tc>
          <w:tcPr>
            <w:tcW w:w="4147" w:type="dxa"/>
          </w:tcPr>
          <w:p w14:paraId="594CE9EC" w14:textId="621FE8FB" w:rsidR="00FC176B" w:rsidRDefault="00FC176B" w:rsidP="00BF0C96">
            <w:pPr>
              <w:rPr>
                <w:rFonts w:ascii="Arial" w:eastAsia="Arial" w:hAnsi="Arial" w:cs="Arial"/>
                <w:sz w:val="22"/>
              </w:rPr>
            </w:pPr>
            <w:r>
              <w:rPr>
                <w:rFonts w:ascii="Arial" w:eastAsia="Arial" w:hAnsi="Arial" w:cs="Arial"/>
                <w:sz w:val="22"/>
              </w:rPr>
              <w:t>This step is dependent upon completion of T7 and assumes discovery of a duplicate record or duplicate collecting event. Results might be used to fully populate</w:t>
            </w:r>
            <w:r w:rsidR="00BF0C96">
              <w:rPr>
                <w:rFonts w:ascii="Arial" w:eastAsia="Arial" w:hAnsi="Arial" w:cs="Arial"/>
                <w:sz w:val="22"/>
              </w:rPr>
              <w:t>—</w:t>
            </w:r>
            <w:r>
              <w:rPr>
                <w:rFonts w:ascii="Arial" w:eastAsia="Arial" w:hAnsi="Arial" w:cs="Arial"/>
                <w:sz w:val="22"/>
              </w:rPr>
              <w:t>via keystroke or automatic transfer</w:t>
            </w:r>
            <w:r w:rsidR="00BF0C96">
              <w:rPr>
                <w:rFonts w:ascii="Arial" w:eastAsia="Arial" w:hAnsi="Arial" w:cs="Arial"/>
                <w:sz w:val="22"/>
              </w:rPr>
              <w:t>—</w:t>
            </w:r>
            <w:r>
              <w:rPr>
                <w:rFonts w:ascii="Arial" w:eastAsia="Arial" w:hAnsi="Arial" w:cs="Arial"/>
                <w:sz w:val="22"/>
              </w:rPr>
              <w:t>previously partially completed records or to import discovered data into all empty fields.</w:t>
            </w:r>
          </w:p>
        </w:tc>
        <w:tc>
          <w:tcPr>
            <w:tcW w:w="1908" w:type="dxa"/>
          </w:tcPr>
          <w:p w14:paraId="76B6E8B5" w14:textId="51D8522D" w:rsidR="00FC176B" w:rsidRDefault="00FC176B" w:rsidP="00FC176B">
            <w:pPr>
              <w:keepNext/>
              <w:rPr>
                <w:rFonts w:ascii="Arial" w:eastAsia="Arial" w:hAnsi="Arial" w:cs="Arial"/>
                <w:sz w:val="22"/>
              </w:rPr>
            </w:pPr>
            <w:r>
              <w:rPr>
                <w:rFonts w:ascii="Arial" w:eastAsia="Arial" w:hAnsi="Arial" w:cs="Arial"/>
                <w:sz w:val="22"/>
              </w:rPr>
              <w:t>Appropriate connection to networked resources.</w:t>
            </w:r>
          </w:p>
        </w:tc>
      </w:tr>
      <w:tr w:rsidR="00FC176B" w14:paraId="2D7F9C9A" w14:textId="77777777" w:rsidTr="00C459C2">
        <w:trPr>
          <w:cnfStyle w:val="000000010000" w:firstRow="0" w:lastRow="0" w:firstColumn="0" w:lastColumn="0" w:oddVBand="0" w:evenVBand="0" w:oddHBand="0" w:evenHBand="1" w:firstRowFirstColumn="0" w:firstRowLastColumn="0" w:lastRowFirstColumn="0" w:lastRowLastColumn="0"/>
          <w:trHeight w:val="3347"/>
        </w:trPr>
        <w:tc>
          <w:tcPr>
            <w:tcW w:w="784" w:type="dxa"/>
          </w:tcPr>
          <w:p w14:paraId="24EDC3F3" w14:textId="77777777" w:rsidR="00FC176B" w:rsidRDefault="00FC176B" w:rsidP="00FC176B">
            <w:pPr>
              <w:keepNext/>
            </w:pPr>
            <w:r>
              <w:rPr>
                <w:rFonts w:ascii="Arial" w:eastAsia="Arial" w:hAnsi="Arial" w:cs="Arial"/>
                <w:b/>
                <w:sz w:val="22"/>
              </w:rPr>
              <w:t>T9</w:t>
            </w:r>
          </w:p>
        </w:tc>
        <w:tc>
          <w:tcPr>
            <w:tcW w:w="2195" w:type="dxa"/>
          </w:tcPr>
          <w:p w14:paraId="50831186" w14:textId="77777777" w:rsidR="00FC176B" w:rsidRDefault="00FC176B" w:rsidP="00FC176B">
            <w:pPr>
              <w:keepNext/>
            </w:pPr>
            <w:r>
              <w:rPr>
                <w:rFonts w:ascii="Arial" w:eastAsia="Arial" w:hAnsi="Arial" w:cs="Arial"/>
                <w:sz w:val="22"/>
              </w:rPr>
              <w:t>Attempt automated NLP.</w:t>
            </w:r>
          </w:p>
        </w:tc>
        <w:tc>
          <w:tcPr>
            <w:tcW w:w="4516" w:type="dxa"/>
          </w:tcPr>
          <w:p w14:paraId="4F443020" w14:textId="167777C1" w:rsidR="00FC176B" w:rsidRDefault="00FC176B" w:rsidP="00FC176B">
            <w:pPr>
              <w:keepNext/>
            </w:pPr>
            <w:r>
              <w:rPr>
                <w:rFonts w:ascii="Arial" w:eastAsia="Arial" w:hAnsi="Arial" w:cs="Arial"/>
                <w:sz w:val="22"/>
              </w:rPr>
              <w:t xml:space="preserve">Steps in the </w:t>
            </w:r>
            <w:r w:rsidR="00BF0C96">
              <w:rPr>
                <w:rFonts w:ascii="Arial" w:eastAsia="Arial" w:hAnsi="Arial" w:cs="Arial"/>
                <w:sz w:val="22"/>
              </w:rPr>
              <w:t xml:space="preserve">natural language processing </w:t>
            </w:r>
            <w:r>
              <w:rPr>
                <w:rFonts w:ascii="Arial" w:eastAsia="Arial" w:hAnsi="Arial" w:cs="Arial"/>
                <w:sz w:val="22"/>
              </w:rPr>
              <w:t>(NLP) process might include:</w:t>
            </w:r>
          </w:p>
          <w:p w14:paraId="05F70B6D" w14:textId="77777777" w:rsidR="00FC176B" w:rsidRDefault="00FC176B" w:rsidP="00FC176B">
            <w:pPr>
              <w:keepNext/>
              <w:numPr>
                <w:ilvl w:val="0"/>
                <w:numId w:val="2"/>
              </w:numPr>
              <w:ind w:hanging="360"/>
              <w:rPr>
                <w:sz w:val="22"/>
              </w:rPr>
            </w:pPr>
            <w:r>
              <w:rPr>
                <w:rFonts w:ascii="Arial" w:eastAsia="Arial" w:hAnsi="Arial" w:cs="Arial"/>
                <w:sz w:val="22"/>
              </w:rPr>
              <w:t>Training/setup/configuration of grammars and parsing rules using training sets based on predefined formats and cases (e.g., dates, duplicates). This task is likely to be performed once or only periodically.</w:t>
            </w:r>
          </w:p>
          <w:p w14:paraId="717E193B" w14:textId="43C888BB" w:rsidR="00FC176B" w:rsidRDefault="00FC176B" w:rsidP="00FC176B">
            <w:pPr>
              <w:keepNext/>
              <w:numPr>
                <w:ilvl w:val="0"/>
                <w:numId w:val="2"/>
              </w:numPr>
              <w:ind w:hanging="360"/>
              <w:rPr>
                <w:sz w:val="22"/>
              </w:rPr>
            </w:pPr>
            <w:r>
              <w:rPr>
                <w:rFonts w:ascii="Arial" w:eastAsia="Arial" w:hAnsi="Arial" w:cs="Arial"/>
                <w:sz w:val="22"/>
              </w:rPr>
              <w:t>Ingestion of data into the NLP tool (data are typically the result of OCR, but possibly from keyboard input).</w:t>
            </w:r>
          </w:p>
          <w:p w14:paraId="0D9AD4F6" w14:textId="77777777" w:rsidR="00FC176B" w:rsidRDefault="00FC176B" w:rsidP="00FC176B">
            <w:pPr>
              <w:keepNext/>
              <w:numPr>
                <w:ilvl w:val="0"/>
                <w:numId w:val="2"/>
              </w:numPr>
              <w:ind w:hanging="360"/>
              <w:rPr>
                <w:sz w:val="22"/>
              </w:rPr>
            </w:pPr>
            <w:r>
              <w:rPr>
                <w:rFonts w:ascii="Arial" w:eastAsia="Arial" w:hAnsi="Arial" w:cs="Arial"/>
                <w:sz w:val="22"/>
              </w:rPr>
              <w:t>Output of parsed data and subsequent upload into a database.</w:t>
            </w:r>
          </w:p>
        </w:tc>
        <w:tc>
          <w:tcPr>
            <w:tcW w:w="2078" w:type="dxa"/>
          </w:tcPr>
          <w:p w14:paraId="07E8A3D5" w14:textId="6AB21E0B" w:rsidR="00FC176B" w:rsidRDefault="00FC176B" w:rsidP="00FC176B">
            <w:pPr>
              <w:keepNext/>
            </w:pPr>
            <w:r>
              <w:rPr>
                <w:rFonts w:ascii="Arial" w:eastAsia="Arial" w:hAnsi="Arial" w:cs="Arial"/>
                <w:sz w:val="22"/>
              </w:rPr>
              <w:t>NLP software or NLP-integrated data entry application (e.g</w:t>
            </w:r>
            <w:r w:rsidR="00BF0C96">
              <w:rPr>
                <w:rFonts w:ascii="Arial" w:eastAsia="Arial" w:hAnsi="Arial" w:cs="Arial"/>
                <w:sz w:val="22"/>
              </w:rPr>
              <w:t>.,</w:t>
            </w:r>
            <w:r>
              <w:rPr>
                <w:rFonts w:ascii="Arial" w:eastAsia="Arial" w:hAnsi="Arial" w:cs="Arial"/>
                <w:sz w:val="22"/>
              </w:rPr>
              <w:t xml:space="preserve"> SALIX, Symbiota).</w:t>
            </w:r>
          </w:p>
          <w:p w14:paraId="02E1DA48" w14:textId="77777777" w:rsidR="00FC176B" w:rsidRDefault="00FC176B" w:rsidP="00FC176B">
            <w:pPr>
              <w:keepNext/>
            </w:pPr>
            <w:r>
              <w:rPr>
                <w:rFonts w:ascii="Arial" w:eastAsia="Arial" w:hAnsi="Arial" w:cs="Arial"/>
                <w:sz w:val="22"/>
              </w:rPr>
              <w:t>Data source to be parsed.</w:t>
            </w:r>
          </w:p>
        </w:tc>
      </w:tr>
      <w:tr w:rsidR="00FC176B" w14:paraId="713678F5" w14:textId="77777777" w:rsidTr="00FC176B">
        <w:trPr>
          <w:cnfStyle w:val="000000100000" w:firstRow="0" w:lastRow="0" w:firstColumn="0" w:lastColumn="0" w:oddVBand="0" w:evenVBand="0" w:oddHBand="1" w:evenHBand="0" w:firstRowFirstColumn="0" w:firstRowLastColumn="0" w:lastRowFirstColumn="0" w:lastRowLastColumn="0"/>
          <w:trHeight w:val="728"/>
        </w:trPr>
        <w:tc>
          <w:tcPr>
            <w:tcW w:w="784" w:type="dxa"/>
          </w:tcPr>
          <w:p w14:paraId="13A78C61" w14:textId="77777777" w:rsidR="00FC176B" w:rsidRDefault="00FC176B" w:rsidP="00FC176B">
            <w:r>
              <w:rPr>
                <w:rFonts w:ascii="Arial" w:eastAsia="Arial" w:hAnsi="Arial" w:cs="Arial"/>
                <w:b/>
                <w:sz w:val="22"/>
              </w:rPr>
              <w:t>T10</w:t>
            </w:r>
          </w:p>
        </w:tc>
        <w:tc>
          <w:tcPr>
            <w:tcW w:w="2195" w:type="dxa"/>
          </w:tcPr>
          <w:p w14:paraId="1DC113D9" w14:textId="77777777" w:rsidR="00FC176B" w:rsidRDefault="00FC176B" w:rsidP="00FC176B">
            <w:r>
              <w:rPr>
                <w:rFonts w:ascii="Arial" w:eastAsia="Arial" w:hAnsi="Arial" w:cs="Arial"/>
                <w:sz w:val="22"/>
              </w:rPr>
              <w:t>Enter specimen data for remaining fields being targeted.</w:t>
            </w:r>
          </w:p>
          <w:p w14:paraId="13231E90" w14:textId="77777777" w:rsidR="00FC176B" w:rsidRDefault="00FC176B" w:rsidP="00FC176B"/>
          <w:p w14:paraId="45582CAA" w14:textId="77777777" w:rsidR="00FC176B" w:rsidRDefault="00FC176B" w:rsidP="00FC176B"/>
        </w:tc>
        <w:tc>
          <w:tcPr>
            <w:tcW w:w="4516" w:type="dxa"/>
          </w:tcPr>
          <w:p w14:paraId="62B651FE" w14:textId="77777777" w:rsidR="00FC176B" w:rsidRDefault="00FC176B" w:rsidP="00FC176B">
            <w:r>
              <w:rPr>
                <w:rFonts w:ascii="Arial" w:eastAsia="Arial" w:hAnsi="Arial" w:cs="Arial"/>
                <w:sz w:val="22"/>
                <w:highlight w:val="white"/>
              </w:rPr>
              <w:t>Consider institutional or project policy when choosing target fields, including but not limited to higher geography, determiner, habitat, etc.</w:t>
            </w:r>
            <w:r>
              <w:rPr>
                <w:rFonts w:ascii="Arial" w:eastAsia="Arial" w:hAnsi="Arial" w:cs="Arial"/>
                <w:sz w:val="22"/>
              </w:rPr>
              <w:t xml:space="preserve"> </w:t>
            </w:r>
            <w:r>
              <w:rPr>
                <w:rFonts w:ascii="Arial" w:eastAsia="Arial" w:hAnsi="Arial" w:cs="Arial"/>
                <w:sz w:val="22"/>
                <w:highlight w:val="white"/>
              </w:rPr>
              <w:t>Enter or select from controlled vocabulary pick lists.</w:t>
            </w:r>
          </w:p>
          <w:p w14:paraId="07746E1F" w14:textId="77777777" w:rsidR="00FC176B" w:rsidRDefault="00FC176B" w:rsidP="00FC176B"/>
          <w:p w14:paraId="18B13D82" w14:textId="77777777" w:rsidR="00FC176B" w:rsidRDefault="00FC176B" w:rsidP="00FC176B">
            <w:r>
              <w:rPr>
                <w:rFonts w:ascii="Arial" w:eastAsia="Arial" w:hAnsi="Arial" w:cs="Arial"/>
                <w:sz w:val="22"/>
              </w:rPr>
              <w:t>Currently, keystroking is the most popular method.</w:t>
            </w:r>
            <w:r>
              <w:rPr>
                <w:rFonts w:ascii="Arial" w:eastAsia="Arial" w:hAnsi="Arial" w:cs="Arial"/>
                <w:sz w:val="22"/>
                <w:highlight w:val="white"/>
              </w:rPr>
              <w:t xml:space="preserve"> Some applications have NLP and duplicate harvesting integrated into the data entry form for assisted automated data entry techniques.</w:t>
            </w:r>
          </w:p>
          <w:p w14:paraId="62915813" w14:textId="77777777" w:rsidR="00FC176B" w:rsidRDefault="00FC176B" w:rsidP="00FC176B"/>
          <w:p w14:paraId="7CECC56A" w14:textId="4B46D721" w:rsidR="00FC176B" w:rsidRDefault="00FC176B" w:rsidP="00FC176B">
            <w:r>
              <w:rPr>
                <w:rFonts w:ascii="Arial" w:eastAsia="Arial" w:hAnsi="Arial" w:cs="Arial"/>
                <w:sz w:val="22"/>
              </w:rPr>
              <w:t>Voice or speech recognition (VR) software is not yet widely used, but has important consequences for biological database data capture. Several institutions are currently using this technology and others are refining it for use with biological and paleontological collections. Using this technology requires training VR software to recognize and parse individual technicians' speech patterns (a one-time, repetitive, and potentially somewhat time-intensive endeavor). Following initial training and setup, steps in using VR mirror those of keyboard entry and sometimes depend upon keyboard-controlled navigation among data fields. To capture data, technicians view the label, navigate to the appropriate data field in the database interface, and read the label data into a microphone.</w:t>
            </w:r>
            <w:r>
              <w:rPr>
                <w:rFonts w:ascii="Arial" w:eastAsia="Arial" w:hAnsi="Arial" w:cs="Arial"/>
                <w:sz w:val="22"/>
              </w:rPr>
              <w:br/>
            </w:r>
            <w:r>
              <w:rPr>
                <w:rFonts w:ascii="Arial" w:eastAsia="Arial" w:hAnsi="Arial" w:cs="Arial"/>
                <w:sz w:val="22"/>
              </w:rPr>
              <w:br/>
              <w:t>When used, VR allows data entry for filed-as name and other relevant label data, including the population of skeletal data referenced in T6.</w:t>
            </w:r>
            <w:r>
              <w:rPr>
                <w:rFonts w:ascii="Arial" w:eastAsia="Arial" w:hAnsi="Arial" w:cs="Arial"/>
                <w:sz w:val="22"/>
              </w:rPr>
              <w:br/>
            </w:r>
            <w:r>
              <w:rPr>
                <w:rFonts w:ascii="Arial" w:eastAsia="Arial" w:hAnsi="Arial" w:cs="Arial"/>
                <w:sz w:val="22"/>
              </w:rPr>
              <w:br/>
              <w:t>The significant time investment in training the software when technicians are replaced frequently is a potential deficiency of VR.</w:t>
            </w:r>
          </w:p>
        </w:tc>
        <w:tc>
          <w:tcPr>
            <w:tcW w:w="2078" w:type="dxa"/>
          </w:tcPr>
          <w:p w14:paraId="225E5EA8" w14:textId="77777777" w:rsidR="00FC176B" w:rsidRDefault="00FC176B" w:rsidP="00FC176B">
            <w:r>
              <w:rPr>
                <w:rFonts w:ascii="Arial" w:eastAsia="Arial" w:hAnsi="Arial" w:cs="Arial"/>
                <w:sz w:val="22"/>
              </w:rPr>
              <w:t>Institutional policies and protocols.</w:t>
            </w:r>
          </w:p>
          <w:p w14:paraId="19622348" w14:textId="77777777" w:rsidR="00FC176B" w:rsidRDefault="00FC176B" w:rsidP="00FC176B">
            <w:r>
              <w:rPr>
                <w:rFonts w:ascii="Arial" w:eastAsia="Arial" w:hAnsi="Arial" w:cs="Arial"/>
                <w:sz w:val="22"/>
              </w:rPr>
              <w:t>Voice recognition software.</w:t>
            </w:r>
          </w:p>
          <w:p w14:paraId="64F0493C" w14:textId="77777777" w:rsidR="00FC176B" w:rsidRDefault="00FC176B" w:rsidP="00FC176B">
            <w:r>
              <w:rPr>
                <w:rFonts w:ascii="Arial" w:eastAsia="Arial" w:hAnsi="Arial" w:cs="Arial"/>
                <w:sz w:val="22"/>
              </w:rPr>
              <w:t>Computer and database.</w:t>
            </w:r>
          </w:p>
        </w:tc>
      </w:tr>
      <w:tr w:rsidR="00FC176B" w14:paraId="777C8D41" w14:textId="77777777" w:rsidTr="00FC176B">
        <w:trPr>
          <w:cnfStyle w:val="000000010000" w:firstRow="0" w:lastRow="0" w:firstColumn="0" w:lastColumn="0" w:oddVBand="0" w:evenVBand="0" w:oddHBand="0" w:evenHBand="1" w:firstRowFirstColumn="0" w:firstRowLastColumn="0" w:lastRowFirstColumn="0" w:lastRowLastColumn="0"/>
          <w:trHeight w:val="1480"/>
        </w:trPr>
        <w:tc>
          <w:tcPr>
            <w:tcW w:w="784" w:type="dxa"/>
          </w:tcPr>
          <w:p w14:paraId="51CB3A00" w14:textId="77777777" w:rsidR="00FC176B" w:rsidRDefault="00FC176B" w:rsidP="00FC176B">
            <w:pPr>
              <w:keepNext/>
            </w:pPr>
            <w:r>
              <w:rPr>
                <w:rFonts w:ascii="Arial" w:eastAsia="Arial" w:hAnsi="Arial" w:cs="Arial"/>
                <w:b/>
                <w:sz w:val="22"/>
              </w:rPr>
              <w:t>T11</w:t>
            </w:r>
          </w:p>
        </w:tc>
        <w:tc>
          <w:tcPr>
            <w:tcW w:w="2195" w:type="dxa"/>
          </w:tcPr>
          <w:p w14:paraId="7C7CFA86" w14:textId="77777777" w:rsidR="00FC176B" w:rsidRDefault="00FC176B" w:rsidP="00FC176B">
            <w:pPr>
              <w:keepNext/>
            </w:pPr>
            <w:r>
              <w:rPr>
                <w:rFonts w:ascii="Arial" w:eastAsia="Arial" w:hAnsi="Arial" w:cs="Arial"/>
                <w:sz w:val="22"/>
              </w:rPr>
              <w:t>Extract and record annotation label data via keyboard or voice recognition.</w:t>
            </w:r>
          </w:p>
        </w:tc>
        <w:tc>
          <w:tcPr>
            <w:tcW w:w="4516" w:type="dxa"/>
          </w:tcPr>
          <w:p w14:paraId="61A3CF6D" w14:textId="77B7D9DD" w:rsidR="00FC176B" w:rsidRDefault="00FC176B" w:rsidP="00FC176B">
            <w:pPr>
              <w:keepNext/>
            </w:pPr>
            <w:r>
              <w:rPr>
                <w:rFonts w:ascii="Arial" w:eastAsia="Arial" w:hAnsi="Arial" w:cs="Arial"/>
                <w:sz w:val="22"/>
              </w:rPr>
              <w:t>Capture of annotation label data during initial data entry varies with institution. Some herbaria defer this to a later data entry step, others create fully populated records in which annotations are included, or populate skeletal records and annotations.</w:t>
            </w:r>
          </w:p>
        </w:tc>
        <w:tc>
          <w:tcPr>
            <w:tcW w:w="2078" w:type="dxa"/>
          </w:tcPr>
          <w:p w14:paraId="64598666" w14:textId="77777777" w:rsidR="00FC176B" w:rsidRDefault="00FC176B" w:rsidP="00FC176B">
            <w:pPr>
              <w:keepNext/>
            </w:pPr>
            <w:r>
              <w:rPr>
                <w:rFonts w:ascii="Arial" w:eastAsia="Arial" w:hAnsi="Arial" w:cs="Arial"/>
                <w:sz w:val="22"/>
              </w:rPr>
              <w:t>Institutional protocol.</w:t>
            </w:r>
          </w:p>
          <w:p w14:paraId="5985F648" w14:textId="77777777" w:rsidR="00FC176B" w:rsidRDefault="00FC176B" w:rsidP="00FC176B">
            <w:pPr>
              <w:keepNext/>
            </w:pPr>
            <w:r>
              <w:rPr>
                <w:rFonts w:ascii="Arial" w:eastAsia="Arial" w:hAnsi="Arial" w:cs="Arial"/>
                <w:sz w:val="22"/>
              </w:rPr>
              <w:t>Voice recognition software.</w:t>
            </w:r>
          </w:p>
          <w:p w14:paraId="03461255" w14:textId="77777777" w:rsidR="00FC176B" w:rsidRDefault="00FC176B" w:rsidP="00FC176B">
            <w:pPr>
              <w:keepNext/>
            </w:pPr>
            <w:r>
              <w:rPr>
                <w:rFonts w:ascii="Arial" w:eastAsia="Arial" w:hAnsi="Arial" w:cs="Arial"/>
                <w:sz w:val="22"/>
              </w:rPr>
              <w:t>Computer and database.</w:t>
            </w:r>
          </w:p>
          <w:p w14:paraId="323A091E" w14:textId="77777777" w:rsidR="00FC176B" w:rsidRDefault="00FC176B" w:rsidP="00FC176B">
            <w:pPr>
              <w:keepNext/>
            </w:pPr>
          </w:p>
        </w:tc>
      </w:tr>
      <w:tr w:rsidR="00FC176B" w14:paraId="737BC736" w14:textId="77777777" w:rsidTr="00FC176B">
        <w:trPr>
          <w:cnfStyle w:val="000000100000" w:firstRow="0" w:lastRow="0" w:firstColumn="0" w:lastColumn="0" w:oddVBand="0" w:evenVBand="0" w:oddHBand="1" w:evenHBand="0" w:firstRowFirstColumn="0" w:firstRowLastColumn="0" w:lastRowFirstColumn="0" w:lastRowLastColumn="0"/>
          <w:trHeight w:val="807"/>
        </w:trPr>
        <w:tc>
          <w:tcPr>
            <w:tcW w:w="784" w:type="dxa"/>
          </w:tcPr>
          <w:p w14:paraId="0043E0CA" w14:textId="77777777" w:rsidR="00FC176B" w:rsidRDefault="00FC176B" w:rsidP="00FC176B">
            <w:r>
              <w:rPr>
                <w:rFonts w:ascii="Arial" w:eastAsia="Arial" w:hAnsi="Arial" w:cs="Arial"/>
                <w:b/>
                <w:sz w:val="22"/>
              </w:rPr>
              <w:t>T12</w:t>
            </w:r>
          </w:p>
        </w:tc>
        <w:tc>
          <w:tcPr>
            <w:tcW w:w="219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71367B2" w14:textId="77777777" w:rsidR="00FC176B" w:rsidRDefault="00FC176B" w:rsidP="00FC176B">
            <w:r>
              <w:rPr>
                <w:rFonts w:ascii="Arial" w:eastAsia="Arial" w:hAnsi="Arial" w:cs="Arial"/>
                <w:sz w:val="22"/>
              </w:rPr>
              <w:t>Check for specimens in need of repair or filed incorrectly.</w:t>
            </w:r>
          </w:p>
        </w:tc>
        <w:tc>
          <w:tcPr>
            <w:tcW w:w="451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E7DE7FD" w14:textId="77777777" w:rsidR="00FC176B" w:rsidRDefault="00FC176B" w:rsidP="00FC176B">
            <w:r>
              <w:rPr>
                <w:rFonts w:ascii="Arial" w:eastAsia="Arial" w:hAnsi="Arial" w:cs="Arial"/>
                <w:sz w:val="22"/>
              </w:rPr>
              <w:t>Establish and follow protocol for repairing and rerouting specimens in the digitization process.</w:t>
            </w:r>
          </w:p>
        </w:tc>
        <w:tc>
          <w:tcPr>
            <w:tcW w:w="2078" w:type="dxa"/>
          </w:tcPr>
          <w:p w14:paraId="4F39B258" w14:textId="77777777" w:rsidR="00FC176B" w:rsidRDefault="00FC176B" w:rsidP="00FC176B">
            <w:r>
              <w:rPr>
                <w:rFonts w:ascii="Arial" w:eastAsia="Arial" w:hAnsi="Arial" w:cs="Arial"/>
                <w:sz w:val="22"/>
              </w:rPr>
              <w:t>Specimen handling protocols.</w:t>
            </w:r>
          </w:p>
        </w:tc>
      </w:tr>
      <w:tr w:rsidR="00FC176B" w14:paraId="15A7DA81" w14:textId="77777777" w:rsidTr="00FC176B">
        <w:trPr>
          <w:cnfStyle w:val="000000010000" w:firstRow="0" w:lastRow="0" w:firstColumn="0" w:lastColumn="0" w:oddVBand="0" w:evenVBand="0" w:oddHBand="0" w:evenHBand="1" w:firstRowFirstColumn="0" w:firstRowLastColumn="0" w:lastRowFirstColumn="0" w:lastRowLastColumn="0"/>
          <w:trHeight w:val="2163"/>
        </w:trPr>
        <w:tc>
          <w:tcPr>
            <w:tcW w:w="784" w:type="dxa"/>
          </w:tcPr>
          <w:p w14:paraId="6E965C60" w14:textId="77777777" w:rsidR="00FC176B" w:rsidRDefault="00FC176B" w:rsidP="00FC176B">
            <w:pPr>
              <w:keepNext/>
            </w:pPr>
            <w:r>
              <w:rPr>
                <w:rFonts w:ascii="Arial" w:eastAsia="Arial" w:hAnsi="Arial" w:cs="Arial"/>
                <w:b/>
                <w:sz w:val="22"/>
              </w:rPr>
              <w:t>T13</w:t>
            </w:r>
          </w:p>
        </w:tc>
        <w:tc>
          <w:tcPr>
            <w:tcW w:w="2195" w:type="dxa"/>
          </w:tcPr>
          <w:p w14:paraId="1962AF29" w14:textId="77777777" w:rsidR="00FC176B" w:rsidRDefault="00FC176B" w:rsidP="00FC176B">
            <w:pPr>
              <w:keepNext/>
            </w:pPr>
            <w:r>
              <w:rPr>
                <w:rFonts w:ascii="Arial" w:eastAsia="Arial" w:hAnsi="Arial" w:cs="Arial"/>
                <w:sz w:val="22"/>
              </w:rPr>
              <w:t>Manually verify results and correct errors.</w:t>
            </w:r>
          </w:p>
        </w:tc>
        <w:tc>
          <w:tcPr>
            <w:tcW w:w="4516" w:type="dxa"/>
          </w:tcPr>
          <w:p w14:paraId="79E67B1A" w14:textId="77777777" w:rsidR="00FC176B" w:rsidRDefault="00FC176B" w:rsidP="00FC176B">
            <w:pPr>
              <w:keepNext/>
            </w:pPr>
            <w:r>
              <w:rPr>
                <w:rFonts w:ascii="Arial" w:eastAsia="Arial" w:hAnsi="Arial" w:cs="Arial"/>
                <w:sz w:val="22"/>
              </w:rPr>
              <w:t>After the data capture session and regardless of data entry method or combination of methods, data entries should be methodically reviewed for quality control. This task should be carried out on batches of records on a periodic basis (e.g., daily, weekly, etc.).</w:t>
            </w:r>
          </w:p>
        </w:tc>
        <w:tc>
          <w:tcPr>
            <w:tcW w:w="2078" w:type="dxa"/>
          </w:tcPr>
          <w:p w14:paraId="1A0D9207" w14:textId="77777777" w:rsidR="00FC176B" w:rsidRDefault="00FC176B" w:rsidP="00FC176B">
            <w:pPr>
              <w:keepNext/>
            </w:pPr>
            <w:r>
              <w:rPr>
                <w:rFonts w:ascii="Arial" w:eastAsia="Arial" w:hAnsi="Arial" w:cs="Arial"/>
                <w:sz w:val="22"/>
              </w:rPr>
              <w:t>Quality control protocol.</w:t>
            </w:r>
          </w:p>
        </w:tc>
      </w:tr>
      <w:tr w:rsidR="00FC176B" w14:paraId="6E55271F" w14:textId="77777777" w:rsidTr="00FC176B">
        <w:trPr>
          <w:cnfStyle w:val="000000100000" w:firstRow="0" w:lastRow="0" w:firstColumn="0" w:lastColumn="0" w:oddVBand="0" w:evenVBand="0" w:oddHBand="1" w:evenHBand="0" w:firstRowFirstColumn="0" w:firstRowLastColumn="0" w:lastRowFirstColumn="0" w:lastRowLastColumn="0"/>
          <w:trHeight w:val="1880"/>
        </w:trPr>
        <w:tc>
          <w:tcPr>
            <w:tcW w:w="784" w:type="dxa"/>
          </w:tcPr>
          <w:p w14:paraId="63765709" w14:textId="77777777" w:rsidR="00FC176B" w:rsidRDefault="00FC176B" w:rsidP="00FC176B">
            <w:r>
              <w:rPr>
                <w:rFonts w:ascii="Arial" w:eastAsia="Arial" w:hAnsi="Arial" w:cs="Arial"/>
                <w:b/>
                <w:sz w:val="22"/>
              </w:rPr>
              <w:t>T14</w:t>
            </w:r>
          </w:p>
        </w:tc>
        <w:tc>
          <w:tcPr>
            <w:tcW w:w="2195" w:type="dxa"/>
          </w:tcPr>
          <w:p w14:paraId="4DF5DBBF" w14:textId="77777777" w:rsidR="00FC176B" w:rsidRDefault="00FC176B" w:rsidP="00FC176B">
            <w:r>
              <w:rPr>
                <w:rFonts w:ascii="Arial" w:eastAsia="Arial" w:hAnsi="Arial" w:cs="Arial"/>
                <w:sz w:val="22"/>
              </w:rPr>
              <w:t>Record enhancement or secondary digitization.</w:t>
            </w:r>
          </w:p>
        </w:tc>
        <w:tc>
          <w:tcPr>
            <w:tcW w:w="4516" w:type="dxa"/>
          </w:tcPr>
          <w:p w14:paraId="6BFC024E" w14:textId="4578508E" w:rsidR="00FC176B" w:rsidRDefault="00FC176B" w:rsidP="00C703E6">
            <w:r>
              <w:rPr>
                <w:rFonts w:ascii="Arial" w:eastAsia="Arial" w:hAnsi="Arial" w:cs="Arial"/>
                <w:sz w:val="22"/>
              </w:rPr>
              <w:t xml:space="preserve">There are several tasks that entail deriving data from the label or specimen. Such tasks include georeferencing, assessing phenology, obtaining DNA sequence data, etc. Some of these tasks are covered in </w:t>
            </w:r>
            <w:r w:rsidR="00C703E6">
              <w:rPr>
                <w:rFonts w:ascii="Arial" w:eastAsia="Arial" w:hAnsi="Arial" w:cs="Arial"/>
                <w:sz w:val="22"/>
              </w:rPr>
              <w:t>Module 13: Georeferencing</w:t>
            </w:r>
            <w:r w:rsidR="00C703E6" w:rsidDel="00C703E6">
              <w:rPr>
                <w:rFonts w:ascii="Arial" w:eastAsia="Arial" w:hAnsi="Arial" w:cs="Arial"/>
                <w:sz w:val="22"/>
              </w:rPr>
              <w:t xml:space="preserve"> </w:t>
            </w:r>
            <w:r w:rsidR="00C703E6">
              <w:rPr>
                <w:rFonts w:ascii="Arial" w:eastAsia="Arial" w:hAnsi="Arial" w:cs="Arial"/>
                <w:sz w:val="22"/>
              </w:rPr>
              <w:t xml:space="preserve">and Module 14: </w:t>
            </w:r>
            <w:r>
              <w:rPr>
                <w:rFonts w:ascii="Arial" w:eastAsia="Arial" w:hAnsi="Arial" w:cs="Arial"/>
                <w:sz w:val="22"/>
              </w:rPr>
              <w:t>Proactive Digitization.</w:t>
            </w:r>
          </w:p>
        </w:tc>
        <w:tc>
          <w:tcPr>
            <w:tcW w:w="2078" w:type="dxa"/>
          </w:tcPr>
          <w:p w14:paraId="3DF154F6" w14:textId="77777777" w:rsidR="00FC176B" w:rsidRDefault="00FC176B" w:rsidP="00FC176B"/>
        </w:tc>
      </w:tr>
      <w:tr w:rsidR="00FC176B" w14:paraId="1AFE23E3" w14:textId="77777777" w:rsidTr="00FC176B">
        <w:trPr>
          <w:cnfStyle w:val="000000010000" w:firstRow="0" w:lastRow="0" w:firstColumn="0" w:lastColumn="0" w:oddVBand="0" w:evenVBand="0" w:oddHBand="0" w:evenHBand="1" w:firstRowFirstColumn="0" w:firstRowLastColumn="0" w:lastRowFirstColumn="0" w:lastRowLastColumn="0"/>
          <w:trHeight w:val="1898"/>
        </w:trPr>
        <w:tc>
          <w:tcPr>
            <w:tcW w:w="784" w:type="dxa"/>
          </w:tcPr>
          <w:p w14:paraId="53CAD496" w14:textId="77777777" w:rsidR="00FC176B" w:rsidRDefault="00FC176B" w:rsidP="00FC176B">
            <w:r>
              <w:rPr>
                <w:rFonts w:ascii="Arial" w:eastAsia="Arial" w:hAnsi="Arial" w:cs="Arial"/>
                <w:b/>
                <w:sz w:val="22"/>
              </w:rPr>
              <w:t>T15</w:t>
            </w:r>
          </w:p>
        </w:tc>
        <w:tc>
          <w:tcPr>
            <w:tcW w:w="2195" w:type="dxa"/>
          </w:tcPr>
          <w:p w14:paraId="274A4FF1" w14:textId="77777777" w:rsidR="00FC176B" w:rsidRDefault="00FC176B" w:rsidP="00FC176B">
            <w:r>
              <w:rPr>
                <w:rFonts w:ascii="Arial" w:eastAsia="Arial" w:hAnsi="Arial" w:cs="Arial"/>
                <w:sz w:val="22"/>
              </w:rPr>
              <w:t>Programmatic processing to ensure validity of captured data.</w:t>
            </w:r>
          </w:p>
        </w:tc>
        <w:tc>
          <w:tcPr>
            <w:tcW w:w="4516" w:type="dxa"/>
          </w:tcPr>
          <w:p w14:paraId="68E99508" w14:textId="33B7309A" w:rsidR="00FC176B" w:rsidRDefault="00FC176B" w:rsidP="00FC176B">
            <w:r>
              <w:rPr>
                <w:rFonts w:ascii="Arial" w:eastAsia="Arial" w:hAnsi="Arial" w:cs="Arial"/>
                <w:sz w:val="22"/>
              </w:rPr>
              <w:t>Programmatic validation of specific data depends on software and automated electronic processes that can rapidly check for, and alert technicians to, inaccuracies. Such validations can occur in batch</w:t>
            </w:r>
            <w:r w:rsidR="00124B05">
              <w:rPr>
                <w:rFonts w:ascii="Arial" w:eastAsia="Arial" w:hAnsi="Arial" w:cs="Arial"/>
                <w:sz w:val="22"/>
              </w:rPr>
              <w:t>es</w:t>
            </w:r>
            <w:r>
              <w:rPr>
                <w:rFonts w:ascii="Arial" w:eastAsia="Arial" w:hAnsi="Arial" w:cs="Arial"/>
                <w:sz w:val="22"/>
              </w:rPr>
              <w:t xml:space="preserve"> following entry of a set of records, or can be integrated via automatic processing at data entry time. Ideally, validation should be executed at various stages within the data entry process. Examples include validating country, state, county, geographic coordinates, taxonomy, and nomenclature.</w:t>
            </w:r>
          </w:p>
          <w:p w14:paraId="640754DB" w14:textId="77777777" w:rsidR="00FC176B" w:rsidRDefault="00FC176B" w:rsidP="00FC176B"/>
          <w:p w14:paraId="084F468E" w14:textId="77777777" w:rsidR="00FC176B" w:rsidRDefault="00FC176B" w:rsidP="00FC176B">
            <w:r>
              <w:rPr>
                <w:rFonts w:ascii="Arial" w:eastAsia="Arial" w:hAnsi="Arial" w:cs="Arial"/>
                <w:sz w:val="22"/>
              </w:rPr>
              <w:t>More specifically:</w:t>
            </w:r>
          </w:p>
          <w:p w14:paraId="645265C3" w14:textId="77777777" w:rsidR="00FC176B" w:rsidRDefault="00FC176B" w:rsidP="00FC176B">
            <w:pPr>
              <w:numPr>
                <w:ilvl w:val="0"/>
                <w:numId w:val="4"/>
              </w:numPr>
              <w:ind w:hanging="360"/>
              <w:rPr>
                <w:sz w:val="22"/>
              </w:rPr>
            </w:pPr>
            <w:r>
              <w:rPr>
                <w:rFonts w:ascii="Arial" w:eastAsia="Arial" w:hAnsi="Arial" w:cs="Arial"/>
                <w:sz w:val="22"/>
              </w:rPr>
              <w:t xml:space="preserve">geographic coordinates applied to records are within the appropriate geographic scope, </w:t>
            </w:r>
          </w:p>
          <w:p w14:paraId="4816E22D" w14:textId="77777777" w:rsidR="00FC176B" w:rsidRDefault="00FC176B" w:rsidP="00FC176B">
            <w:pPr>
              <w:numPr>
                <w:ilvl w:val="0"/>
                <w:numId w:val="4"/>
              </w:numPr>
              <w:ind w:hanging="360"/>
              <w:rPr>
                <w:sz w:val="22"/>
              </w:rPr>
            </w:pPr>
            <w:r>
              <w:rPr>
                <w:rFonts w:ascii="Arial" w:eastAsia="Arial" w:hAnsi="Arial" w:cs="Arial"/>
                <w:sz w:val="22"/>
              </w:rPr>
              <w:t>taxonomy and nomenclature reflect appropriate spelling and are derived from standard sources,</w:t>
            </w:r>
          </w:p>
          <w:p w14:paraId="74EFFFFD" w14:textId="2068C9F2" w:rsidR="00FC176B" w:rsidRDefault="00FC176B" w:rsidP="00FC176B">
            <w:pPr>
              <w:numPr>
                <w:ilvl w:val="0"/>
                <w:numId w:val="4"/>
              </w:numPr>
              <w:ind w:hanging="360"/>
            </w:pPr>
            <w:r>
              <w:rPr>
                <w:rFonts w:ascii="Arial" w:eastAsia="Arial" w:hAnsi="Arial" w:cs="Arial"/>
                <w:sz w:val="22"/>
              </w:rPr>
              <w:t xml:space="preserve">geographic names reflect correct spelling and are derived from standard sources. </w:t>
            </w:r>
          </w:p>
          <w:p w14:paraId="6F17FB6A" w14:textId="77777777" w:rsidR="00FC176B" w:rsidRDefault="00FC176B" w:rsidP="00FC176B">
            <w:pPr>
              <w:ind w:left="720"/>
            </w:pPr>
          </w:p>
          <w:p w14:paraId="363C8087" w14:textId="29766F02" w:rsidR="00FC176B" w:rsidRDefault="00FC176B" w:rsidP="00FC176B">
            <w:r>
              <w:rPr>
                <w:rFonts w:ascii="Arial" w:eastAsia="Arial" w:hAnsi="Arial" w:cs="Arial"/>
                <w:sz w:val="22"/>
              </w:rPr>
              <w:t xml:space="preserve">Automated data validation tools offered by data aggregators (e.g., Symbiota, GBIF, iDigBio) and repositories can be helpful with this task. </w:t>
            </w:r>
          </w:p>
        </w:tc>
        <w:tc>
          <w:tcPr>
            <w:tcW w:w="2078" w:type="dxa"/>
          </w:tcPr>
          <w:p w14:paraId="4A1B7902" w14:textId="77777777" w:rsidR="00FC176B" w:rsidRDefault="00FC176B" w:rsidP="00FC176B">
            <w:r>
              <w:rPr>
                <w:rFonts w:ascii="Arial" w:eastAsia="Arial" w:hAnsi="Arial" w:cs="Arial"/>
                <w:sz w:val="22"/>
              </w:rPr>
              <w:t>Quality control software.</w:t>
            </w:r>
          </w:p>
        </w:tc>
      </w:tr>
    </w:tbl>
    <w:p w14:paraId="22B36CFF" w14:textId="77777777" w:rsidR="007E2E39" w:rsidRDefault="007E2E39"/>
    <w:p w14:paraId="58692895" w14:textId="77777777" w:rsidR="007E2E39" w:rsidRDefault="007E2E39"/>
    <w:p w14:paraId="09F941F8" w14:textId="77777777" w:rsidR="00FC176B" w:rsidRDefault="00FC176B"/>
    <w:sectPr w:rsidR="00FC176B">
      <w:headerReference w:type="even" r:id="rId15"/>
      <w:headerReference w:type="default" r:id="rId16"/>
      <w:footerReference w:type="default" r:id="rId1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3CA387A" w14:textId="77777777" w:rsidR="00BF7D02" w:rsidRDefault="00BF7D02">
      <w:r>
        <w:separator/>
      </w:r>
    </w:p>
  </w:endnote>
  <w:endnote w:type="continuationSeparator" w:id="0">
    <w:p w14:paraId="50335816" w14:textId="77777777" w:rsidR="00BF7D02" w:rsidRDefault="00BF7D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auto"/>
    <w:pitch w:val="variable"/>
    <w:sig w:usb0="00000003" w:usb1="00000000" w:usb2="00000000" w:usb3="00000000" w:csb0="00000001" w:csb1="00000000"/>
  </w:font>
  <w:font w:name="Segoe UI">
    <w:panose1 w:val="020B0502040204020203"/>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5CBFC7" w14:textId="77777777" w:rsidR="007E2E39" w:rsidRDefault="007E2E39">
    <w:pPr>
      <w:tabs>
        <w:tab w:val="center" w:pos="4680"/>
        <w:tab w:val="right" w:pos="9360"/>
      </w:tabs>
    </w:pPr>
  </w:p>
  <w:p w14:paraId="123601B9" w14:textId="77777777" w:rsidR="007E2E39" w:rsidRDefault="007E2E39">
    <w:pPr>
      <w:tabs>
        <w:tab w:val="center" w:pos="4680"/>
        <w:tab w:val="right" w:pos="9360"/>
      </w:tabs>
      <w:spacing w:after="72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97FA1E6" w14:textId="77777777" w:rsidR="00BF7D02" w:rsidRDefault="00BF7D02">
      <w:r>
        <w:separator/>
      </w:r>
    </w:p>
  </w:footnote>
  <w:footnote w:type="continuationSeparator" w:id="0">
    <w:p w14:paraId="5C906AF4" w14:textId="77777777" w:rsidR="00BF7D02" w:rsidRDefault="00BF7D0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0A03FD" w14:textId="77777777" w:rsidR="008A6777" w:rsidRDefault="00927EDD">
    <w:pPr>
      <w:pStyle w:val="Header"/>
    </w:pPr>
    <w:sdt>
      <w:sdtPr>
        <w:id w:val="171999623"/>
        <w:placeholder>
          <w:docPart w:val="ADEF65A5A50EB0429E86191A69764CB0"/>
        </w:placeholder>
        <w:temporary/>
        <w:showingPlcHdr/>
      </w:sdtPr>
      <w:sdtEndPr/>
      <w:sdtContent>
        <w:r w:rsidR="008A6777">
          <w:t>[Type text]</w:t>
        </w:r>
      </w:sdtContent>
    </w:sdt>
    <w:r w:rsidR="008A6777">
      <w:ptab w:relativeTo="margin" w:alignment="center" w:leader="none"/>
    </w:r>
    <w:sdt>
      <w:sdtPr>
        <w:id w:val="171999624"/>
        <w:placeholder>
          <w:docPart w:val="E14124D373863B47AA6FAD3849F812A0"/>
        </w:placeholder>
        <w:temporary/>
        <w:showingPlcHdr/>
      </w:sdtPr>
      <w:sdtEndPr/>
      <w:sdtContent>
        <w:r w:rsidR="008A6777">
          <w:t>[Type text]</w:t>
        </w:r>
      </w:sdtContent>
    </w:sdt>
    <w:r w:rsidR="008A6777">
      <w:ptab w:relativeTo="margin" w:alignment="right" w:leader="none"/>
    </w:r>
    <w:sdt>
      <w:sdtPr>
        <w:id w:val="171999625"/>
        <w:placeholder>
          <w:docPart w:val="CABE043C3515D344A576A4A3F9F1B046"/>
        </w:placeholder>
        <w:temporary/>
        <w:showingPlcHdr/>
      </w:sdtPr>
      <w:sdtEndPr/>
      <w:sdtContent>
        <w:r w:rsidR="008A6777">
          <w:t>[Type text]</w:t>
        </w:r>
      </w:sdtContent>
    </w:sdt>
  </w:p>
  <w:p w14:paraId="4AD19D50" w14:textId="77777777" w:rsidR="008A6777" w:rsidRDefault="008A677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8FD1E2" w14:textId="1173BFEB" w:rsidR="008A6777" w:rsidRPr="00C75D77" w:rsidRDefault="008A6777" w:rsidP="008A6777">
    <w:pPr>
      <w:pStyle w:val="Header"/>
      <w:ind w:right="360"/>
    </w:pPr>
    <w:r>
      <w:t>Nelson</w:t>
    </w:r>
    <w:r w:rsidRPr="0029453B">
      <w:t xml:space="preserve"> et al.—App</w:t>
    </w:r>
    <w:r>
      <w:t>lications in Plant Sciences 2015</w:t>
    </w:r>
    <w:r w:rsidRPr="0029453B">
      <w:t xml:space="preserve"> </w:t>
    </w:r>
    <w:r>
      <w:t>3(9): 1500065</w:t>
    </w:r>
    <w:r w:rsidRPr="0029453B">
      <w:t>—Data Supplement S</w:t>
    </w:r>
    <w:r>
      <w:t>11</w:t>
    </w:r>
    <w:r w:rsidRPr="0029453B">
      <w:t xml:space="preserve">—Page </w:t>
    </w:r>
    <w:r w:rsidRPr="0029453B">
      <w:rPr>
        <w:rStyle w:val="PageNumber"/>
      </w:rPr>
      <w:fldChar w:fldCharType="begin"/>
    </w:r>
    <w:r w:rsidRPr="0029453B">
      <w:rPr>
        <w:rStyle w:val="PageNumber"/>
      </w:rPr>
      <w:instrText xml:space="preserve"> PAGE </w:instrText>
    </w:r>
    <w:r w:rsidRPr="0029453B">
      <w:rPr>
        <w:rStyle w:val="PageNumber"/>
      </w:rPr>
      <w:fldChar w:fldCharType="separate"/>
    </w:r>
    <w:r w:rsidR="00927EDD">
      <w:rPr>
        <w:rStyle w:val="PageNumber"/>
        <w:noProof/>
      </w:rPr>
      <w:t>7</w:t>
    </w:r>
    <w:r w:rsidRPr="0029453B">
      <w:rPr>
        <w:rStyle w:val="PageNumber"/>
      </w:rPr>
      <w:fldChar w:fldCharType="end"/>
    </w:r>
  </w:p>
  <w:p w14:paraId="4808B4F9" w14:textId="77777777" w:rsidR="008A6777" w:rsidRDefault="008A677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C64E29"/>
    <w:multiLevelType w:val="multilevel"/>
    <w:tmpl w:val="8116A8B2"/>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1" w15:restartNumberingAfterBreak="0">
    <w:nsid w:val="3D6E6B25"/>
    <w:multiLevelType w:val="multilevel"/>
    <w:tmpl w:val="90242606"/>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2" w15:restartNumberingAfterBreak="0">
    <w:nsid w:val="6E73032B"/>
    <w:multiLevelType w:val="multilevel"/>
    <w:tmpl w:val="5846FB0E"/>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3" w15:restartNumberingAfterBreak="0">
    <w:nsid w:val="7BDC7648"/>
    <w:multiLevelType w:val="multilevel"/>
    <w:tmpl w:val="F3884678"/>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4" w15:restartNumberingAfterBreak="0">
    <w:nsid w:val="7C2865CB"/>
    <w:multiLevelType w:val="multilevel"/>
    <w:tmpl w:val="D6668164"/>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num w:numId="1">
    <w:abstractNumId w:val="1"/>
  </w:num>
  <w:num w:numId="2">
    <w:abstractNumId w:val="3"/>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2E39"/>
    <w:rsid w:val="000609BF"/>
    <w:rsid w:val="000B7DDC"/>
    <w:rsid w:val="000E2984"/>
    <w:rsid w:val="00124B05"/>
    <w:rsid w:val="0015314B"/>
    <w:rsid w:val="00214569"/>
    <w:rsid w:val="00257E70"/>
    <w:rsid w:val="00285DFB"/>
    <w:rsid w:val="003E0978"/>
    <w:rsid w:val="00405084"/>
    <w:rsid w:val="00483D19"/>
    <w:rsid w:val="004F6329"/>
    <w:rsid w:val="00560920"/>
    <w:rsid w:val="00655E71"/>
    <w:rsid w:val="00762EC1"/>
    <w:rsid w:val="007E2E39"/>
    <w:rsid w:val="008A0A5B"/>
    <w:rsid w:val="008A6777"/>
    <w:rsid w:val="009257A6"/>
    <w:rsid w:val="00927EDD"/>
    <w:rsid w:val="00950B94"/>
    <w:rsid w:val="00A16291"/>
    <w:rsid w:val="00B638A5"/>
    <w:rsid w:val="00B7235A"/>
    <w:rsid w:val="00BE048A"/>
    <w:rsid w:val="00BE39DD"/>
    <w:rsid w:val="00BF0C96"/>
    <w:rsid w:val="00BF7D02"/>
    <w:rsid w:val="00C459C2"/>
    <w:rsid w:val="00C50675"/>
    <w:rsid w:val="00C703E6"/>
    <w:rsid w:val="00C83050"/>
    <w:rsid w:val="00CB0740"/>
    <w:rsid w:val="00D12E8E"/>
    <w:rsid w:val="00E63354"/>
    <w:rsid w:val="00E64491"/>
    <w:rsid w:val="00E90776"/>
    <w:rsid w:val="00F267AD"/>
    <w:rsid w:val="00FC176B"/>
    <w:rsid w:val="00FF0EF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156C068"/>
  <w15:docId w15:val="{E07DC76A-6459-4E8E-8DA9-161A6AD9E5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rPr>
  </w:style>
  <w:style w:type="paragraph" w:styleId="Heading2">
    <w:name w:val="heading 2"/>
    <w:basedOn w:val="Normal"/>
    <w:next w:val="Normal"/>
    <w:pPr>
      <w:keepNext/>
      <w:keepLines/>
      <w:spacing w:before="360" w:after="80"/>
      <w:outlineLvl w:val="1"/>
    </w:pPr>
    <w:rPr>
      <w:b/>
      <w:sz w:val="36"/>
    </w:rPr>
  </w:style>
  <w:style w:type="paragraph" w:styleId="Heading3">
    <w:name w:val="heading 3"/>
    <w:basedOn w:val="Normal"/>
    <w:next w:val="Normal"/>
    <w:pPr>
      <w:keepNext/>
      <w:keepLines/>
      <w:spacing w:before="280" w:after="80"/>
      <w:outlineLvl w:val="2"/>
    </w:pPr>
    <w:rPr>
      <w:b/>
      <w:sz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rPr>
  </w:style>
  <w:style w:type="paragraph" w:styleId="Heading6">
    <w:name w:val="heading 6"/>
    <w:basedOn w:val="Normal"/>
    <w:next w:val="Normal"/>
    <w:pPr>
      <w:keepNext/>
      <w:keepLines/>
      <w:spacing w:before="200" w:after="40"/>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rPr>
  </w:style>
  <w:style w:type="paragraph" w:styleId="Subtitle">
    <w:name w:val="Subtitle"/>
    <w:basedOn w:val="Normal"/>
    <w:next w:val="Normal"/>
    <w:pPr>
      <w:keepNext/>
      <w:keepLines/>
      <w:spacing w:before="360" w:after="80"/>
    </w:pPr>
    <w:rPr>
      <w:rFonts w:ascii="Georgia" w:eastAsia="Georgia" w:hAnsi="Georgia" w:cs="Georgia"/>
      <w:i/>
      <w:color w:val="666666"/>
      <w:sz w:val="48"/>
    </w:rPr>
  </w:style>
  <w:style w:type="table" w:customStyle="1" w:styleId="a">
    <w:basedOn w:val="TableNormal"/>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character" w:styleId="CommentReference">
    <w:name w:val="annotation reference"/>
    <w:basedOn w:val="DefaultParagraphFont"/>
    <w:uiPriority w:val="99"/>
    <w:semiHidden/>
    <w:unhideWhenUsed/>
    <w:rsid w:val="00483D19"/>
    <w:rPr>
      <w:sz w:val="16"/>
      <w:szCs w:val="16"/>
    </w:rPr>
  </w:style>
  <w:style w:type="paragraph" w:styleId="CommentText">
    <w:name w:val="annotation text"/>
    <w:basedOn w:val="Normal"/>
    <w:link w:val="CommentTextChar"/>
    <w:uiPriority w:val="99"/>
    <w:semiHidden/>
    <w:unhideWhenUsed/>
    <w:rsid w:val="00483D19"/>
    <w:rPr>
      <w:sz w:val="20"/>
    </w:rPr>
  </w:style>
  <w:style w:type="character" w:customStyle="1" w:styleId="CommentTextChar">
    <w:name w:val="Comment Text Char"/>
    <w:basedOn w:val="DefaultParagraphFont"/>
    <w:link w:val="CommentText"/>
    <w:uiPriority w:val="99"/>
    <w:semiHidden/>
    <w:rsid w:val="00483D19"/>
    <w:rPr>
      <w:sz w:val="20"/>
    </w:rPr>
  </w:style>
  <w:style w:type="paragraph" w:styleId="CommentSubject">
    <w:name w:val="annotation subject"/>
    <w:basedOn w:val="CommentText"/>
    <w:next w:val="CommentText"/>
    <w:link w:val="CommentSubjectChar"/>
    <w:uiPriority w:val="99"/>
    <w:semiHidden/>
    <w:unhideWhenUsed/>
    <w:rsid w:val="00483D19"/>
    <w:rPr>
      <w:b/>
      <w:bCs/>
    </w:rPr>
  </w:style>
  <w:style w:type="character" w:customStyle="1" w:styleId="CommentSubjectChar">
    <w:name w:val="Comment Subject Char"/>
    <w:basedOn w:val="CommentTextChar"/>
    <w:link w:val="CommentSubject"/>
    <w:uiPriority w:val="99"/>
    <w:semiHidden/>
    <w:rsid w:val="00483D19"/>
    <w:rPr>
      <w:b/>
      <w:bCs/>
      <w:sz w:val="20"/>
    </w:rPr>
  </w:style>
  <w:style w:type="paragraph" w:styleId="BalloonText">
    <w:name w:val="Balloon Text"/>
    <w:basedOn w:val="Normal"/>
    <w:link w:val="BalloonTextChar"/>
    <w:uiPriority w:val="99"/>
    <w:semiHidden/>
    <w:unhideWhenUsed/>
    <w:rsid w:val="00483D1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83D19"/>
    <w:rPr>
      <w:rFonts w:ascii="Segoe UI" w:hAnsi="Segoe UI" w:cs="Segoe UI"/>
      <w:sz w:val="18"/>
      <w:szCs w:val="18"/>
    </w:rPr>
  </w:style>
  <w:style w:type="character" w:styleId="Hyperlink">
    <w:name w:val="Hyperlink"/>
    <w:basedOn w:val="DefaultParagraphFont"/>
    <w:uiPriority w:val="99"/>
    <w:unhideWhenUsed/>
    <w:rsid w:val="000609BF"/>
    <w:rPr>
      <w:color w:val="0563C1" w:themeColor="hyperlink"/>
      <w:u w:val="single"/>
    </w:rPr>
  </w:style>
  <w:style w:type="paragraph" w:styleId="Header">
    <w:name w:val="header"/>
    <w:basedOn w:val="Normal"/>
    <w:link w:val="HeaderChar"/>
    <w:uiPriority w:val="99"/>
    <w:unhideWhenUsed/>
    <w:rsid w:val="008A6777"/>
    <w:pPr>
      <w:tabs>
        <w:tab w:val="center" w:pos="4320"/>
        <w:tab w:val="right" w:pos="8640"/>
      </w:tabs>
    </w:pPr>
  </w:style>
  <w:style w:type="character" w:customStyle="1" w:styleId="HeaderChar">
    <w:name w:val="Header Char"/>
    <w:basedOn w:val="DefaultParagraphFont"/>
    <w:link w:val="Header"/>
    <w:uiPriority w:val="99"/>
    <w:rsid w:val="008A6777"/>
  </w:style>
  <w:style w:type="paragraph" w:styleId="Footer">
    <w:name w:val="footer"/>
    <w:basedOn w:val="Normal"/>
    <w:link w:val="FooterChar"/>
    <w:uiPriority w:val="99"/>
    <w:unhideWhenUsed/>
    <w:rsid w:val="008A6777"/>
    <w:pPr>
      <w:tabs>
        <w:tab w:val="center" w:pos="4320"/>
        <w:tab w:val="right" w:pos="8640"/>
      </w:tabs>
    </w:pPr>
  </w:style>
  <w:style w:type="character" w:customStyle="1" w:styleId="FooterChar">
    <w:name w:val="Footer Char"/>
    <w:basedOn w:val="DefaultParagraphFont"/>
    <w:link w:val="Footer"/>
    <w:uiPriority w:val="99"/>
    <w:rsid w:val="008A6777"/>
  </w:style>
  <w:style w:type="character" w:styleId="PageNumber">
    <w:name w:val="page number"/>
    <w:basedOn w:val="DefaultParagraphFont"/>
    <w:uiPriority w:val="99"/>
    <w:semiHidden/>
    <w:unhideWhenUsed/>
    <w:rsid w:val="008A67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www.idigbio.org/content/workflow-modules-and-task-lists" TargetMode="External"/><Relationship Id="rId13" Type="http://schemas.openxmlformats.org/officeDocument/2006/relationships/hyperlink" Target="http://nhc.asu.edu/vpherbarium/canotia/SALIX3.pdf"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daryllafferty.com/salix/"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apiaryproject.org/"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www.idigbio.org/wiki/index.php/OCR_Resources" TargetMode="Externa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yperlink" Target="http://rs.tdwg.org/dwc/index.htm" TargetMode="External"/><Relationship Id="rId14" Type="http://schemas.openxmlformats.org/officeDocument/2006/relationships/hyperlink" Target="http://symbiota.org/docs/"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ADEF65A5A50EB0429E86191A69764CB0"/>
        <w:category>
          <w:name w:val="General"/>
          <w:gallery w:val="placeholder"/>
        </w:category>
        <w:types>
          <w:type w:val="bbPlcHdr"/>
        </w:types>
        <w:behaviors>
          <w:behavior w:val="content"/>
        </w:behaviors>
        <w:guid w:val="{C3A2C42E-73C4-C44E-BC4E-B154A21A5C5A}"/>
      </w:docPartPr>
      <w:docPartBody>
        <w:p w:rsidR="00BC3BFB" w:rsidRDefault="00960042" w:rsidP="00960042">
          <w:pPr>
            <w:pStyle w:val="ADEF65A5A50EB0429E86191A69764CB0"/>
          </w:pPr>
          <w:r>
            <w:t>[Type text]</w:t>
          </w:r>
        </w:p>
      </w:docPartBody>
    </w:docPart>
    <w:docPart>
      <w:docPartPr>
        <w:name w:val="E14124D373863B47AA6FAD3849F812A0"/>
        <w:category>
          <w:name w:val="General"/>
          <w:gallery w:val="placeholder"/>
        </w:category>
        <w:types>
          <w:type w:val="bbPlcHdr"/>
        </w:types>
        <w:behaviors>
          <w:behavior w:val="content"/>
        </w:behaviors>
        <w:guid w:val="{1983698F-185F-C649-B9AD-6D34064549E3}"/>
      </w:docPartPr>
      <w:docPartBody>
        <w:p w:rsidR="00BC3BFB" w:rsidRDefault="00960042" w:rsidP="00960042">
          <w:pPr>
            <w:pStyle w:val="E14124D373863B47AA6FAD3849F812A0"/>
          </w:pPr>
          <w:r>
            <w:t>[Type text]</w:t>
          </w:r>
        </w:p>
      </w:docPartBody>
    </w:docPart>
    <w:docPart>
      <w:docPartPr>
        <w:name w:val="CABE043C3515D344A576A4A3F9F1B046"/>
        <w:category>
          <w:name w:val="General"/>
          <w:gallery w:val="placeholder"/>
        </w:category>
        <w:types>
          <w:type w:val="bbPlcHdr"/>
        </w:types>
        <w:behaviors>
          <w:behavior w:val="content"/>
        </w:behaviors>
        <w:guid w:val="{551CB10C-5EB4-284B-ADB3-7B3FEEF113D7}"/>
      </w:docPartPr>
      <w:docPartBody>
        <w:p w:rsidR="00BC3BFB" w:rsidRDefault="00960042" w:rsidP="00960042">
          <w:pPr>
            <w:pStyle w:val="CABE043C3515D344A576A4A3F9F1B046"/>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auto"/>
    <w:pitch w:val="variable"/>
    <w:sig w:usb0="00000003" w:usb1="00000000" w:usb2="00000000" w:usb3="00000000" w:csb0="00000001" w:csb1="00000000"/>
  </w:font>
  <w:font w:name="Segoe UI">
    <w:panose1 w:val="020B0502040204020203"/>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0042"/>
    <w:rsid w:val="00960042"/>
    <w:rsid w:val="00BC3BF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DEF65A5A50EB0429E86191A69764CB0">
    <w:name w:val="ADEF65A5A50EB0429E86191A69764CB0"/>
    <w:rsid w:val="00960042"/>
  </w:style>
  <w:style w:type="paragraph" w:customStyle="1" w:styleId="E14124D373863B47AA6FAD3849F812A0">
    <w:name w:val="E14124D373863B47AA6FAD3849F812A0"/>
    <w:rsid w:val="00960042"/>
  </w:style>
  <w:style w:type="paragraph" w:customStyle="1" w:styleId="CABE043C3515D344A576A4A3F9F1B046">
    <w:name w:val="CABE043C3515D344A576A4A3F9F1B046"/>
    <w:rsid w:val="00960042"/>
  </w:style>
  <w:style w:type="paragraph" w:customStyle="1" w:styleId="559BE2F2246C334199FC7B22E201A4D7">
    <w:name w:val="559BE2F2246C334199FC7B22E201A4D7"/>
    <w:rsid w:val="00960042"/>
  </w:style>
  <w:style w:type="paragraph" w:customStyle="1" w:styleId="FBDE409DE61C32499ECF86969B811DAC">
    <w:name w:val="FBDE409DE61C32499ECF86969B811DAC"/>
    <w:rsid w:val="00960042"/>
  </w:style>
  <w:style w:type="paragraph" w:customStyle="1" w:styleId="301E7241BBCDC14DB7699E914FF6ABF0">
    <w:name w:val="301E7241BBCDC14DB7699E914FF6ABF0"/>
    <w:rsid w:val="0096004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B6A975-3CCD-4DAA-B14E-6AAD2D7A1F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TotalTime>
  <Pages>7</Pages>
  <Words>1987</Words>
  <Characters>11327</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Rich</dc:creator>
  <cp:lastModifiedBy>Gil Nelson</cp:lastModifiedBy>
  <cp:revision>26</cp:revision>
  <cp:lastPrinted>2015-08-31T13:08:00Z</cp:lastPrinted>
  <dcterms:created xsi:type="dcterms:W3CDTF">2015-05-26T17:23:00Z</dcterms:created>
  <dcterms:modified xsi:type="dcterms:W3CDTF">2015-08-31T13:08:00Z</dcterms:modified>
</cp:coreProperties>
</file>