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0A07AD" w14:textId="3A8D4427" w:rsidR="008516D8" w:rsidRDefault="008516D8" w:rsidP="008516D8">
      <w:pPr>
        <w:rPr>
          <w:b/>
          <w:sz w:val="24"/>
        </w:rPr>
      </w:pPr>
      <w:r>
        <w:rPr>
          <w:color w:val="auto"/>
        </w:rPr>
        <w:t xml:space="preserve">This workflow was developed at an iDigBio workshop in January 2015. The most recent version is available at </w:t>
      </w:r>
      <w:hyperlink r:id="rId8" w:history="1">
        <w:r w:rsidR="00AF5378" w:rsidRPr="00AF5378">
          <w:rPr>
            <w:rStyle w:val="Hyperlink"/>
          </w:rPr>
          <w:t>https://github.com/iDigBioWorkflows/FlatSheetsDigitization</w:t>
        </w:r>
        <w:r w:rsidR="00AF5378" w:rsidRPr="00AF5378">
          <w:rPr>
            <w:rStyle w:val="Hyperlink"/>
          </w:rPr>
          <w:t>W</w:t>
        </w:r>
        <w:r w:rsidR="00AF5378" w:rsidRPr="00AF5378">
          <w:rPr>
            <w:rStyle w:val="Hyperlink"/>
          </w:rPr>
          <w:t>orkflows</w:t>
        </w:r>
      </w:hyperlink>
      <w:r>
        <w:rPr>
          <w:color w:val="auto"/>
        </w:rPr>
        <w:t xml:space="preserve"> and </w:t>
      </w:r>
      <w:hyperlink r:id="rId9" w:tgtFrame="_blank" w:history="1">
        <w:r>
          <w:rPr>
            <w:rStyle w:val="Hyperlink"/>
          </w:rPr>
          <w:t>https://www.idigbio.org/content/workflow-modules-and-task-lists</w:t>
        </w:r>
      </w:hyperlink>
      <w:r>
        <w:rPr>
          <w:color w:val="auto"/>
        </w:rPr>
        <w:t>.</w:t>
      </w:r>
    </w:p>
    <w:p w14:paraId="2FD52DB9" w14:textId="77777777" w:rsidR="008516D8" w:rsidRDefault="008516D8" w:rsidP="008516D8">
      <w:pPr>
        <w:rPr>
          <w:b/>
          <w:sz w:val="24"/>
        </w:rPr>
      </w:pPr>
      <w:bookmarkStart w:id="0" w:name="_GoBack"/>
    </w:p>
    <w:p w14:paraId="2047DCB0" w14:textId="77777777" w:rsidR="00E16D0F" w:rsidRDefault="00AF3E6E">
      <w:r>
        <w:rPr>
          <w:b/>
          <w:sz w:val="24"/>
        </w:rPr>
        <w:t xml:space="preserve">Appendix S14. </w:t>
      </w:r>
      <w:r w:rsidR="000F38B2">
        <w:rPr>
          <w:b/>
          <w:sz w:val="24"/>
        </w:rPr>
        <w:t>Module 14: Proactive Digitization</w:t>
      </w:r>
    </w:p>
    <w:bookmarkEnd w:id="0"/>
    <w:p w14:paraId="7FEA148A" w14:textId="77777777" w:rsidR="00E16D0F" w:rsidRDefault="00E16D0F"/>
    <w:p w14:paraId="5222F2B5" w14:textId="77777777" w:rsidR="00E16D0F" w:rsidRDefault="008A1441">
      <w:r>
        <w:t xml:space="preserve">Proactive digitization involves moving digitization processes ahead in the collecting process, resulting in digitization activities being completed prior to accession, hence avoiding the creation of additional legacy data. </w:t>
      </w:r>
      <w:r w:rsidR="000F38B2">
        <w:t>The order of tasks may depend on the requirements and limitations of the database used.</w:t>
      </w:r>
      <w:r>
        <w:t xml:space="preserve"> Example implementations from two institutions are included as appendices to this workflow.</w:t>
      </w:r>
    </w:p>
    <w:p w14:paraId="21C5FE45" w14:textId="77777777" w:rsidR="00E16D0F" w:rsidRDefault="00E16D0F"/>
    <w:tbl>
      <w:tblPr>
        <w:tblStyle w:val="a"/>
        <w:tblW w:w="966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5"/>
        <w:gridCol w:w="1980"/>
        <w:gridCol w:w="4140"/>
        <w:gridCol w:w="2815"/>
      </w:tblGrid>
      <w:tr w:rsidR="00E16D0F" w14:paraId="6C38536A" w14:textId="77777777" w:rsidTr="00C53801">
        <w:tc>
          <w:tcPr>
            <w:tcW w:w="725" w:type="dxa"/>
            <w:tcMar>
              <w:top w:w="100" w:type="dxa"/>
              <w:left w:w="100" w:type="dxa"/>
              <w:bottom w:w="100" w:type="dxa"/>
              <w:right w:w="100" w:type="dxa"/>
            </w:tcMar>
          </w:tcPr>
          <w:p w14:paraId="43B861DA" w14:textId="77777777" w:rsidR="00E16D0F" w:rsidRDefault="000F38B2" w:rsidP="00C53801">
            <w:pPr>
              <w:widowControl w:val="0"/>
              <w:spacing w:line="240" w:lineRule="auto"/>
              <w:contextualSpacing w:val="0"/>
              <w:jc w:val="center"/>
            </w:pPr>
            <w:r>
              <w:rPr>
                <w:b/>
              </w:rPr>
              <w:t>Task ID</w:t>
            </w:r>
          </w:p>
        </w:tc>
        <w:tc>
          <w:tcPr>
            <w:tcW w:w="1980" w:type="dxa"/>
            <w:tcMar>
              <w:top w:w="100" w:type="dxa"/>
              <w:left w:w="100" w:type="dxa"/>
              <w:bottom w:w="100" w:type="dxa"/>
              <w:right w:w="100" w:type="dxa"/>
            </w:tcMar>
          </w:tcPr>
          <w:p w14:paraId="138EB84C" w14:textId="77777777" w:rsidR="00E16D0F" w:rsidRDefault="000F38B2">
            <w:pPr>
              <w:widowControl w:val="0"/>
              <w:spacing w:line="240" w:lineRule="auto"/>
              <w:contextualSpacing w:val="0"/>
            </w:pPr>
            <w:r>
              <w:rPr>
                <w:b/>
              </w:rPr>
              <w:t>Task Description</w:t>
            </w:r>
          </w:p>
        </w:tc>
        <w:tc>
          <w:tcPr>
            <w:tcW w:w="4140" w:type="dxa"/>
            <w:tcMar>
              <w:top w:w="100" w:type="dxa"/>
              <w:left w:w="100" w:type="dxa"/>
              <w:bottom w:w="100" w:type="dxa"/>
              <w:right w:w="100" w:type="dxa"/>
            </w:tcMar>
          </w:tcPr>
          <w:p w14:paraId="6540F5C0" w14:textId="77777777" w:rsidR="00E16D0F" w:rsidRDefault="000F38B2">
            <w:pPr>
              <w:widowControl w:val="0"/>
              <w:spacing w:line="240" w:lineRule="auto"/>
              <w:contextualSpacing w:val="0"/>
            </w:pPr>
            <w:r>
              <w:rPr>
                <w:b/>
              </w:rPr>
              <w:t>Explanations and Comments</w:t>
            </w:r>
          </w:p>
        </w:tc>
        <w:tc>
          <w:tcPr>
            <w:tcW w:w="2815" w:type="dxa"/>
            <w:tcMar>
              <w:top w:w="100" w:type="dxa"/>
              <w:left w:w="100" w:type="dxa"/>
              <w:bottom w:w="100" w:type="dxa"/>
              <w:right w:w="100" w:type="dxa"/>
            </w:tcMar>
          </w:tcPr>
          <w:p w14:paraId="0820C528" w14:textId="77777777" w:rsidR="00E16D0F" w:rsidRDefault="000F38B2">
            <w:pPr>
              <w:widowControl w:val="0"/>
              <w:spacing w:line="240" w:lineRule="auto"/>
              <w:contextualSpacing w:val="0"/>
            </w:pPr>
            <w:r>
              <w:rPr>
                <w:b/>
              </w:rPr>
              <w:t>Resources</w:t>
            </w:r>
          </w:p>
        </w:tc>
      </w:tr>
      <w:tr w:rsidR="00E16D0F" w14:paraId="5235EE8F" w14:textId="77777777" w:rsidTr="00C53801">
        <w:tc>
          <w:tcPr>
            <w:tcW w:w="725" w:type="dxa"/>
            <w:tcMar>
              <w:top w:w="100" w:type="dxa"/>
              <w:left w:w="100" w:type="dxa"/>
              <w:bottom w:w="100" w:type="dxa"/>
              <w:right w:w="100" w:type="dxa"/>
            </w:tcMar>
          </w:tcPr>
          <w:p w14:paraId="47E4F913" w14:textId="77777777" w:rsidR="00E16D0F" w:rsidRDefault="000F38B2">
            <w:pPr>
              <w:widowControl w:val="0"/>
              <w:spacing w:line="240" w:lineRule="auto"/>
              <w:contextualSpacing w:val="0"/>
            </w:pPr>
            <w:r>
              <w:rPr>
                <w:b/>
              </w:rPr>
              <w:t>T1</w:t>
            </w:r>
          </w:p>
        </w:tc>
        <w:tc>
          <w:tcPr>
            <w:tcW w:w="1980" w:type="dxa"/>
            <w:tcMar>
              <w:top w:w="100" w:type="dxa"/>
              <w:left w:w="100" w:type="dxa"/>
              <w:bottom w:w="100" w:type="dxa"/>
              <w:right w:w="100" w:type="dxa"/>
            </w:tcMar>
          </w:tcPr>
          <w:p w14:paraId="36343993" w14:textId="77777777" w:rsidR="00E16D0F" w:rsidRDefault="000F38B2">
            <w:pPr>
              <w:widowControl w:val="0"/>
              <w:spacing w:line="240" w:lineRule="auto"/>
              <w:contextualSpacing w:val="0"/>
            </w:pPr>
            <w:r>
              <w:t>Determine institutional requirements and policies.</w:t>
            </w:r>
          </w:p>
        </w:tc>
        <w:tc>
          <w:tcPr>
            <w:tcW w:w="4140" w:type="dxa"/>
            <w:tcMar>
              <w:top w:w="100" w:type="dxa"/>
              <w:left w:w="100" w:type="dxa"/>
              <w:bottom w:w="100" w:type="dxa"/>
              <w:right w:w="100" w:type="dxa"/>
            </w:tcMar>
          </w:tcPr>
          <w:p w14:paraId="0C9196EB" w14:textId="77777777" w:rsidR="00E16D0F" w:rsidRDefault="000F38B2">
            <w:pPr>
              <w:widowControl w:val="0"/>
              <w:spacing w:line="240" w:lineRule="auto"/>
              <w:contextualSpacing w:val="0"/>
            </w:pPr>
            <w:r>
              <w:t>Check with institution where specimens are to be deposited about data format expectations and policies, including any permitting requirements.</w:t>
            </w:r>
          </w:p>
          <w:p w14:paraId="48577908" w14:textId="77777777" w:rsidR="00E16D0F" w:rsidRDefault="00E16D0F">
            <w:pPr>
              <w:widowControl w:val="0"/>
              <w:spacing w:line="240" w:lineRule="auto"/>
              <w:contextualSpacing w:val="0"/>
            </w:pPr>
          </w:p>
          <w:p w14:paraId="5ECB0291" w14:textId="77777777" w:rsidR="00E16D0F" w:rsidRDefault="000F38B2">
            <w:pPr>
              <w:widowControl w:val="0"/>
              <w:spacing w:line="240" w:lineRule="auto"/>
              <w:contextualSpacing w:val="0"/>
            </w:pPr>
            <w:r>
              <w:t>Institution may provide a template data file with desired fields and formats.</w:t>
            </w:r>
          </w:p>
        </w:tc>
        <w:tc>
          <w:tcPr>
            <w:tcW w:w="2815" w:type="dxa"/>
            <w:tcMar>
              <w:top w:w="100" w:type="dxa"/>
              <w:left w:w="100" w:type="dxa"/>
              <w:bottom w:w="100" w:type="dxa"/>
              <w:right w:w="100" w:type="dxa"/>
            </w:tcMar>
          </w:tcPr>
          <w:p w14:paraId="2D2E6CA3" w14:textId="77777777" w:rsidR="00E16D0F" w:rsidRDefault="000F38B2">
            <w:pPr>
              <w:widowControl w:val="0"/>
              <w:spacing w:line="240" w:lineRule="auto"/>
              <w:contextualSpacing w:val="0"/>
            </w:pPr>
            <w:r>
              <w:t>Collections manager or database administrator.</w:t>
            </w:r>
          </w:p>
          <w:p w14:paraId="690A7BA2" w14:textId="77777777" w:rsidR="00E16D0F" w:rsidRDefault="000F38B2">
            <w:pPr>
              <w:widowControl w:val="0"/>
              <w:spacing w:line="240" w:lineRule="auto"/>
              <w:contextualSpacing w:val="0"/>
            </w:pPr>
            <w:r>
              <w:t>Institutional collection policies.</w:t>
            </w:r>
          </w:p>
        </w:tc>
      </w:tr>
      <w:tr w:rsidR="00E16D0F" w14:paraId="51E05510" w14:textId="77777777" w:rsidTr="00C53801">
        <w:tc>
          <w:tcPr>
            <w:tcW w:w="725" w:type="dxa"/>
            <w:tcMar>
              <w:top w:w="100" w:type="dxa"/>
              <w:left w:w="100" w:type="dxa"/>
              <w:bottom w:w="100" w:type="dxa"/>
              <w:right w:w="100" w:type="dxa"/>
            </w:tcMar>
          </w:tcPr>
          <w:p w14:paraId="7A0DD5B0" w14:textId="77777777" w:rsidR="00E16D0F" w:rsidRDefault="000F38B2">
            <w:pPr>
              <w:widowControl w:val="0"/>
              <w:spacing w:line="240" w:lineRule="auto"/>
              <w:contextualSpacing w:val="0"/>
            </w:pPr>
            <w:r>
              <w:rPr>
                <w:b/>
              </w:rPr>
              <w:t>T2</w:t>
            </w:r>
          </w:p>
        </w:tc>
        <w:tc>
          <w:tcPr>
            <w:tcW w:w="1980" w:type="dxa"/>
            <w:tcMar>
              <w:top w:w="100" w:type="dxa"/>
              <w:left w:w="100" w:type="dxa"/>
              <w:bottom w:w="100" w:type="dxa"/>
              <w:right w:w="100" w:type="dxa"/>
            </w:tcMar>
          </w:tcPr>
          <w:p w14:paraId="7FCBB6CC" w14:textId="77777777" w:rsidR="00E16D0F" w:rsidRDefault="000F38B2">
            <w:pPr>
              <w:widowControl w:val="0"/>
              <w:spacing w:line="240" w:lineRule="auto"/>
              <w:contextualSpacing w:val="0"/>
            </w:pPr>
            <w:r>
              <w:t>Determine what data will be collected for each specimen.</w:t>
            </w:r>
          </w:p>
        </w:tc>
        <w:tc>
          <w:tcPr>
            <w:tcW w:w="4140" w:type="dxa"/>
            <w:tcMar>
              <w:top w:w="100" w:type="dxa"/>
              <w:left w:w="100" w:type="dxa"/>
              <w:bottom w:w="100" w:type="dxa"/>
              <w:right w:w="100" w:type="dxa"/>
            </w:tcMar>
          </w:tcPr>
          <w:p w14:paraId="4530A5AC" w14:textId="77777777" w:rsidR="00E16D0F" w:rsidRDefault="000F38B2">
            <w:pPr>
              <w:widowControl w:val="0"/>
              <w:spacing w:line="240" w:lineRule="auto"/>
              <w:contextualSpacing w:val="0"/>
            </w:pPr>
            <w:r>
              <w:t>In general, record copious data.  Commonly recorded categories of information include:</w:t>
            </w:r>
          </w:p>
          <w:p w14:paraId="7650912C" w14:textId="77777777" w:rsidR="00E16D0F" w:rsidRDefault="000F38B2">
            <w:pPr>
              <w:widowControl w:val="0"/>
              <w:numPr>
                <w:ilvl w:val="0"/>
                <w:numId w:val="4"/>
              </w:numPr>
              <w:spacing w:line="240" w:lineRule="auto"/>
              <w:ind w:hanging="360"/>
            </w:pPr>
            <w:r>
              <w:t>collector name(s) and number</w:t>
            </w:r>
          </w:p>
          <w:p w14:paraId="0BDE2F16" w14:textId="77777777" w:rsidR="00E16D0F" w:rsidRDefault="000F38B2">
            <w:pPr>
              <w:widowControl w:val="0"/>
              <w:numPr>
                <w:ilvl w:val="0"/>
                <w:numId w:val="4"/>
              </w:numPr>
              <w:spacing w:line="240" w:lineRule="auto"/>
              <w:ind w:hanging="360"/>
            </w:pPr>
            <w:r>
              <w:t>event date</w:t>
            </w:r>
          </w:p>
          <w:p w14:paraId="65C11A42" w14:textId="77777777" w:rsidR="00E16D0F" w:rsidRDefault="000F38B2">
            <w:pPr>
              <w:widowControl w:val="0"/>
              <w:numPr>
                <w:ilvl w:val="0"/>
                <w:numId w:val="4"/>
              </w:numPr>
              <w:spacing w:line="240" w:lineRule="auto"/>
              <w:ind w:hanging="360"/>
            </w:pPr>
            <w:r>
              <w:t>locality</w:t>
            </w:r>
          </w:p>
          <w:p w14:paraId="3C1949D1" w14:textId="77777777" w:rsidR="00E16D0F" w:rsidRDefault="000F38B2">
            <w:pPr>
              <w:widowControl w:val="0"/>
              <w:numPr>
                <w:ilvl w:val="0"/>
                <w:numId w:val="4"/>
              </w:numPr>
              <w:spacing w:line="240" w:lineRule="auto"/>
              <w:ind w:hanging="360"/>
            </w:pPr>
            <w:r>
              <w:t>GPS coordinates</w:t>
            </w:r>
          </w:p>
          <w:p w14:paraId="3131A9B9" w14:textId="77777777" w:rsidR="00E16D0F" w:rsidRDefault="000F38B2">
            <w:pPr>
              <w:widowControl w:val="0"/>
              <w:numPr>
                <w:ilvl w:val="0"/>
                <w:numId w:val="4"/>
              </w:numPr>
              <w:spacing w:line="240" w:lineRule="auto"/>
              <w:ind w:hanging="360"/>
            </w:pPr>
            <w:r>
              <w:t>elevation or depth</w:t>
            </w:r>
          </w:p>
          <w:p w14:paraId="5948ED08" w14:textId="77777777" w:rsidR="00E16D0F" w:rsidRDefault="000F38B2">
            <w:pPr>
              <w:widowControl w:val="0"/>
              <w:numPr>
                <w:ilvl w:val="0"/>
                <w:numId w:val="4"/>
              </w:numPr>
              <w:spacing w:line="240" w:lineRule="auto"/>
              <w:ind w:hanging="360"/>
            </w:pPr>
            <w:r>
              <w:t>habitat, site description</w:t>
            </w:r>
          </w:p>
          <w:p w14:paraId="5DBA290A" w14:textId="77777777" w:rsidR="00E16D0F" w:rsidRDefault="000F38B2">
            <w:pPr>
              <w:widowControl w:val="0"/>
              <w:numPr>
                <w:ilvl w:val="0"/>
                <w:numId w:val="4"/>
              </w:numPr>
              <w:spacing w:line="240" w:lineRule="auto"/>
              <w:ind w:hanging="360"/>
            </w:pPr>
            <w:r>
              <w:t>associated species</w:t>
            </w:r>
          </w:p>
          <w:p w14:paraId="49C55C5E" w14:textId="77777777" w:rsidR="00E16D0F" w:rsidRDefault="000F38B2">
            <w:pPr>
              <w:widowControl w:val="0"/>
              <w:numPr>
                <w:ilvl w:val="0"/>
                <w:numId w:val="4"/>
              </w:numPr>
              <w:spacing w:line="240" w:lineRule="auto"/>
              <w:ind w:hanging="360"/>
            </w:pPr>
            <w:r>
              <w:t>specimen description</w:t>
            </w:r>
          </w:p>
          <w:p w14:paraId="33756607" w14:textId="77777777" w:rsidR="00E16D0F" w:rsidRDefault="000F38B2">
            <w:pPr>
              <w:widowControl w:val="0"/>
              <w:numPr>
                <w:ilvl w:val="0"/>
                <w:numId w:val="4"/>
              </w:numPr>
              <w:spacing w:line="240" w:lineRule="auto"/>
              <w:ind w:hanging="360"/>
            </w:pPr>
            <w:r>
              <w:t>tentative identification</w:t>
            </w:r>
          </w:p>
          <w:p w14:paraId="39D7F941" w14:textId="77777777" w:rsidR="00E16D0F" w:rsidRDefault="00E16D0F">
            <w:pPr>
              <w:widowControl w:val="0"/>
              <w:spacing w:line="240" w:lineRule="auto"/>
              <w:contextualSpacing w:val="0"/>
            </w:pPr>
          </w:p>
          <w:p w14:paraId="2D81FCDE" w14:textId="77777777" w:rsidR="00E16D0F" w:rsidRDefault="000F38B2">
            <w:pPr>
              <w:widowControl w:val="0"/>
              <w:spacing w:line="240" w:lineRule="auto"/>
              <w:contextualSpacing w:val="0"/>
            </w:pPr>
            <w:r>
              <w:t>Geospatial data should include, at a minimum:</w:t>
            </w:r>
          </w:p>
          <w:p w14:paraId="6ECEAAB6" w14:textId="77777777" w:rsidR="00E16D0F" w:rsidRDefault="000F38B2">
            <w:pPr>
              <w:widowControl w:val="0"/>
              <w:numPr>
                <w:ilvl w:val="0"/>
                <w:numId w:val="3"/>
              </w:numPr>
              <w:spacing w:line="240" w:lineRule="auto"/>
              <w:ind w:hanging="360"/>
            </w:pPr>
            <w:r>
              <w:t>latitude/longitude in decimal degrees</w:t>
            </w:r>
            <w:r w:rsidR="00FD4D03">
              <w:t xml:space="preserve"> or UTM.</w:t>
            </w:r>
          </w:p>
          <w:p w14:paraId="0977EEB3" w14:textId="77777777" w:rsidR="00E16D0F" w:rsidRDefault="000F38B2">
            <w:pPr>
              <w:widowControl w:val="0"/>
              <w:numPr>
                <w:ilvl w:val="0"/>
                <w:numId w:val="3"/>
              </w:numPr>
              <w:spacing w:line="240" w:lineRule="auto"/>
              <w:ind w:hanging="360"/>
            </w:pPr>
            <w:r>
              <w:t>extent of site and/or accuracy of coordinate (e.g., GPS error) and units used</w:t>
            </w:r>
          </w:p>
          <w:p w14:paraId="590CEFC4" w14:textId="77777777" w:rsidR="00E16D0F" w:rsidRDefault="000F38B2">
            <w:pPr>
              <w:widowControl w:val="0"/>
              <w:numPr>
                <w:ilvl w:val="0"/>
                <w:numId w:val="3"/>
              </w:numPr>
              <w:spacing w:line="240" w:lineRule="auto"/>
              <w:ind w:hanging="360"/>
            </w:pPr>
            <w:r>
              <w:t>geospatial datum</w:t>
            </w:r>
          </w:p>
          <w:p w14:paraId="60570885" w14:textId="77777777" w:rsidR="00E16D0F" w:rsidRDefault="000F38B2">
            <w:pPr>
              <w:widowControl w:val="0"/>
              <w:numPr>
                <w:ilvl w:val="0"/>
                <w:numId w:val="3"/>
              </w:numPr>
              <w:spacing w:line="240" w:lineRule="auto"/>
              <w:ind w:hanging="360"/>
            </w:pPr>
            <w:r>
              <w:t>source of coordinate (e.g., GPS unit, Google Earth, measured on paper map)</w:t>
            </w:r>
          </w:p>
          <w:p w14:paraId="05EEB9C0" w14:textId="77777777" w:rsidR="00E16D0F" w:rsidRDefault="00E16D0F">
            <w:pPr>
              <w:widowControl w:val="0"/>
              <w:spacing w:line="240" w:lineRule="auto"/>
              <w:contextualSpacing w:val="0"/>
            </w:pPr>
          </w:p>
          <w:p w14:paraId="3258AFA7" w14:textId="77777777" w:rsidR="00E16D0F" w:rsidRDefault="000F38B2" w:rsidP="008A1441">
            <w:pPr>
              <w:widowControl w:val="0"/>
              <w:spacing w:line="240" w:lineRule="auto"/>
              <w:contextualSpacing w:val="0"/>
            </w:pPr>
            <w:r>
              <w:lastRenderedPageBreak/>
              <w:t xml:space="preserve">If data do not precisely conform to the Darwin Core standard, </w:t>
            </w:r>
            <w:r w:rsidR="008A1441">
              <w:t>they</w:t>
            </w:r>
            <w:r>
              <w:t xml:space="preserve"> should be easily mapped to it.</w:t>
            </w:r>
          </w:p>
        </w:tc>
        <w:tc>
          <w:tcPr>
            <w:tcW w:w="2815" w:type="dxa"/>
            <w:tcMar>
              <w:top w:w="100" w:type="dxa"/>
              <w:left w:w="100" w:type="dxa"/>
              <w:bottom w:w="100" w:type="dxa"/>
              <w:right w:w="100" w:type="dxa"/>
            </w:tcMar>
          </w:tcPr>
          <w:p w14:paraId="0F57564A" w14:textId="77777777" w:rsidR="00E16D0F" w:rsidRDefault="000F38B2">
            <w:pPr>
              <w:widowControl w:val="0"/>
              <w:spacing w:line="240" w:lineRule="auto"/>
              <w:contextualSpacing w:val="0"/>
            </w:pPr>
            <w:r>
              <w:lastRenderedPageBreak/>
              <w:t>Specimen Field Notebook guidelines:</w:t>
            </w:r>
          </w:p>
          <w:p w14:paraId="24960656" w14:textId="77777777" w:rsidR="00E16D0F" w:rsidRDefault="00AF5378">
            <w:pPr>
              <w:widowControl w:val="0"/>
              <w:spacing w:line="240" w:lineRule="auto"/>
              <w:contextualSpacing w:val="0"/>
            </w:pPr>
            <w:hyperlink r:id="rId10">
              <w:r w:rsidR="000F38B2">
                <w:rPr>
                  <w:color w:val="1155CC"/>
                  <w:u w:val="single"/>
                </w:rPr>
                <w:t>http://collectionseducation.org/field-notebook/</w:t>
              </w:r>
            </w:hyperlink>
            <w:r w:rsidR="000F38B2">
              <w:t>.</w:t>
            </w:r>
          </w:p>
          <w:p w14:paraId="2A7DE696" w14:textId="77777777" w:rsidR="00E16D0F" w:rsidRDefault="00E16D0F">
            <w:pPr>
              <w:widowControl w:val="0"/>
              <w:spacing w:line="240" w:lineRule="auto"/>
              <w:contextualSpacing w:val="0"/>
            </w:pPr>
          </w:p>
          <w:p w14:paraId="3B03DE10" w14:textId="77777777" w:rsidR="00E16D0F" w:rsidRDefault="000F38B2">
            <w:pPr>
              <w:widowControl w:val="0"/>
              <w:spacing w:line="240" w:lineRule="auto"/>
              <w:contextualSpacing w:val="0"/>
            </w:pPr>
            <w:r>
              <w:t xml:space="preserve">Darwin Core standard: </w:t>
            </w:r>
            <w:hyperlink r:id="rId11">
              <w:r>
                <w:rPr>
                  <w:color w:val="1155CC"/>
                  <w:u w:val="single"/>
                </w:rPr>
                <w:t>http://www.tdwg.org/standards/450/</w:t>
              </w:r>
            </w:hyperlink>
            <w:r>
              <w:t>.</w:t>
            </w:r>
          </w:p>
          <w:p w14:paraId="1E6ACFED" w14:textId="77777777" w:rsidR="00E16D0F" w:rsidRDefault="00E16D0F">
            <w:pPr>
              <w:widowControl w:val="0"/>
              <w:spacing w:line="240" w:lineRule="auto"/>
              <w:contextualSpacing w:val="0"/>
            </w:pPr>
          </w:p>
          <w:p w14:paraId="02B76ED9" w14:textId="77777777" w:rsidR="00E16D0F" w:rsidRDefault="000F38B2">
            <w:pPr>
              <w:widowControl w:val="0"/>
              <w:spacing w:line="240" w:lineRule="auto"/>
              <w:contextualSpacing w:val="0"/>
            </w:pPr>
            <w:r>
              <w:t>Berkeley MVZ, “Guide for Recording Localities in Field Notes”:</w:t>
            </w:r>
          </w:p>
          <w:p w14:paraId="522433B4" w14:textId="77777777" w:rsidR="00E16D0F" w:rsidRDefault="00AF5378">
            <w:pPr>
              <w:widowControl w:val="0"/>
              <w:spacing w:line="240" w:lineRule="auto"/>
              <w:contextualSpacing w:val="0"/>
            </w:pPr>
            <w:hyperlink r:id="rId12">
              <w:r w:rsidR="000F38B2">
                <w:rPr>
                  <w:color w:val="1155CC"/>
                  <w:u w:val="single"/>
                </w:rPr>
                <w:t>https://www.idigbio.org/sites/default/files/workshop-presentations/ttt2/GoodBadLocalities.doc</w:t>
              </w:r>
            </w:hyperlink>
            <w:r w:rsidR="000F38B2">
              <w:t>.</w:t>
            </w:r>
          </w:p>
        </w:tc>
      </w:tr>
      <w:tr w:rsidR="00E16D0F" w14:paraId="3C589CF8" w14:textId="77777777" w:rsidTr="00C53801">
        <w:tc>
          <w:tcPr>
            <w:tcW w:w="725" w:type="dxa"/>
            <w:tcMar>
              <w:top w:w="100" w:type="dxa"/>
              <w:left w:w="100" w:type="dxa"/>
              <w:bottom w:w="100" w:type="dxa"/>
              <w:right w:w="100" w:type="dxa"/>
            </w:tcMar>
          </w:tcPr>
          <w:p w14:paraId="262C1B09" w14:textId="77777777" w:rsidR="00E16D0F" w:rsidRDefault="000F38B2">
            <w:pPr>
              <w:widowControl w:val="0"/>
              <w:spacing w:line="240" w:lineRule="auto"/>
              <w:contextualSpacing w:val="0"/>
            </w:pPr>
            <w:r>
              <w:rPr>
                <w:b/>
              </w:rPr>
              <w:lastRenderedPageBreak/>
              <w:t>T3</w:t>
            </w:r>
          </w:p>
        </w:tc>
        <w:tc>
          <w:tcPr>
            <w:tcW w:w="1980" w:type="dxa"/>
            <w:tcMar>
              <w:top w:w="100" w:type="dxa"/>
              <w:left w:w="100" w:type="dxa"/>
              <w:bottom w:w="100" w:type="dxa"/>
              <w:right w:w="100" w:type="dxa"/>
            </w:tcMar>
          </w:tcPr>
          <w:p w14:paraId="0515E20B" w14:textId="77777777" w:rsidR="00E16D0F" w:rsidRDefault="000F38B2">
            <w:pPr>
              <w:widowControl w:val="0"/>
              <w:spacing w:line="240" w:lineRule="auto"/>
              <w:contextualSpacing w:val="0"/>
            </w:pPr>
            <w:r>
              <w:t>Create unique identifier specimen labels before going into the field.</w:t>
            </w:r>
          </w:p>
        </w:tc>
        <w:tc>
          <w:tcPr>
            <w:tcW w:w="4140" w:type="dxa"/>
            <w:tcMar>
              <w:top w:w="100" w:type="dxa"/>
              <w:left w:w="100" w:type="dxa"/>
              <w:bottom w:w="100" w:type="dxa"/>
              <w:right w:w="100" w:type="dxa"/>
            </w:tcMar>
          </w:tcPr>
          <w:p w14:paraId="338D7532" w14:textId="77777777" w:rsidR="00E16D0F" w:rsidRDefault="000F38B2">
            <w:pPr>
              <w:widowControl w:val="0"/>
              <w:spacing w:line="240" w:lineRule="auto"/>
              <w:contextualSpacing w:val="0"/>
            </w:pPr>
            <w:r>
              <w:t>For example, vials for DNA samples can be pre-labeled with identifiers or barcodes, and later associated with field notes while collecting.</w:t>
            </w:r>
          </w:p>
          <w:p w14:paraId="54D5D7A7" w14:textId="77777777" w:rsidR="00E16D0F" w:rsidRDefault="00E16D0F">
            <w:pPr>
              <w:widowControl w:val="0"/>
              <w:spacing w:line="240" w:lineRule="auto"/>
              <w:contextualSpacing w:val="0"/>
            </w:pPr>
          </w:p>
          <w:p w14:paraId="2ABF0F5D" w14:textId="77777777" w:rsidR="00E16D0F" w:rsidRDefault="000F38B2">
            <w:pPr>
              <w:widowControl w:val="0"/>
              <w:spacing w:line="240" w:lineRule="auto"/>
              <w:contextualSpacing w:val="0"/>
            </w:pPr>
            <w:r>
              <w:t>This is an optional step depending on collector or institutional policies and procedures.</w:t>
            </w:r>
          </w:p>
        </w:tc>
        <w:tc>
          <w:tcPr>
            <w:tcW w:w="2815" w:type="dxa"/>
            <w:tcMar>
              <w:top w:w="100" w:type="dxa"/>
              <w:left w:w="100" w:type="dxa"/>
              <w:bottom w:w="100" w:type="dxa"/>
              <w:right w:w="100" w:type="dxa"/>
            </w:tcMar>
          </w:tcPr>
          <w:p w14:paraId="7EBD39A0" w14:textId="77777777" w:rsidR="00E16D0F" w:rsidRDefault="000F38B2">
            <w:pPr>
              <w:widowControl w:val="0"/>
              <w:spacing w:line="240" w:lineRule="auto"/>
              <w:contextualSpacing w:val="0"/>
            </w:pPr>
            <w:r>
              <w:t xml:space="preserve">DNA Barcoding Assistant: </w:t>
            </w:r>
            <w:hyperlink r:id="rId13">
              <w:r>
                <w:rPr>
                  <w:color w:val="1155CC"/>
                  <w:u w:val="single"/>
                </w:rPr>
                <w:t>http://www.dnabarcodingassistant.org/</w:t>
              </w:r>
            </w:hyperlink>
            <w:r>
              <w:t>.</w:t>
            </w:r>
          </w:p>
        </w:tc>
      </w:tr>
      <w:tr w:rsidR="00E16D0F" w14:paraId="6883CBAE" w14:textId="77777777" w:rsidTr="00C53801">
        <w:tc>
          <w:tcPr>
            <w:tcW w:w="725" w:type="dxa"/>
            <w:tcMar>
              <w:top w:w="100" w:type="dxa"/>
              <w:left w:w="100" w:type="dxa"/>
              <w:bottom w:w="100" w:type="dxa"/>
              <w:right w:w="100" w:type="dxa"/>
            </w:tcMar>
          </w:tcPr>
          <w:p w14:paraId="2E8ABB06" w14:textId="77777777" w:rsidR="00E16D0F" w:rsidRDefault="000F38B2">
            <w:pPr>
              <w:widowControl w:val="0"/>
              <w:spacing w:line="240" w:lineRule="auto"/>
              <w:contextualSpacing w:val="0"/>
            </w:pPr>
            <w:r>
              <w:rPr>
                <w:b/>
              </w:rPr>
              <w:t>T4</w:t>
            </w:r>
          </w:p>
        </w:tc>
        <w:tc>
          <w:tcPr>
            <w:tcW w:w="1980" w:type="dxa"/>
            <w:tcMar>
              <w:top w:w="100" w:type="dxa"/>
              <w:left w:w="100" w:type="dxa"/>
              <w:bottom w:w="100" w:type="dxa"/>
              <w:right w:w="100" w:type="dxa"/>
            </w:tcMar>
          </w:tcPr>
          <w:p w14:paraId="1B35A25C" w14:textId="77777777" w:rsidR="00E16D0F" w:rsidRDefault="000F38B2">
            <w:pPr>
              <w:widowControl w:val="0"/>
              <w:spacing w:line="240" w:lineRule="auto"/>
              <w:contextualSpacing w:val="0"/>
            </w:pPr>
            <w:r>
              <w:t>Record collection data in the field.</w:t>
            </w:r>
          </w:p>
        </w:tc>
        <w:tc>
          <w:tcPr>
            <w:tcW w:w="4140" w:type="dxa"/>
            <w:tcMar>
              <w:top w:w="100" w:type="dxa"/>
              <w:left w:w="100" w:type="dxa"/>
              <w:bottom w:w="100" w:type="dxa"/>
              <w:right w:w="100" w:type="dxa"/>
            </w:tcMar>
          </w:tcPr>
          <w:p w14:paraId="73A25A57" w14:textId="77777777" w:rsidR="00E16D0F" w:rsidRDefault="000F38B2">
            <w:pPr>
              <w:widowControl w:val="0"/>
              <w:spacing w:line="240" w:lineRule="auto"/>
              <w:contextualSpacing w:val="0"/>
            </w:pPr>
            <w:r>
              <w:t>Could be in a field notebook, in an app on smart phone or tablet, or using a spreadsheet on a tablet or laptop.</w:t>
            </w:r>
          </w:p>
          <w:p w14:paraId="3670C147" w14:textId="77777777" w:rsidR="00E16D0F" w:rsidRDefault="00E16D0F">
            <w:pPr>
              <w:widowControl w:val="0"/>
              <w:spacing w:line="240" w:lineRule="auto"/>
              <w:contextualSpacing w:val="0"/>
            </w:pPr>
          </w:p>
          <w:p w14:paraId="1EB39C6F" w14:textId="77777777" w:rsidR="00E16D0F" w:rsidRDefault="000F38B2">
            <w:pPr>
              <w:widowControl w:val="0"/>
              <w:spacing w:line="240" w:lineRule="auto"/>
              <w:contextualSpacing w:val="0"/>
            </w:pPr>
            <w:r>
              <w:t>Each physical specimen should include an unambiguous reference to the corresponding field notes entry (for example, the collector’s name and number written on the newspaper or a tag).</w:t>
            </w:r>
          </w:p>
        </w:tc>
        <w:tc>
          <w:tcPr>
            <w:tcW w:w="2815" w:type="dxa"/>
            <w:tcMar>
              <w:top w:w="100" w:type="dxa"/>
              <w:left w:w="100" w:type="dxa"/>
              <w:bottom w:w="100" w:type="dxa"/>
              <w:right w:w="100" w:type="dxa"/>
            </w:tcMar>
          </w:tcPr>
          <w:p w14:paraId="6B85076B" w14:textId="77777777" w:rsidR="00E16D0F" w:rsidRDefault="000F38B2">
            <w:pPr>
              <w:widowControl w:val="0"/>
              <w:spacing w:line="240" w:lineRule="auto"/>
              <w:contextualSpacing w:val="0"/>
            </w:pPr>
            <w:r>
              <w:t>List of apps and software for field data collection:</w:t>
            </w:r>
          </w:p>
          <w:p w14:paraId="697A7D71" w14:textId="77777777" w:rsidR="00E16D0F" w:rsidRDefault="00AF5378">
            <w:pPr>
              <w:widowControl w:val="0"/>
              <w:spacing w:line="240" w:lineRule="auto"/>
              <w:contextualSpacing w:val="0"/>
            </w:pPr>
            <w:hyperlink r:id="rId14">
              <w:r w:rsidR="000F38B2">
                <w:rPr>
                  <w:color w:val="1155CC"/>
                  <w:u w:val="single"/>
                </w:rPr>
                <w:t>http://brunalab.org/apps/</w:t>
              </w:r>
            </w:hyperlink>
            <w:r w:rsidR="000F38B2">
              <w:t>.</w:t>
            </w:r>
          </w:p>
          <w:p w14:paraId="1B2B55B5" w14:textId="77777777" w:rsidR="00E16D0F" w:rsidRDefault="00E16D0F">
            <w:pPr>
              <w:widowControl w:val="0"/>
              <w:spacing w:line="240" w:lineRule="auto"/>
              <w:contextualSpacing w:val="0"/>
            </w:pPr>
          </w:p>
        </w:tc>
      </w:tr>
      <w:tr w:rsidR="00E16D0F" w14:paraId="5C8C0AF5" w14:textId="77777777" w:rsidTr="00C53801">
        <w:tc>
          <w:tcPr>
            <w:tcW w:w="725" w:type="dxa"/>
            <w:tcMar>
              <w:top w:w="100" w:type="dxa"/>
              <w:left w:w="100" w:type="dxa"/>
              <w:bottom w:w="100" w:type="dxa"/>
              <w:right w:w="100" w:type="dxa"/>
            </w:tcMar>
          </w:tcPr>
          <w:p w14:paraId="2329C4A1" w14:textId="77777777" w:rsidR="00E16D0F" w:rsidRDefault="000F38B2">
            <w:pPr>
              <w:widowControl w:val="0"/>
              <w:spacing w:line="240" w:lineRule="auto"/>
              <w:contextualSpacing w:val="0"/>
            </w:pPr>
            <w:r>
              <w:rPr>
                <w:b/>
              </w:rPr>
              <w:t>T5</w:t>
            </w:r>
          </w:p>
        </w:tc>
        <w:tc>
          <w:tcPr>
            <w:tcW w:w="1980" w:type="dxa"/>
            <w:tcMar>
              <w:top w:w="100" w:type="dxa"/>
              <w:left w:w="100" w:type="dxa"/>
              <w:bottom w:w="100" w:type="dxa"/>
              <w:right w:w="100" w:type="dxa"/>
            </w:tcMar>
          </w:tcPr>
          <w:p w14:paraId="146915FB" w14:textId="77777777" w:rsidR="00E16D0F" w:rsidRDefault="000F38B2">
            <w:pPr>
              <w:widowControl w:val="0"/>
              <w:spacing w:line="240" w:lineRule="auto"/>
              <w:contextualSpacing w:val="0"/>
            </w:pPr>
            <w:r>
              <w:t>Capture in-situ photographs of specimens.</w:t>
            </w:r>
          </w:p>
        </w:tc>
        <w:tc>
          <w:tcPr>
            <w:tcW w:w="4140" w:type="dxa"/>
            <w:tcMar>
              <w:top w:w="100" w:type="dxa"/>
              <w:left w:w="100" w:type="dxa"/>
              <w:bottom w:w="100" w:type="dxa"/>
              <w:right w:w="100" w:type="dxa"/>
            </w:tcMar>
          </w:tcPr>
          <w:p w14:paraId="1E7CE839" w14:textId="77777777" w:rsidR="00E16D0F" w:rsidRDefault="000F38B2">
            <w:pPr>
              <w:widowControl w:val="0"/>
              <w:spacing w:line="240" w:lineRule="auto"/>
              <w:contextualSpacing w:val="0"/>
            </w:pPr>
            <w:r>
              <w:t>If this is desired, one needs to consider:</w:t>
            </w:r>
          </w:p>
          <w:p w14:paraId="38E5825D" w14:textId="77777777" w:rsidR="00E16D0F" w:rsidRDefault="000F38B2">
            <w:pPr>
              <w:widowControl w:val="0"/>
              <w:numPr>
                <w:ilvl w:val="0"/>
                <w:numId w:val="2"/>
              </w:numPr>
              <w:spacing w:line="240" w:lineRule="auto"/>
              <w:ind w:hanging="360"/>
            </w:pPr>
            <w:r>
              <w:t>standard set of images to document occurrence,</w:t>
            </w:r>
          </w:p>
          <w:p w14:paraId="57C6F157" w14:textId="77777777" w:rsidR="00E16D0F" w:rsidRDefault="000F38B2">
            <w:pPr>
              <w:widowControl w:val="0"/>
              <w:numPr>
                <w:ilvl w:val="0"/>
                <w:numId w:val="2"/>
              </w:numPr>
              <w:spacing w:line="240" w:lineRule="auto"/>
              <w:ind w:hanging="360"/>
            </w:pPr>
            <w:r>
              <w:t>metadata (e.g., camera model and settings, format, date and time),</w:t>
            </w:r>
          </w:p>
          <w:p w14:paraId="0625825B" w14:textId="77777777" w:rsidR="00E16D0F" w:rsidRDefault="000F38B2">
            <w:pPr>
              <w:widowControl w:val="0"/>
              <w:numPr>
                <w:ilvl w:val="0"/>
                <w:numId w:val="2"/>
              </w:numPr>
              <w:spacing w:line="240" w:lineRule="auto"/>
              <w:ind w:hanging="360"/>
            </w:pPr>
            <w:r>
              <w:t>copyright, usage rights, license,</w:t>
            </w:r>
          </w:p>
          <w:p w14:paraId="6806982D" w14:textId="77777777" w:rsidR="00E16D0F" w:rsidRDefault="000F38B2">
            <w:pPr>
              <w:widowControl w:val="0"/>
              <w:numPr>
                <w:ilvl w:val="0"/>
                <w:numId w:val="2"/>
              </w:numPr>
              <w:spacing w:line="240" w:lineRule="auto"/>
              <w:ind w:hanging="360"/>
            </w:pPr>
            <w:r>
              <w:t>file naming scheme,</w:t>
            </w:r>
          </w:p>
          <w:p w14:paraId="6008DC40" w14:textId="77777777" w:rsidR="00E16D0F" w:rsidRDefault="000F38B2">
            <w:pPr>
              <w:widowControl w:val="0"/>
              <w:numPr>
                <w:ilvl w:val="0"/>
                <w:numId w:val="2"/>
              </w:numPr>
              <w:spacing w:line="240" w:lineRule="auto"/>
              <w:ind w:hanging="360"/>
            </w:pPr>
            <w:r>
              <w:t>method for linking photos to field notebook entries and database records.</w:t>
            </w:r>
          </w:p>
        </w:tc>
        <w:tc>
          <w:tcPr>
            <w:tcW w:w="2815" w:type="dxa"/>
            <w:tcMar>
              <w:top w:w="100" w:type="dxa"/>
              <w:left w:w="100" w:type="dxa"/>
              <w:bottom w:w="100" w:type="dxa"/>
              <w:right w:w="100" w:type="dxa"/>
            </w:tcMar>
          </w:tcPr>
          <w:p w14:paraId="4EF65E4A" w14:textId="77777777" w:rsidR="00E16D0F" w:rsidRDefault="000F38B2" w:rsidP="006A704B">
            <w:pPr>
              <w:widowControl w:val="0"/>
              <w:spacing w:line="240" w:lineRule="auto"/>
              <w:contextualSpacing w:val="0"/>
            </w:pPr>
            <w:r>
              <w:t>See: Baskauf</w:t>
            </w:r>
            <w:r w:rsidR="006A704B">
              <w:t xml:space="preserve"> and Kirchoff</w:t>
            </w:r>
            <w:r w:rsidR="00FB1CF7">
              <w:t xml:space="preserve"> (</w:t>
            </w:r>
            <w:r w:rsidR="006A704B">
              <w:t>2008</w:t>
            </w:r>
            <w:r w:rsidR="00FB1CF7">
              <w:t>)</w:t>
            </w:r>
            <w:r w:rsidR="006A704B">
              <w:t xml:space="preserve">. </w:t>
            </w:r>
            <w:hyperlink r:id="rId15">
              <w:r>
                <w:rPr>
                  <w:color w:val="1155CC"/>
                  <w:u w:val="single"/>
                </w:rPr>
                <w:t>http://www.cals.ncsu.edu/plantbiology/ncsc/vulpia/pdf/Baskauf_%26_Kirchoff_Digital_Plant_Images.pdf</w:t>
              </w:r>
            </w:hyperlink>
            <w:r>
              <w:t>.</w:t>
            </w:r>
          </w:p>
        </w:tc>
      </w:tr>
      <w:tr w:rsidR="00E16D0F" w14:paraId="6FC3D21C" w14:textId="77777777" w:rsidTr="00C53801">
        <w:tc>
          <w:tcPr>
            <w:tcW w:w="725" w:type="dxa"/>
            <w:tcMar>
              <w:top w:w="100" w:type="dxa"/>
              <w:left w:w="100" w:type="dxa"/>
              <w:bottom w:w="100" w:type="dxa"/>
              <w:right w:w="100" w:type="dxa"/>
            </w:tcMar>
          </w:tcPr>
          <w:p w14:paraId="038D3D30" w14:textId="77777777" w:rsidR="00E16D0F" w:rsidRDefault="000F38B2">
            <w:pPr>
              <w:widowControl w:val="0"/>
              <w:spacing w:line="240" w:lineRule="auto"/>
              <w:contextualSpacing w:val="0"/>
            </w:pPr>
            <w:r>
              <w:rPr>
                <w:b/>
              </w:rPr>
              <w:t>T6</w:t>
            </w:r>
          </w:p>
        </w:tc>
        <w:tc>
          <w:tcPr>
            <w:tcW w:w="1980" w:type="dxa"/>
            <w:tcMar>
              <w:top w:w="100" w:type="dxa"/>
              <w:left w:w="100" w:type="dxa"/>
              <w:bottom w:w="100" w:type="dxa"/>
              <w:right w:w="100" w:type="dxa"/>
            </w:tcMar>
          </w:tcPr>
          <w:p w14:paraId="5C71084B" w14:textId="77777777" w:rsidR="00E16D0F" w:rsidRDefault="000F38B2">
            <w:pPr>
              <w:widowControl w:val="0"/>
              <w:spacing w:line="240" w:lineRule="auto"/>
              <w:contextualSpacing w:val="0"/>
            </w:pPr>
            <w:r>
              <w:t>Transcribe field notebook into electronic format.</w:t>
            </w:r>
          </w:p>
        </w:tc>
        <w:tc>
          <w:tcPr>
            <w:tcW w:w="4140" w:type="dxa"/>
            <w:tcMar>
              <w:top w:w="100" w:type="dxa"/>
              <w:left w:w="100" w:type="dxa"/>
              <w:bottom w:w="100" w:type="dxa"/>
              <w:right w:w="100" w:type="dxa"/>
            </w:tcMar>
          </w:tcPr>
          <w:p w14:paraId="77580560" w14:textId="77777777" w:rsidR="00E16D0F" w:rsidRDefault="000F38B2">
            <w:pPr>
              <w:widowControl w:val="0"/>
              <w:spacing w:line="240" w:lineRule="auto"/>
              <w:contextualSpacing w:val="0"/>
            </w:pPr>
            <w:r>
              <w:t>This step can be skipped if data were directly entered digitally in T4.</w:t>
            </w:r>
          </w:p>
        </w:tc>
        <w:tc>
          <w:tcPr>
            <w:tcW w:w="2815" w:type="dxa"/>
            <w:tcMar>
              <w:top w:w="100" w:type="dxa"/>
              <w:left w:w="100" w:type="dxa"/>
              <w:bottom w:w="100" w:type="dxa"/>
              <w:right w:w="100" w:type="dxa"/>
            </w:tcMar>
          </w:tcPr>
          <w:p w14:paraId="06D335CE" w14:textId="77777777" w:rsidR="00E16D0F" w:rsidRDefault="000F38B2">
            <w:pPr>
              <w:widowControl w:val="0"/>
              <w:spacing w:line="240" w:lineRule="auto"/>
              <w:contextualSpacing w:val="0"/>
            </w:pPr>
            <w:r>
              <w:t>Excel spreadsheet, Specify Workbench, temporary database (e.g., Access or FileMaker).</w:t>
            </w:r>
          </w:p>
        </w:tc>
      </w:tr>
      <w:tr w:rsidR="00E16D0F" w14:paraId="70B7A274" w14:textId="77777777" w:rsidTr="00C53801">
        <w:tc>
          <w:tcPr>
            <w:tcW w:w="725" w:type="dxa"/>
            <w:tcMar>
              <w:top w:w="100" w:type="dxa"/>
              <w:left w:w="100" w:type="dxa"/>
              <w:bottom w:w="100" w:type="dxa"/>
              <w:right w:w="100" w:type="dxa"/>
            </w:tcMar>
          </w:tcPr>
          <w:p w14:paraId="466077CE" w14:textId="77777777" w:rsidR="00E16D0F" w:rsidRDefault="000F38B2">
            <w:pPr>
              <w:widowControl w:val="0"/>
              <w:spacing w:line="240" w:lineRule="auto"/>
              <w:contextualSpacing w:val="0"/>
            </w:pPr>
            <w:r>
              <w:rPr>
                <w:b/>
              </w:rPr>
              <w:t>T7</w:t>
            </w:r>
          </w:p>
        </w:tc>
        <w:tc>
          <w:tcPr>
            <w:tcW w:w="1980" w:type="dxa"/>
            <w:tcMar>
              <w:top w:w="100" w:type="dxa"/>
              <w:left w:w="100" w:type="dxa"/>
              <w:bottom w:w="100" w:type="dxa"/>
              <w:right w:w="100" w:type="dxa"/>
            </w:tcMar>
          </w:tcPr>
          <w:p w14:paraId="7DE0E895" w14:textId="77777777" w:rsidR="00E16D0F" w:rsidRDefault="000F38B2">
            <w:pPr>
              <w:widowControl w:val="0"/>
              <w:spacing w:line="240" w:lineRule="auto"/>
              <w:contextualSpacing w:val="0"/>
            </w:pPr>
            <w:r>
              <w:t>Enter data into database.</w:t>
            </w:r>
          </w:p>
        </w:tc>
        <w:tc>
          <w:tcPr>
            <w:tcW w:w="4140" w:type="dxa"/>
            <w:tcMar>
              <w:top w:w="100" w:type="dxa"/>
              <w:left w:w="100" w:type="dxa"/>
              <w:bottom w:w="100" w:type="dxa"/>
              <w:right w:w="100" w:type="dxa"/>
            </w:tcMar>
          </w:tcPr>
          <w:p w14:paraId="384798A9" w14:textId="77777777" w:rsidR="00E16D0F" w:rsidRDefault="000F38B2">
            <w:pPr>
              <w:widowControl w:val="0"/>
              <w:spacing w:line="240" w:lineRule="auto"/>
              <w:contextualSpacing w:val="0"/>
            </w:pPr>
            <w:r>
              <w:t xml:space="preserve">This depends on form of data and requirements of database. Many institutions will not give the collector direct access to the database, in which case the collections manager or database staff can perform this step, usually as an electronic upload from a spreadsheet submitted by the collector, the key point being that the collector is </w:t>
            </w:r>
            <w:r>
              <w:lastRenderedPageBreak/>
              <w:t>supplying electronic data for each deposited specimen to prevent the creation of new legacy data.</w:t>
            </w:r>
          </w:p>
          <w:p w14:paraId="2DB8610A" w14:textId="77777777" w:rsidR="00E16D0F" w:rsidRDefault="00E16D0F">
            <w:pPr>
              <w:widowControl w:val="0"/>
              <w:spacing w:line="240" w:lineRule="auto"/>
              <w:contextualSpacing w:val="0"/>
            </w:pPr>
          </w:p>
          <w:p w14:paraId="156F87B7" w14:textId="77777777" w:rsidR="00E16D0F" w:rsidRDefault="000F38B2" w:rsidP="006A704B">
            <w:pPr>
              <w:widowControl w:val="0"/>
              <w:spacing w:line="240" w:lineRule="auto"/>
              <w:contextualSpacing w:val="0"/>
            </w:pPr>
            <w:r>
              <w:t>Field notes can be cleaned and augmented for completeness at this step</w:t>
            </w:r>
            <w:r w:rsidR="006A704B">
              <w:t>, e.g.</w:t>
            </w:r>
            <w:r w:rsidR="00AF3E6E">
              <w:t>,</w:t>
            </w:r>
            <w:r>
              <w:t xml:space="preserve"> to refine the locality description or coordinates.</w:t>
            </w:r>
          </w:p>
        </w:tc>
        <w:tc>
          <w:tcPr>
            <w:tcW w:w="2815" w:type="dxa"/>
            <w:tcMar>
              <w:top w:w="100" w:type="dxa"/>
              <w:left w:w="100" w:type="dxa"/>
              <w:bottom w:w="100" w:type="dxa"/>
              <w:right w:w="100" w:type="dxa"/>
            </w:tcMar>
          </w:tcPr>
          <w:p w14:paraId="72B62B1A" w14:textId="77777777" w:rsidR="00E16D0F" w:rsidRDefault="000F38B2">
            <w:pPr>
              <w:widowControl w:val="0"/>
              <w:spacing w:line="240" w:lineRule="auto"/>
              <w:contextualSpacing w:val="0"/>
            </w:pPr>
            <w:r>
              <w:lastRenderedPageBreak/>
              <w:t>Database.</w:t>
            </w:r>
          </w:p>
          <w:p w14:paraId="51A08A6B" w14:textId="77777777" w:rsidR="00E16D0F" w:rsidRDefault="000F38B2">
            <w:pPr>
              <w:widowControl w:val="0"/>
              <w:spacing w:line="240" w:lineRule="auto"/>
              <w:contextualSpacing w:val="0"/>
            </w:pPr>
            <w:r>
              <w:t>Excel spreadsheet.</w:t>
            </w:r>
          </w:p>
          <w:p w14:paraId="16EAFC05" w14:textId="77777777" w:rsidR="00E16D0F" w:rsidRDefault="000F38B2">
            <w:pPr>
              <w:widowControl w:val="0"/>
              <w:spacing w:line="240" w:lineRule="auto"/>
              <w:contextualSpacing w:val="0"/>
            </w:pPr>
            <w:r>
              <w:t>Specify Workbench.</w:t>
            </w:r>
          </w:p>
          <w:p w14:paraId="4FD31ACA" w14:textId="77777777" w:rsidR="00E16D0F" w:rsidRDefault="000F38B2">
            <w:pPr>
              <w:widowControl w:val="0"/>
              <w:spacing w:line="240" w:lineRule="auto"/>
              <w:contextualSpacing w:val="0"/>
            </w:pPr>
            <w:r>
              <w:t>Darwin Core standard.</w:t>
            </w:r>
          </w:p>
        </w:tc>
      </w:tr>
      <w:tr w:rsidR="00E16D0F" w14:paraId="6C650A65" w14:textId="77777777" w:rsidTr="00C53801">
        <w:tc>
          <w:tcPr>
            <w:tcW w:w="725" w:type="dxa"/>
            <w:tcMar>
              <w:top w:w="100" w:type="dxa"/>
              <w:left w:w="100" w:type="dxa"/>
              <w:bottom w:w="100" w:type="dxa"/>
              <w:right w:w="100" w:type="dxa"/>
            </w:tcMar>
          </w:tcPr>
          <w:p w14:paraId="4FE02BA2" w14:textId="77777777" w:rsidR="00E16D0F" w:rsidRDefault="000F38B2">
            <w:pPr>
              <w:widowControl w:val="0"/>
              <w:spacing w:line="240" w:lineRule="auto"/>
              <w:contextualSpacing w:val="0"/>
            </w:pPr>
            <w:r>
              <w:rPr>
                <w:b/>
              </w:rPr>
              <w:lastRenderedPageBreak/>
              <w:t>T8</w:t>
            </w:r>
          </w:p>
        </w:tc>
        <w:tc>
          <w:tcPr>
            <w:tcW w:w="1980" w:type="dxa"/>
            <w:tcMar>
              <w:top w:w="100" w:type="dxa"/>
              <w:left w:w="100" w:type="dxa"/>
              <w:bottom w:w="100" w:type="dxa"/>
              <w:right w:w="100" w:type="dxa"/>
            </w:tcMar>
          </w:tcPr>
          <w:p w14:paraId="65F6CA7A" w14:textId="77777777" w:rsidR="00E16D0F" w:rsidRDefault="000F38B2">
            <w:pPr>
              <w:widowControl w:val="0"/>
              <w:spacing w:line="240" w:lineRule="auto"/>
              <w:contextualSpacing w:val="0"/>
            </w:pPr>
            <w:r>
              <w:t>Produce labels.</w:t>
            </w:r>
          </w:p>
        </w:tc>
        <w:tc>
          <w:tcPr>
            <w:tcW w:w="4140" w:type="dxa"/>
            <w:tcMar>
              <w:top w:w="100" w:type="dxa"/>
              <w:left w:w="100" w:type="dxa"/>
              <w:bottom w:w="100" w:type="dxa"/>
              <w:right w:w="100" w:type="dxa"/>
            </w:tcMar>
          </w:tcPr>
          <w:p w14:paraId="47C2A859" w14:textId="01C405D9" w:rsidR="00E16D0F" w:rsidRDefault="000F38B2">
            <w:pPr>
              <w:widowControl w:val="0"/>
              <w:spacing w:line="240" w:lineRule="auto"/>
              <w:contextualSpacing w:val="0"/>
            </w:pPr>
            <w:r>
              <w:t xml:space="preserve">This can be accomplished using various software, e.g., </w:t>
            </w:r>
            <w:r w:rsidR="00AF3E6E">
              <w:t xml:space="preserve">Microsoft </w:t>
            </w:r>
            <w:r>
              <w:t>Word mail merge, Symbiota, Specify, or institutional database software.</w:t>
            </w:r>
          </w:p>
          <w:p w14:paraId="11C14C1B" w14:textId="77777777" w:rsidR="00E16D0F" w:rsidRDefault="00E16D0F">
            <w:pPr>
              <w:widowControl w:val="0"/>
              <w:spacing w:line="240" w:lineRule="auto"/>
              <w:contextualSpacing w:val="0"/>
            </w:pPr>
          </w:p>
          <w:p w14:paraId="3F915F42" w14:textId="77777777" w:rsidR="00E16D0F" w:rsidRDefault="000F38B2">
            <w:pPr>
              <w:widowControl w:val="0"/>
              <w:spacing w:line="240" w:lineRule="auto"/>
              <w:contextualSpacing w:val="0"/>
            </w:pPr>
            <w:r>
              <w:t>Depending on the specific workflow, this step may occur between steps T6 and T7 using a mail merge on an Excel spreadsheet.</w:t>
            </w:r>
          </w:p>
        </w:tc>
        <w:tc>
          <w:tcPr>
            <w:tcW w:w="2815" w:type="dxa"/>
            <w:tcMar>
              <w:top w:w="100" w:type="dxa"/>
              <w:left w:w="100" w:type="dxa"/>
              <w:bottom w:w="100" w:type="dxa"/>
              <w:right w:w="100" w:type="dxa"/>
            </w:tcMar>
          </w:tcPr>
          <w:p w14:paraId="47002A56" w14:textId="04470635" w:rsidR="00E16D0F" w:rsidRDefault="000F38B2" w:rsidP="00AF3E6E">
            <w:pPr>
              <w:widowControl w:val="0"/>
              <w:spacing w:line="240" w:lineRule="auto"/>
              <w:contextualSpacing w:val="0"/>
            </w:pPr>
            <w:r>
              <w:t xml:space="preserve">See: Creating labels in </w:t>
            </w:r>
            <w:r w:rsidR="00AF3E6E">
              <w:t xml:space="preserve">Microsoft Word </w:t>
            </w:r>
            <w:r>
              <w:t xml:space="preserve">using mail merge from data in Excel spreadsheet: </w:t>
            </w:r>
            <w:hyperlink r:id="rId16">
              <w:r>
                <w:rPr>
                  <w:color w:val="1155CC"/>
                  <w:u w:val="single"/>
                </w:rPr>
                <w:t>http://ww2.valdosta.edu/~rcarter/HERB/Two%20birds%20with%20one%20stone.pdf</w:t>
              </w:r>
            </w:hyperlink>
            <w:r>
              <w:t>.</w:t>
            </w:r>
          </w:p>
        </w:tc>
      </w:tr>
      <w:tr w:rsidR="00E16D0F" w14:paraId="3D59B86A" w14:textId="77777777" w:rsidTr="00C53801">
        <w:tc>
          <w:tcPr>
            <w:tcW w:w="725" w:type="dxa"/>
            <w:tcMar>
              <w:top w:w="100" w:type="dxa"/>
              <w:left w:w="100" w:type="dxa"/>
              <w:bottom w:w="100" w:type="dxa"/>
              <w:right w:w="100" w:type="dxa"/>
            </w:tcMar>
          </w:tcPr>
          <w:p w14:paraId="7B4CA6C5" w14:textId="77777777" w:rsidR="00E16D0F" w:rsidRDefault="000F38B2">
            <w:pPr>
              <w:widowControl w:val="0"/>
              <w:spacing w:line="240" w:lineRule="auto"/>
              <w:contextualSpacing w:val="0"/>
            </w:pPr>
            <w:r>
              <w:rPr>
                <w:b/>
              </w:rPr>
              <w:t>T9</w:t>
            </w:r>
          </w:p>
        </w:tc>
        <w:tc>
          <w:tcPr>
            <w:tcW w:w="1980" w:type="dxa"/>
            <w:tcMar>
              <w:top w:w="100" w:type="dxa"/>
              <w:left w:w="100" w:type="dxa"/>
              <w:bottom w:w="100" w:type="dxa"/>
              <w:right w:w="100" w:type="dxa"/>
            </w:tcMar>
          </w:tcPr>
          <w:p w14:paraId="46A6CAED" w14:textId="77777777" w:rsidR="00E16D0F" w:rsidRDefault="000F38B2">
            <w:pPr>
              <w:widowControl w:val="0"/>
              <w:spacing w:line="240" w:lineRule="auto"/>
              <w:contextualSpacing w:val="0"/>
            </w:pPr>
            <w:r>
              <w:t>Record permit information, if available.</w:t>
            </w:r>
          </w:p>
        </w:tc>
        <w:tc>
          <w:tcPr>
            <w:tcW w:w="4140" w:type="dxa"/>
            <w:tcMar>
              <w:top w:w="100" w:type="dxa"/>
              <w:left w:w="100" w:type="dxa"/>
              <w:bottom w:w="100" w:type="dxa"/>
              <w:right w:w="100" w:type="dxa"/>
            </w:tcMar>
          </w:tcPr>
          <w:p w14:paraId="07C3CD94" w14:textId="77777777" w:rsidR="00E16D0F" w:rsidRDefault="000F38B2">
            <w:pPr>
              <w:widowControl w:val="0"/>
              <w:spacing w:line="240" w:lineRule="auto"/>
              <w:contextualSpacing w:val="0"/>
            </w:pPr>
            <w:r>
              <w:t>In situations where a collecting permit has been obtained, permit data might also be captured at this stage. Follow institutional policies and procedures. A reference or link to permit information may also be stored with each specimen record in the database and/or printed on the specimen label.</w:t>
            </w:r>
          </w:p>
        </w:tc>
        <w:tc>
          <w:tcPr>
            <w:tcW w:w="2815" w:type="dxa"/>
            <w:tcMar>
              <w:top w:w="100" w:type="dxa"/>
              <w:left w:w="100" w:type="dxa"/>
              <w:bottom w:w="100" w:type="dxa"/>
              <w:right w:w="100" w:type="dxa"/>
            </w:tcMar>
          </w:tcPr>
          <w:p w14:paraId="7DB25452" w14:textId="77777777" w:rsidR="00E16D0F" w:rsidRDefault="00E16D0F">
            <w:pPr>
              <w:widowControl w:val="0"/>
              <w:spacing w:line="240" w:lineRule="auto"/>
              <w:contextualSpacing w:val="0"/>
            </w:pPr>
          </w:p>
        </w:tc>
      </w:tr>
    </w:tbl>
    <w:p w14:paraId="36048044" w14:textId="77777777" w:rsidR="00E16D0F" w:rsidRDefault="00E16D0F"/>
    <w:p w14:paraId="65B98EA9" w14:textId="77777777" w:rsidR="00E16D0F" w:rsidRDefault="00E16D0F"/>
    <w:p w14:paraId="1AA2E10F" w14:textId="33C5DAE6" w:rsidR="00E16D0F" w:rsidRDefault="00AF3E6E">
      <w:r>
        <w:t>Literature Cited</w:t>
      </w:r>
    </w:p>
    <w:p w14:paraId="75A0B2FE" w14:textId="77777777" w:rsidR="006A704B" w:rsidRDefault="006A704B"/>
    <w:p w14:paraId="30FFC378" w14:textId="486B7382" w:rsidR="006A704B" w:rsidRDefault="006A704B">
      <w:r>
        <w:t>Baskauf, S.</w:t>
      </w:r>
      <w:r w:rsidR="00AF3E6E">
        <w:t xml:space="preserve"> </w:t>
      </w:r>
      <w:r>
        <w:t xml:space="preserve">J., </w:t>
      </w:r>
      <w:r w:rsidR="00AF3E6E">
        <w:t xml:space="preserve">and </w:t>
      </w:r>
      <w:r>
        <w:t xml:space="preserve">B. K. Kirchoff. 2008. Digital plant images as specimens: toward standards for photographing living plants. </w:t>
      </w:r>
      <w:r w:rsidRPr="003F049C">
        <w:rPr>
          <w:i/>
        </w:rPr>
        <w:t>Vulpia</w:t>
      </w:r>
      <w:r>
        <w:t xml:space="preserve"> 7: 16</w:t>
      </w:r>
      <w:r w:rsidR="00AF3E6E">
        <w:t>–</w:t>
      </w:r>
      <w:r>
        <w:t xml:space="preserve">30. </w:t>
      </w:r>
      <w:hyperlink r:id="rId17">
        <w:r>
          <w:rPr>
            <w:color w:val="1155CC"/>
            <w:u w:val="single"/>
          </w:rPr>
          <w:t>http://www.cals.ncsu.edu/plantbiology/ncsc/vulpia/pdf/Baskauf_%26_Kirchoff_Digital_Plant_Images.pdf</w:t>
        </w:r>
      </w:hyperlink>
      <w:r>
        <w:t>.</w:t>
      </w:r>
    </w:p>
    <w:p w14:paraId="5EFA9C8C" w14:textId="77777777" w:rsidR="00E16D0F" w:rsidRDefault="00E16D0F"/>
    <w:sectPr w:rsidR="00E16D0F">
      <w:headerReference w:type="even" r:id="rId18"/>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1B39A" w14:textId="77777777" w:rsidR="00AF3E6E" w:rsidRDefault="00AF3E6E" w:rsidP="00AF3E6E">
      <w:pPr>
        <w:spacing w:line="240" w:lineRule="auto"/>
      </w:pPr>
      <w:r>
        <w:separator/>
      </w:r>
    </w:p>
  </w:endnote>
  <w:endnote w:type="continuationSeparator" w:id="0">
    <w:p w14:paraId="553B5FD0" w14:textId="77777777" w:rsidR="00AF3E6E" w:rsidRDefault="00AF3E6E" w:rsidP="00AF3E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48B6A" w14:textId="77777777" w:rsidR="00AF3E6E" w:rsidRDefault="00AF3E6E" w:rsidP="00AF3E6E">
      <w:pPr>
        <w:spacing w:line="240" w:lineRule="auto"/>
      </w:pPr>
      <w:r>
        <w:separator/>
      </w:r>
    </w:p>
  </w:footnote>
  <w:footnote w:type="continuationSeparator" w:id="0">
    <w:p w14:paraId="2013E6C9" w14:textId="77777777" w:rsidR="00AF3E6E" w:rsidRDefault="00AF3E6E" w:rsidP="00AF3E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61A17" w14:textId="77777777" w:rsidR="00AF3E6E" w:rsidRDefault="00AF5378">
    <w:pPr>
      <w:pStyle w:val="Header"/>
    </w:pPr>
    <w:sdt>
      <w:sdtPr>
        <w:id w:val="171999623"/>
        <w:placeholder>
          <w:docPart w:val="74285341E9BC3041838C987BBDAD5976"/>
        </w:placeholder>
        <w:temporary/>
        <w:showingPlcHdr/>
      </w:sdtPr>
      <w:sdtEndPr/>
      <w:sdtContent>
        <w:r w:rsidR="00AF3E6E">
          <w:t>[Type text]</w:t>
        </w:r>
      </w:sdtContent>
    </w:sdt>
    <w:r w:rsidR="00AF3E6E">
      <w:ptab w:relativeTo="margin" w:alignment="center" w:leader="none"/>
    </w:r>
    <w:sdt>
      <w:sdtPr>
        <w:id w:val="171999624"/>
        <w:placeholder>
          <w:docPart w:val="51F993A84C54404DA39643F07AD32A75"/>
        </w:placeholder>
        <w:temporary/>
        <w:showingPlcHdr/>
      </w:sdtPr>
      <w:sdtEndPr/>
      <w:sdtContent>
        <w:r w:rsidR="00AF3E6E">
          <w:t>[Type text]</w:t>
        </w:r>
      </w:sdtContent>
    </w:sdt>
    <w:r w:rsidR="00AF3E6E">
      <w:ptab w:relativeTo="margin" w:alignment="right" w:leader="none"/>
    </w:r>
    <w:sdt>
      <w:sdtPr>
        <w:id w:val="171999625"/>
        <w:placeholder>
          <w:docPart w:val="2E4EFF708AB9624BB171E9A33678F3CD"/>
        </w:placeholder>
        <w:temporary/>
        <w:showingPlcHdr/>
      </w:sdtPr>
      <w:sdtEndPr/>
      <w:sdtContent>
        <w:r w:rsidR="00AF3E6E">
          <w:t>[Type text]</w:t>
        </w:r>
      </w:sdtContent>
    </w:sdt>
  </w:p>
  <w:p w14:paraId="0783AC11" w14:textId="77777777" w:rsidR="00AF3E6E" w:rsidRDefault="00AF3E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DB298" w14:textId="77777777" w:rsidR="00AF3E6E" w:rsidRPr="00C75D77" w:rsidRDefault="00AF3E6E" w:rsidP="00AF3E6E">
    <w:pPr>
      <w:pStyle w:val="Header"/>
      <w:ind w:right="360"/>
    </w:pPr>
    <w:r>
      <w:t>Nelson</w:t>
    </w:r>
    <w:r w:rsidRPr="0029453B">
      <w:t xml:space="preserve"> et al.—App</w:t>
    </w:r>
    <w:r>
      <w:t>lications in Plant Sciences 2015</w:t>
    </w:r>
    <w:r w:rsidRPr="0029453B">
      <w:t xml:space="preserve"> </w:t>
    </w:r>
    <w:r>
      <w:t>3(9): 1500065</w:t>
    </w:r>
    <w:r w:rsidRPr="0029453B">
      <w:t>—Data Supplement S</w:t>
    </w:r>
    <w:r>
      <w:t>14</w:t>
    </w:r>
    <w:r w:rsidRPr="0029453B">
      <w:t xml:space="preserve">—Page </w:t>
    </w:r>
    <w:r w:rsidRPr="0029453B">
      <w:rPr>
        <w:rStyle w:val="PageNumber"/>
      </w:rPr>
      <w:fldChar w:fldCharType="begin"/>
    </w:r>
    <w:r w:rsidRPr="0029453B">
      <w:rPr>
        <w:rStyle w:val="PageNumber"/>
      </w:rPr>
      <w:instrText xml:space="preserve"> PAGE </w:instrText>
    </w:r>
    <w:r w:rsidRPr="0029453B">
      <w:rPr>
        <w:rStyle w:val="PageNumber"/>
      </w:rPr>
      <w:fldChar w:fldCharType="separate"/>
    </w:r>
    <w:r w:rsidR="00AF5378">
      <w:rPr>
        <w:rStyle w:val="PageNumber"/>
        <w:noProof/>
      </w:rPr>
      <w:t>1</w:t>
    </w:r>
    <w:r w:rsidRPr="0029453B">
      <w:rPr>
        <w:rStyle w:val="PageNumber"/>
      </w:rPr>
      <w:fldChar w:fldCharType="end"/>
    </w:r>
  </w:p>
  <w:p w14:paraId="65693181" w14:textId="77777777" w:rsidR="00AF3E6E" w:rsidRDefault="00AF3E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44CF"/>
    <w:multiLevelType w:val="multilevel"/>
    <w:tmpl w:val="E08C1E2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16696E92"/>
    <w:multiLevelType w:val="multilevel"/>
    <w:tmpl w:val="3D762DB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16F039C9"/>
    <w:multiLevelType w:val="multilevel"/>
    <w:tmpl w:val="4106DBF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19950EF1"/>
    <w:multiLevelType w:val="multilevel"/>
    <w:tmpl w:val="A978077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4B012435"/>
    <w:multiLevelType w:val="multilevel"/>
    <w:tmpl w:val="A06AAE8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6D0F"/>
    <w:rsid w:val="000F38B2"/>
    <w:rsid w:val="003411C4"/>
    <w:rsid w:val="003F049C"/>
    <w:rsid w:val="004026B4"/>
    <w:rsid w:val="006A704B"/>
    <w:rsid w:val="008516D8"/>
    <w:rsid w:val="008A1441"/>
    <w:rsid w:val="00AF3E6E"/>
    <w:rsid w:val="00AF5378"/>
    <w:rsid w:val="00C15FBF"/>
    <w:rsid w:val="00C53801"/>
    <w:rsid w:val="00C90EEB"/>
    <w:rsid w:val="00E16D0F"/>
    <w:rsid w:val="00FB1CF7"/>
    <w:rsid w:val="00FD4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EBE1E"/>
  <w15:docId w15:val="{6E2FF8FD-A9C1-47B5-B232-638E7FBA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8A14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441"/>
    <w:rPr>
      <w:rFonts w:ascii="Segoe UI" w:hAnsi="Segoe UI" w:cs="Segoe UI"/>
      <w:sz w:val="18"/>
      <w:szCs w:val="18"/>
    </w:rPr>
  </w:style>
  <w:style w:type="character" w:styleId="Hyperlink">
    <w:name w:val="Hyperlink"/>
    <w:basedOn w:val="DefaultParagraphFont"/>
    <w:uiPriority w:val="99"/>
    <w:unhideWhenUsed/>
    <w:rsid w:val="008516D8"/>
    <w:rPr>
      <w:color w:val="0563C1" w:themeColor="hyperlink"/>
      <w:u w:val="single"/>
    </w:rPr>
  </w:style>
  <w:style w:type="paragraph" w:styleId="Header">
    <w:name w:val="header"/>
    <w:basedOn w:val="Normal"/>
    <w:link w:val="HeaderChar"/>
    <w:uiPriority w:val="99"/>
    <w:unhideWhenUsed/>
    <w:rsid w:val="00AF3E6E"/>
    <w:pPr>
      <w:tabs>
        <w:tab w:val="center" w:pos="4320"/>
        <w:tab w:val="right" w:pos="8640"/>
      </w:tabs>
      <w:spacing w:line="240" w:lineRule="auto"/>
    </w:pPr>
  </w:style>
  <w:style w:type="character" w:customStyle="1" w:styleId="HeaderChar">
    <w:name w:val="Header Char"/>
    <w:basedOn w:val="DefaultParagraphFont"/>
    <w:link w:val="Header"/>
    <w:uiPriority w:val="99"/>
    <w:rsid w:val="00AF3E6E"/>
  </w:style>
  <w:style w:type="paragraph" w:styleId="Footer">
    <w:name w:val="footer"/>
    <w:basedOn w:val="Normal"/>
    <w:link w:val="FooterChar"/>
    <w:uiPriority w:val="99"/>
    <w:unhideWhenUsed/>
    <w:rsid w:val="00AF3E6E"/>
    <w:pPr>
      <w:tabs>
        <w:tab w:val="center" w:pos="4320"/>
        <w:tab w:val="right" w:pos="8640"/>
      </w:tabs>
      <w:spacing w:line="240" w:lineRule="auto"/>
    </w:pPr>
  </w:style>
  <w:style w:type="character" w:customStyle="1" w:styleId="FooterChar">
    <w:name w:val="Footer Char"/>
    <w:basedOn w:val="DefaultParagraphFont"/>
    <w:link w:val="Footer"/>
    <w:uiPriority w:val="99"/>
    <w:rsid w:val="00AF3E6E"/>
  </w:style>
  <w:style w:type="character" w:styleId="PageNumber">
    <w:name w:val="page number"/>
    <w:basedOn w:val="DefaultParagraphFont"/>
    <w:uiPriority w:val="99"/>
    <w:semiHidden/>
    <w:unhideWhenUsed/>
    <w:rsid w:val="00AF3E6E"/>
  </w:style>
  <w:style w:type="character" w:styleId="FollowedHyperlink">
    <w:name w:val="FollowedHyperlink"/>
    <w:basedOn w:val="DefaultParagraphFont"/>
    <w:uiPriority w:val="99"/>
    <w:semiHidden/>
    <w:unhideWhenUsed/>
    <w:rsid w:val="00AF5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68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gBioWorkflows/FlatSheetsDigitizationWorkflows" TargetMode="External"/><Relationship Id="rId13" Type="http://schemas.openxmlformats.org/officeDocument/2006/relationships/hyperlink" Target="http://www.dnabarcodingassistant.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idigbio.org/sites/default/files/workshop-presentations/ttt2/GoodBadLocalities.doc" TargetMode="External"/><Relationship Id="rId17" Type="http://schemas.openxmlformats.org/officeDocument/2006/relationships/hyperlink" Target="http://www.cals.ncsu.edu/plantbiology/ncsc/vulpia/pdf/Baskauf_%26_Kirchoff_Digital_Plant_Images.pdf" TargetMode="External"/><Relationship Id="rId2" Type="http://schemas.openxmlformats.org/officeDocument/2006/relationships/numbering" Target="numbering.xml"/><Relationship Id="rId16" Type="http://schemas.openxmlformats.org/officeDocument/2006/relationships/hyperlink" Target="http://ww2.valdosta.edu/~rcarter/HERB/Two%20birds%20with%20one%20ston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dwg.org/standards/450/" TargetMode="External"/><Relationship Id="rId5" Type="http://schemas.openxmlformats.org/officeDocument/2006/relationships/webSettings" Target="webSettings.xml"/><Relationship Id="rId15" Type="http://schemas.openxmlformats.org/officeDocument/2006/relationships/hyperlink" Target="http://www.cals.ncsu.edu/plantbiology/ncsc/vulpia/pdf/Baskauf_%26_Kirchoff_Digital_Plant_Images.pdf" TargetMode="External"/><Relationship Id="rId10" Type="http://schemas.openxmlformats.org/officeDocument/2006/relationships/hyperlink" Target="http://collectionseducation.org/field-notebook/"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idigbio.org/content/workflow-modules-and-task-lists" TargetMode="External"/><Relationship Id="rId14" Type="http://schemas.openxmlformats.org/officeDocument/2006/relationships/hyperlink" Target="http://brunalab.org/app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285341E9BC3041838C987BBDAD5976"/>
        <w:category>
          <w:name w:val="General"/>
          <w:gallery w:val="placeholder"/>
        </w:category>
        <w:types>
          <w:type w:val="bbPlcHdr"/>
        </w:types>
        <w:behaviors>
          <w:behavior w:val="content"/>
        </w:behaviors>
        <w:guid w:val="{14C98B96-3C16-6C41-81C5-E99451FCDAAD}"/>
      </w:docPartPr>
      <w:docPartBody>
        <w:p w:rsidR="00C00A1E" w:rsidRDefault="00B2362E" w:rsidP="00B2362E">
          <w:pPr>
            <w:pStyle w:val="74285341E9BC3041838C987BBDAD5976"/>
          </w:pPr>
          <w:r>
            <w:t>[Type text]</w:t>
          </w:r>
        </w:p>
      </w:docPartBody>
    </w:docPart>
    <w:docPart>
      <w:docPartPr>
        <w:name w:val="51F993A84C54404DA39643F07AD32A75"/>
        <w:category>
          <w:name w:val="General"/>
          <w:gallery w:val="placeholder"/>
        </w:category>
        <w:types>
          <w:type w:val="bbPlcHdr"/>
        </w:types>
        <w:behaviors>
          <w:behavior w:val="content"/>
        </w:behaviors>
        <w:guid w:val="{EE130D92-991F-DB47-B588-E10D575313B3}"/>
      </w:docPartPr>
      <w:docPartBody>
        <w:p w:rsidR="00C00A1E" w:rsidRDefault="00B2362E" w:rsidP="00B2362E">
          <w:pPr>
            <w:pStyle w:val="51F993A84C54404DA39643F07AD32A75"/>
          </w:pPr>
          <w:r>
            <w:t>[Type text]</w:t>
          </w:r>
        </w:p>
      </w:docPartBody>
    </w:docPart>
    <w:docPart>
      <w:docPartPr>
        <w:name w:val="2E4EFF708AB9624BB171E9A33678F3CD"/>
        <w:category>
          <w:name w:val="General"/>
          <w:gallery w:val="placeholder"/>
        </w:category>
        <w:types>
          <w:type w:val="bbPlcHdr"/>
        </w:types>
        <w:behaviors>
          <w:behavior w:val="content"/>
        </w:behaviors>
        <w:guid w:val="{279CFFA9-AFEF-344A-B43F-37C547AD9567}"/>
      </w:docPartPr>
      <w:docPartBody>
        <w:p w:rsidR="00C00A1E" w:rsidRDefault="00B2362E" w:rsidP="00B2362E">
          <w:pPr>
            <w:pStyle w:val="2E4EFF708AB9624BB171E9A33678F3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2E"/>
    <w:rsid w:val="00B2362E"/>
    <w:rsid w:val="00C00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85341E9BC3041838C987BBDAD5976">
    <w:name w:val="74285341E9BC3041838C987BBDAD5976"/>
    <w:rsid w:val="00B2362E"/>
  </w:style>
  <w:style w:type="paragraph" w:customStyle="1" w:styleId="51F993A84C54404DA39643F07AD32A75">
    <w:name w:val="51F993A84C54404DA39643F07AD32A75"/>
    <w:rsid w:val="00B2362E"/>
  </w:style>
  <w:style w:type="paragraph" w:customStyle="1" w:styleId="2E4EFF708AB9624BB171E9A33678F3CD">
    <w:name w:val="2E4EFF708AB9624BB171E9A33678F3CD"/>
    <w:rsid w:val="00B2362E"/>
  </w:style>
  <w:style w:type="paragraph" w:customStyle="1" w:styleId="002521007444A444970D9B0FDD2FE40F">
    <w:name w:val="002521007444A444970D9B0FDD2FE40F"/>
    <w:rsid w:val="00B2362E"/>
  </w:style>
  <w:style w:type="paragraph" w:customStyle="1" w:styleId="BA8530FB1BD8A64E8C46AB558D9F67EC">
    <w:name w:val="BA8530FB1BD8A64E8C46AB558D9F67EC"/>
    <w:rsid w:val="00B2362E"/>
  </w:style>
  <w:style w:type="paragraph" w:customStyle="1" w:styleId="1C5E091F8100514CAE743C59F6F17C17">
    <w:name w:val="1C5E091F8100514CAE743C59F6F17C17"/>
    <w:rsid w:val="00B23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8BF5A-D37D-4FD7-B736-8718C6F1C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Gil Nelson</cp:lastModifiedBy>
  <cp:revision>14</cp:revision>
  <dcterms:created xsi:type="dcterms:W3CDTF">2015-04-10T03:25:00Z</dcterms:created>
  <dcterms:modified xsi:type="dcterms:W3CDTF">2015-08-31T13:15:00Z</dcterms:modified>
</cp:coreProperties>
</file>