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97F8484" w14:textId="5A6D6930" w:rsidR="00C205C6" w:rsidRPr="00C205C6" w:rsidRDefault="00C205C6">
      <w:pPr>
        <w:rPr>
          <w:rFonts w:ascii="Arial" w:eastAsia="Arial" w:hAnsi="Arial" w:cs="Arial"/>
          <w:sz w:val="22"/>
          <w:szCs w:val="22"/>
        </w:rPr>
      </w:pPr>
      <w:r>
        <w:rPr>
          <w:color w:val="auto"/>
        </w:rPr>
        <w:t xml:space="preserve">This workflow was developed at an iDigBio workshop in January 2015. The most recent version is available at </w:t>
      </w:r>
      <w:hyperlink r:id="rId8" w:history="1">
        <w:r w:rsidR="00EC2A8B" w:rsidRPr="00EC2A8B">
          <w:rPr>
            <w:rStyle w:val="Hyperlink"/>
          </w:rPr>
          <w:t>https://github.com/iDigBioWorkflows/FlatSheetsDigitiz</w:t>
        </w:r>
        <w:r w:rsidR="00EC2A8B" w:rsidRPr="00EC2A8B">
          <w:rPr>
            <w:rStyle w:val="Hyperlink"/>
          </w:rPr>
          <w:t>a</w:t>
        </w:r>
        <w:r w:rsidR="00EC2A8B" w:rsidRPr="00EC2A8B">
          <w:rPr>
            <w:rStyle w:val="Hyperlink"/>
          </w:rPr>
          <w:t>tion</w:t>
        </w:r>
        <w:bookmarkStart w:id="0" w:name="_GoBack"/>
        <w:bookmarkEnd w:id="0"/>
        <w:r w:rsidR="00EC2A8B" w:rsidRPr="00EC2A8B">
          <w:rPr>
            <w:rStyle w:val="Hyperlink"/>
          </w:rPr>
          <w:t>W</w:t>
        </w:r>
        <w:r w:rsidR="00EC2A8B" w:rsidRPr="00EC2A8B">
          <w:rPr>
            <w:rStyle w:val="Hyperlink"/>
          </w:rPr>
          <w:t>orkflows</w:t>
        </w:r>
      </w:hyperlink>
      <w:r>
        <w:rPr>
          <w:color w:val="auto"/>
        </w:rPr>
        <w:t xml:space="preserve"> and </w:t>
      </w:r>
      <w:hyperlink r:id="rId9" w:tgtFrame="_blank" w:history="1">
        <w:r>
          <w:rPr>
            <w:rStyle w:val="Hyperlink"/>
          </w:rPr>
          <w:t>https://www.idigbio.org/content/workflow-modules-and-task-lists</w:t>
        </w:r>
      </w:hyperlink>
      <w:r>
        <w:rPr>
          <w:color w:val="auto"/>
        </w:rPr>
        <w:t>.</w:t>
      </w:r>
    </w:p>
    <w:p w14:paraId="3C0B94F8" w14:textId="77777777" w:rsidR="00C205C6" w:rsidRDefault="00C205C6">
      <w:pPr>
        <w:rPr>
          <w:rFonts w:ascii="Arial" w:eastAsia="Arial" w:hAnsi="Arial" w:cs="Arial"/>
          <w:b/>
        </w:rPr>
      </w:pPr>
    </w:p>
    <w:p w14:paraId="78C38C78" w14:textId="12A0A860" w:rsidR="00634C23" w:rsidRDefault="007A2518">
      <w:r>
        <w:rPr>
          <w:rFonts w:ascii="Arial" w:eastAsia="Arial" w:hAnsi="Arial" w:cs="Arial"/>
          <w:b/>
        </w:rPr>
        <w:t xml:space="preserve">Appendix S1. </w:t>
      </w:r>
      <w:r w:rsidR="00C702E0">
        <w:rPr>
          <w:rFonts w:ascii="Arial" w:eastAsia="Arial" w:hAnsi="Arial" w:cs="Arial"/>
          <w:b/>
        </w:rPr>
        <w:t xml:space="preserve">Module 1: Pre-digitization </w:t>
      </w:r>
      <w:r w:rsidR="00FC495B">
        <w:rPr>
          <w:rFonts w:ascii="Arial" w:eastAsia="Arial" w:hAnsi="Arial" w:cs="Arial"/>
          <w:b/>
        </w:rPr>
        <w:t>C</w:t>
      </w:r>
      <w:r w:rsidR="00C702E0">
        <w:rPr>
          <w:rFonts w:ascii="Arial" w:eastAsia="Arial" w:hAnsi="Arial" w:cs="Arial"/>
          <w:b/>
        </w:rPr>
        <w:t>uration</w:t>
      </w:r>
    </w:p>
    <w:p w14:paraId="00F0D8A0" w14:textId="77777777" w:rsidR="00634C23" w:rsidRDefault="00634C23"/>
    <w:tbl>
      <w:tblPr>
        <w:tblStyle w:val="a"/>
        <w:tblW w:w="9660" w:type="dxa"/>
        <w:tblInd w:w="-2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720"/>
        <w:gridCol w:w="2115"/>
        <w:gridCol w:w="4018"/>
        <w:gridCol w:w="2807"/>
      </w:tblGrid>
      <w:tr w:rsidR="00634C23" w14:paraId="5C5499D3" w14:textId="77777777" w:rsidTr="222C6A58">
        <w:trPr>
          <w:cnfStyle w:val="000000100000" w:firstRow="0" w:lastRow="0" w:firstColumn="0" w:lastColumn="0" w:oddVBand="0" w:evenVBand="0" w:oddHBand="1" w:evenHBand="0" w:firstRowFirstColumn="0" w:firstRowLastColumn="0" w:lastRowFirstColumn="0" w:lastRowLastColumn="0"/>
        </w:trPr>
        <w:tc>
          <w:tcPr>
            <w:tcW w:w="720" w:type="dxa"/>
            <w:tcMar>
              <w:top w:w="105" w:type="dxa"/>
              <w:left w:w="105" w:type="dxa"/>
              <w:bottom w:w="105" w:type="dxa"/>
              <w:right w:w="105" w:type="dxa"/>
            </w:tcMar>
          </w:tcPr>
          <w:p w14:paraId="32B31D82" w14:textId="77777777" w:rsidR="00634C23" w:rsidRDefault="00C702E0" w:rsidP="00407F4D">
            <w:pPr>
              <w:contextualSpacing w:val="0"/>
              <w:jc w:val="center"/>
            </w:pPr>
            <w:r>
              <w:rPr>
                <w:rFonts w:ascii="Arial" w:eastAsia="Arial" w:hAnsi="Arial" w:cs="Arial"/>
                <w:b/>
                <w:sz w:val="22"/>
              </w:rPr>
              <w:t>Task ID</w:t>
            </w:r>
          </w:p>
        </w:tc>
        <w:tc>
          <w:tcPr>
            <w:tcW w:w="2115" w:type="dxa"/>
            <w:tcMar>
              <w:top w:w="105" w:type="dxa"/>
              <w:left w:w="105" w:type="dxa"/>
              <w:bottom w:w="105" w:type="dxa"/>
              <w:right w:w="105" w:type="dxa"/>
            </w:tcMar>
          </w:tcPr>
          <w:p w14:paraId="1C7FE497" w14:textId="77777777" w:rsidR="00634C23" w:rsidRDefault="00C702E0">
            <w:pPr>
              <w:contextualSpacing w:val="0"/>
            </w:pPr>
            <w:r>
              <w:rPr>
                <w:rFonts w:ascii="Arial" w:eastAsia="Arial" w:hAnsi="Arial" w:cs="Arial"/>
                <w:b/>
                <w:sz w:val="22"/>
              </w:rPr>
              <w:t>Task Description</w:t>
            </w:r>
          </w:p>
        </w:tc>
        <w:tc>
          <w:tcPr>
            <w:tcW w:w="4018" w:type="dxa"/>
            <w:tcMar>
              <w:top w:w="105" w:type="dxa"/>
              <w:left w:w="105" w:type="dxa"/>
              <w:bottom w:w="105" w:type="dxa"/>
              <w:right w:w="105" w:type="dxa"/>
            </w:tcMar>
          </w:tcPr>
          <w:p w14:paraId="71712418" w14:textId="77777777" w:rsidR="00634C23" w:rsidRDefault="00C702E0">
            <w:pPr>
              <w:contextualSpacing w:val="0"/>
            </w:pPr>
            <w:r>
              <w:rPr>
                <w:rFonts w:ascii="Arial" w:eastAsia="Arial" w:hAnsi="Arial" w:cs="Arial"/>
                <w:b/>
                <w:sz w:val="22"/>
              </w:rPr>
              <w:t>Explanations and Comments</w:t>
            </w:r>
          </w:p>
        </w:tc>
        <w:tc>
          <w:tcPr>
            <w:tcW w:w="2807" w:type="dxa"/>
            <w:tcMar>
              <w:top w:w="105" w:type="dxa"/>
              <w:left w:w="105" w:type="dxa"/>
              <w:bottom w:w="105" w:type="dxa"/>
              <w:right w:w="105" w:type="dxa"/>
            </w:tcMar>
          </w:tcPr>
          <w:p w14:paraId="1C82ADDC" w14:textId="77777777" w:rsidR="00634C23" w:rsidRDefault="00C702E0">
            <w:pPr>
              <w:contextualSpacing w:val="0"/>
            </w:pPr>
            <w:r>
              <w:rPr>
                <w:rFonts w:ascii="Arial" w:eastAsia="Arial" w:hAnsi="Arial" w:cs="Arial"/>
                <w:b/>
                <w:sz w:val="22"/>
              </w:rPr>
              <w:t>Resources</w:t>
            </w:r>
          </w:p>
        </w:tc>
      </w:tr>
      <w:tr w:rsidR="00634C23" w14:paraId="2E682EAE" w14:textId="77777777" w:rsidTr="222C6A58">
        <w:trPr>
          <w:cnfStyle w:val="000000010000" w:firstRow="0" w:lastRow="0" w:firstColumn="0" w:lastColumn="0" w:oddVBand="0" w:evenVBand="0" w:oddHBand="0" w:evenHBand="1" w:firstRowFirstColumn="0" w:firstRowLastColumn="0" w:lastRowFirstColumn="0" w:lastRowLastColumn="0"/>
        </w:trPr>
        <w:tc>
          <w:tcPr>
            <w:tcW w:w="7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05" w:type="dxa"/>
              <w:left w:w="105" w:type="dxa"/>
              <w:bottom w:w="105" w:type="dxa"/>
              <w:right w:w="105" w:type="dxa"/>
            </w:tcMar>
          </w:tcPr>
          <w:p w14:paraId="349E29BE" w14:textId="77777777" w:rsidR="00634C23" w:rsidRDefault="00C702E0">
            <w:pPr>
              <w:contextualSpacing w:val="0"/>
            </w:pPr>
            <w:r>
              <w:rPr>
                <w:rFonts w:ascii="Arial" w:eastAsia="Arial" w:hAnsi="Arial" w:cs="Arial"/>
                <w:b/>
                <w:sz w:val="22"/>
              </w:rPr>
              <w:t>T1</w:t>
            </w:r>
          </w:p>
        </w:tc>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05" w:type="dxa"/>
              <w:left w:w="105" w:type="dxa"/>
              <w:bottom w:w="105" w:type="dxa"/>
              <w:right w:w="105" w:type="dxa"/>
            </w:tcMar>
          </w:tcPr>
          <w:p w14:paraId="32B41BB1" w14:textId="77777777" w:rsidR="00634C23" w:rsidRDefault="00C702E0">
            <w:pPr>
              <w:contextualSpacing w:val="0"/>
            </w:pPr>
            <w:r>
              <w:rPr>
                <w:rFonts w:ascii="Arial" w:eastAsia="Arial" w:hAnsi="Arial" w:cs="Arial"/>
                <w:sz w:val="22"/>
              </w:rPr>
              <w:t>Select specimens to digitize.</w:t>
            </w:r>
          </w:p>
        </w:tc>
        <w:tc>
          <w:tcPr>
            <w:tcW w:w="401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05" w:type="dxa"/>
              <w:left w:w="105" w:type="dxa"/>
              <w:bottom w:w="105" w:type="dxa"/>
              <w:right w:w="105" w:type="dxa"/>
            </w:tcMar>
          </w:tcPr>
          <w:p w14:paraId="42971B95" w14:textId="2BD66F3B" w:rsidR="00634C23" w:rsidRDefault="00C702E0">
            <w:pPr>
              <w:contextualSpacing w:val="0"/>
            </w:pPr>
            <w:r>
              <w:rPr>
                <w:rFonts w:ascii="Arial" w:eastAsia="Arial" w:hAnsi="Arial" w:cs="Arial"/>
                <w:sz w:val="22"/>
              </w:rPr>
              <w:t>For herbaria, this may include all specimens.</w:t>
            </w:r>
            <w:r w:rsidR="00F87E71">
              <w:rPr>
                <w:rFonts w:ascii="Arial" w:eastAsia="Arial" w:hAnsi="Arial" w:cs="Arial"/>
                <w:sz w:val="22"/>
              </w:rPr>
              <w:t xml:space="preserve"> If</w:t>
            </w:r>
            <w:r>
              <w:rPr>
                <w:rFonts w:ascii="Arial" w:eastAsia="Arial" w:hAnsi="Arial" w:cs="Arial"/>
                <w:sz w:val="22"/>
              </w:rPr>
              <w:t xml:space="preserve"> this is not the case, selection should follow the institution’s pre-determined digitization policies or project management plan. For example, specimens from certain geographic regions, taxonomic groups, collectors, or times may be targeted. This can be defined by a proposal, research project, algorithm, or other. Fitness of use of data is framed by </w:t>
            </w:r>
            <w:r w:rsidR="00F87E71">
              <w:rPr>
                <w:rFonts w:ascii="Arial" w:eastAsia="Arial" w:hAnsi="Arial" w:cs="Arial"/>
                <w:sz w:val="22"/>
              </w:rPr>
              <w:t xml:space="preserve">project </w:t>
            </w:r>
            <w:r>
              <w:rPr>
                <w:rFonts w:ascii="Arial" w:eastAsia="Arial" w:hAnsi="Arial" w:cs="Arial"/>
                <w:sz w:val="22"/>
              </w:rPr>
              <w:t>scope.</w:t>
            </w:r>
          </w:p>
        </w:tc>
        <w:tc>
          <w:tcPr>
            <w:tcW w:w="280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05" w:type="dxa"/>
              <w:left w:w="105" w:type="dxa"/>
              <w:bottom w:w="105" w:type="dxa"/>
              <w:right w:w="105" w:type="dxa"/>
            </w:tcMar>
          </w:tcPr>
          <w:p w14:paraId="3A0A0B81" w14:textId="77777777" w:rsidR="00634C23" w:rsidRDefault="00C702E0">
            <w:pPr>
              <w:contextualSpacing w:val="0"/>
            </w:pPr>
            <w:r>
              <w:rPr>
                <w:rFonts w:ascii="Arial" w:eastAsia="Arial" w:hAnsi="Arial" w:cs="Arial"/>
                <w:sz w:val="22"/>
              </w:rPr>
              <w:t>Digitization policy manual or project management plan.</w:t>
            </w:r>
          </w:p>
        </w:tc>
      </w:tr>
      <w:tr w:rsidR="00634C23" w14:paraId="07187211" w14:textId="77777777" w:rsidTr="222C6A58">
        <w:trPr>
          <w:cnfStyle w:val="000000100000" w:firstRow="0" w:lastRow="0" w:firstColumn="0" w:lastColumn="0" w:oddVBand="0" w:evenVBand="0" w:oddHBand="1" w:evenHBand="0" w:firstRowFirstColumn="0" w:firstRowLastColumn="0" w:lastRowFirstColumn="0" w:lastRowLastColumn="0"/>
        </w:trPr>
        <w:tc>
          <w:tcPr>
            <w:tcW w:w="720" w:type="dxa"/>
            <w:tcMar>
              <w:top w:w="105" w:type="dxa"/>
              <w:left w:w="105" w:type="dxa"/>
              <w:bottom w:w="105" w:type="dxa"/>
              <w:right w:w="105" w:type="dxa"/>
            </w:tcMar>
          </w:tcPr>
          <w:p w14:paraId="6DD38261" w14:textId="77777777" w:rsidR="00634C23" w:rsidRDefault="00C702E0">
            <w:pPr>
              <w:contextualSpacing w:val="0"/>
            </w:pPr>
            <w:r>
              <w:rPr>
                <w:rFonts w:ascii="Arial" w:eastAsia="Arial" w:hAnsi="Arial" w:cs="Arial"/>
                <w:b/>
                <w:sz w:val="22"/>
              </w:rPr>
              <w:t>T2</w:t>
            </w:r>
          </w:p>
        </w:tc>
        <w:tc>
          <w:tcPr>
            <w:tcW w:w="2115" w:type="dxa"/>
            <w:tcMar>
              <w:top w:w="105" w:type="dxa"/>
              <w:left w:w="105" w:type="dxa"/>
              <w:bottom w:w="105" w:type="dxa"/>
              <w:right w:w="105" w:type="dxa"/>
            </w:tcMar>
          </w:tcPr>
          <w:p w14:paraId="663DB3C7" w14:textId="4E517D66" w:rsidR="00634C23" w:rsidRDefault="00C702E0">
            <w:pPr>
              <w:contextualSpacing w:val="0"/>
            </w:pPr>
            <w:r>
              <w:rPr>
                <w:rFonts w:ascii="Arial" w:eastAsia="Arial" w:hAnsi="Arial" w:cs="Arial"/>
                <w:sz w:val="22"/>
              </w:rPr>
              <w:t>Visually identify collections, cabinets, shelves, folders</w:t>
            </w:r>
            <w:r w:rsidR="007A2518">
              <w:rPr>
                <w:rFonts w:ascii="Arial" w:eastAsia="Arial" w:hAnsi="Arial" w:cs="Arial"/>
                <w:sz w:val="22"/>
              </w:rPr>
              <w:t>,</w:t>
            </w:r>
            <w:r>
              <w:rPr>
                <w:rFonts w:ascii="Arial" w:eastAsia="Arial" w:hAnsi="Arial" w:cs="Arial"/>
                <w:sz w:val="22"/>
              </w:rPr>
              <w:t xml:space="preserve"> and/or specimens to incorporate into the digitization program.</w:t>
            </w:r>
          </w:p>
        </w:tc>
        <w:tc>
          <w:tcPr>
            <w:tcW w:w="4018" w:type="dxa"/>
            <w:tcMar>
              <w:top w:w="105" w:type="dxa"/>
              <w:left w:w="105" w:type="dxa"/>
              <w:bottom w:w="105" w:type="dxa"/>
              <w:right w:w="105" w:type="dxa"/>
            </w:tcMar>
          </w:tcPr>
          <w:p w14:paraId="6826D2E6" w14:textId="674D0591" w:rsidR="00634C23" w:rsidRDefault="00C702E0">
            <w:pPr>
              <w:contextualSpacing w:val="0"/>
            </w:pPr>
            <w:r>
              <w:rPr>
                <w:rFonts w:ascii="Arial" w:eastAsia="Arial" w:hAnsi="Arial" w:cs="Arial"/>
                <w:sz w:val="22"/>
              </w:rPr>
              <w:t xml:space="preserve">Apply signage to determine what is in and out of the scope of </w:t>
            </w:r>
            <w:r w:rsidR="007A2518">
              <w:rPr>
                <w:rFonts w:ascii="Arial" w:eastAsia="Arial" w:hAnsi="Arial" w:cs="Arial"/>
                <w:sz w:val="22"/>
              </w:rPr>
              <w:t xml:space="preserve">the </w:t>
            </w:r>
            <w:r>
              <w:rPr>
                <w:rFonts w:ascii="Arial" w:eastAsia="Arial" w:hAnsi="Arial" w:cs="Arial"/>
                <w:sz w:val="22"/>
              </w:rPr>
              <w:t>project</w:t>
            </w:r>
            <w:r w:rsidR="00F87E71">
              <w:rPr>
                <w:rFonts w:ascii="Arial" w:eastAsia="Arial" w:hAnsi="Arial" w:cs="Arial"/>
                <w:sz w:val="22"/>
              </w:rPr>
              <w:t xml:space="preserve"> or relevant to the particular stage or sequence in the project</w:t>
            </w:r>
            <w:r>
              <w:rPr>
                <w:rFonts w:ascii="Arial" w:eastAsia="Arial" w:hAnsi="Arial" w:cs="Arial"/>
                <w:sz w:val="22"/>
              </w:rPr>
              <w:t>. This step is useful when systematically digitizing an entire collection</w:t>
            </w:r>
            <w:r w:rsidR="00D46C9F">
              <w:rPr>
                <w:rFonts w:ascii="Arial" w:eastAsia="Arial" w:hAnsi="Arial" w:cs="Arial"/>
                <w:sz w:val="22"/>
              </w:rPr>
              <w:t xml:space="preserve"> and o</w:t>
            </w:r>
            <w:r>
              <w:rPr>
                <w:rFonts w:ascii="Arial" w:eastAsia="Arial" w:hAnsi="Arial" w:cs="Arial"/>
                <w:sz w:val="22"/>
              </w:rPr>
              <w:t>therwise potentially helpful with herbarium inventory. Aids for indicating storage locations may be helpful, for example one</w:t>
            </w:r>
            <w:r w:rsidR="007A2518">
              <w:rPr>
                <w:rFonts w:ascii="Arial" w:eastAsia="Arial" w:hAnsi="Arial" w:cs="Arial"/>
                <w:sz w:val="22"/>
              </w:rPr>
              <w:t>-</w:t>
            </w:r>
            <w:r>
              <w:rPr>
                <w:rFonts w:ascii="Arial" w:eastAsia="Arial" w:hAnsi="Arial" w:cs="Arial"/>
                <w:sz w:val="22"/>
              </w:rPr>
              <w:t>dimensional barcodes or QR codes indicating storage locations and/or digitizing destination (rooms, cabinets, shelves, folders, drawers, etc.).</w:t>
            </w:r>
          </w:p>
          <w:p w14:paraId="3475BA31" w14:textId="77777777" w:rsidR="00634C23" w:rsidRDefault="00634C23">
            <w:pPr>
              <w:contextualSpacing w:val="0"/>
            </w:pPr>
          </w:p>
          <w:p w14:paraId="2374AE36" w14:textId="77777777" w:rsidR="00634C23" w:rsidRDefault="00C702E0">
            <w:pPr>
              <w:contextualSpacing w:val="0"/>
            </w:pPr>
            <w:r>
              <w:rPr>
                <w:rFonts w:ascii="Arial" w:eastAsia="Arial" w:hAnsi="Arial" w:cs="Arial"/>
                <w:sz w:val="22"/>
              </w:rPr>
              <w:t>This task is especially helpful for collections that are digitizing in random order, only portions of the collection related to specific projects, or anticipate significant physical or temporal separation between the Pre-digitization Curation, Data Capture, and Imaging modules.</w:t>
            </w:r>
          </w:p>
          <w:p w14:paraId="4E4C213D" w14:textId="77777777" w:rsidR="00634C23" w:rsidRDefault="00634C23">
            <w:pPr>
              <w:contextualSpacing w:val="0"/>
            </w:pPr>
          </w:p>
          <w:p w14:paraId="59A3EFE9" w14:textId="217E2C35" w:rsidR="00634C23" w:rsidRDefault="00C702E0">
            <w:pPr>
              <w:contextualSpacing w:val="0"/>
            </w:pPr>
            <w:r>
              <w:rPr>
                <w:rFonts w:ascii="Arial" w:eastAsia="Arial" w:hAnsi="Arial" w:cs="Arial"/>
                <w:sz w:val="22"/>
              </w:rPr>
              <w:t xml:space="preserve">This step might also include developing protocols to communicate </w:t>
            </w:r>
            <w:r>
              <w:rPr>
                <w:rFonts w:ascii="Arial" w:eastAsia="Arial" w:hAnsi="Arial" w:cs="Arial"/>
                <w:sz w:val="22"/>
              </w:rPr>
              <w:lastRenderedPageBreak/>
              <w:t xml:space="preserve">progress in the digitization process. For example, signage could be applied to note where collections, cabinets, folders, </w:t>
            </w:r>
            <w:r w:rsidR="00785EFC">
              <w:rPr>
                <w:rFonts w:ascii="Arial" w:eastAsia="Arial" w:hAnsi="Arial" w:cs="Arial"/>
                <w:sz w:val="22"/>
              </w:rPr>
              <w:t xml:space="preserve">or </w:t>
            </w:r>
            <w:r>
              <w:rPr>
                <w:rFonts w:ascii="Arial" w:eastAsia="Arial" w:hAnsi="Arial" w:cs="Arial"/>
                <w:sz w:val="22"/>
              </w:rPr>
              <w:t>sheets are in t</w:t>
            </w:r>
            <w:r w:rsidR="009F024D">
              <w:rPr>
                <w:rFonts w:ascii="Arial" w:eastAsia="Arial" w:hAnsi="Arial" w:cs="Arial"/>
                <w:sz w:val="22"/>
              </w:rPr>
              <w:t xml:space="preserve">he digitization process. Marking completed sections may prevent filing of new specimens that have not been digitized.  </w:t>
            </w:r>
            <w:r>
              <w:rPr>
                <w:rFonts w:ascii="Arial" w:eastAsia="Arial" w:hAnsi="Arial" w:cs="Arial"/>
                <w:sz w:val="22"/>
              </w:rPr>
              <w:t>It is ideal to always complete a task for everything in a folder.</w:t>
            </w:r>
          </w:p>
        </w:tc>
        <w:tc>
          <w:tcPr>
            <w:tcW w:w="2807" w:type="dxa"/>
            <w:tcMar>
              <w:top w:w="105" w:type="dxa"/>
              <w:left w:w="105" w:type="dxa"/>
              <w:bottom w:w="105" w:type="dxa"/>
              <w:right w:w="105" w:type="dxa"/>
            </w:tcMar>
          </w:tcPr>
          <w:p w14:paraId="013793D1" w14:textId="0D3ECBC9" w:rsidR="00634C23" w:rsidRDefault="00C702E0">
            <w:pPr>
              <w:contextualSpacing w:val="0"/>
            </w:pPr>
            <w:r>
              <w:rPr>
                <w:rFonts w:ascii="Arial" w:eastAsia="Arial" w:hAnsi="Arial" w:cs="Arial"/>
                <w:sz w:val="22"/>
              </w:rPr>
              <w:lastRenderedPageBreak/>
              <w:t>QR codes, DataMatrix codes, or 1D barcodes.</w:t>
            </w:r>
          </w:p>
          <w:p w14:paraId="4C2E680E" w14:textId="77777777" w:rsidR="00634C23" w:rsidRDefault="00C702E0">
            <w:pPr>
              <w:contextualSpacing w:val="0"/>
            </w:pPr>
            <w:r>
              <w:rPr>
                <w:rFonts w:ascii="Arial" w:eastAsia="Arial" w:hAnsi="Arial" w:cs="Arial"/>
                <w:sz w:val="22"/>
              </w:rPr>
              <w:t xml:space="preserve">Flagging accessories. </w:t>
            </w:r>
          </w:p>
          <w:p w14:paraId="2B5AC498" w14:textId="77777777" w:rsidR="00634C23" w:rsidRDefault="00634C23">
            <w:pPr>
              <w:contextualSpacing w:val="0"/>
            </w:pPr>
          </w:p>
          <w:p w14:paraId="071E0A11" w14:textId="10DB7E18" w:rsidR="00CD1D0C" w:rsidRPr="008826A1" w:rsidRDefault="00C702E0">
            <w:pPr>
              <w:contextualSpacing w:val="0"/>
              <w:rPr>
                <w:rFonts w:ascii="Arial" w:eastAsia="Arial" w:hAnsi="Arial" w:cs="Arial"/>
                <w:color w:val="auto"/>
                <w:sz w:val="22"/>
                <w:highlight w:val="white"/>
              </w:rPr>
            </w:pPr>
            <w:r>
              <w:rPr>
                <w:rFonts w:ascii="Arial" w:eastAsia="Arial" w:hAnsi="Arial" w:cs="Arial"/>
                <w:sz w:val="22"/>
              </w:rPr>
              <w:t xml:space="preserve">See: </w:t>
            </w:r>
            <w:r w:rsidRPr="008826A1">
              <w:rPr>
                <w:rFonts w:ascii="Arial" w:eastAsia="Arial" w:hAnsi="Arial" w:cs="Arial"/>
                <w:color w:val="auto"/>
                <w:sz w:val="22"/>
                <w:highlight w:val="white"/>
              </w:rPr>
              <w:t xml:space="preserve">Diazgranados </w:t>
            </w:r>
            <w:r w:rsidR="00CD1D0C" w:rsidRPr="008826A1">
              <w:rPr>
                <w:rFonts w:ascii="Arial" w:eastAsia="Arial" w:hAnsi="Arial" w:cs="Arial"/>
                <w:color w:val="auto"/>
                <w:sz w:val="22"/>
                <w:highlight w:val="white"/>
              </w:rPr>
              <w:t xml:space="preserve">  </w:t>
            </w:r>
          </w:p>
          <w:p w14:paraId="16334DBE" w14:textId="47EF8075" w:rsidR="00141EA0" w:rsidRPr="008826A1" w:rsidRDefault="00CD1D0C" w:rsidP="00CD1D0C">
            <w:pPr>
              <w:contextualSpacing w:val="0"/>
              <w:rPr>
                <w:rFonts w:ascii="Arial" w:eastAsia="Arial" w:hAnsi="Arial" w:cs="Arial"/>
                <w:color w:val="auto"/>
                <w:sz w:val="22"/>
              </w:rPr>
            </w:pPr>
            <w:r w:rsidRPr="008826A1">
              <w:rPr>
                <w:rFonts w:ascii="Arial" w:eastAsia="Arial" w:hAnsi="Arial" w:cs="Arial"/>
                <w:color w:val="auto"/>
                <w:sz w:val="22"/>
                <w:highlight w:val="white"/>
              </w:rPr>
              <w:t xml:space="preserve">and  </w:t>
            </w:r>
            <w:r w:rsidR="00C702E0" w:rsidRPr="008826A1">
              <w:rPr>
                <w:rFonts w:ascii="Arial" w:eastAsia="Arial" w:hAnsi="Arial" w:cs="Arial"/>
                <w:color w:val="auto"/>
                <w:sz w:val="22"/>
                <w:highlight w:val="white"/>
              </w:rPr>
              <w:t>Funk</w:t>
            </w:r>
            <w:r w:rsidR="00B34842" w:rsidRPr="008826A1">
              <w:rPr>
                <w:rFonts w:ascii="Arial" w:eastAsia="Arial" w:hAnsi="Arial" w:cs="Arial"/>
                <w:color w:val="auto"/>
                <w:sz w:val="22"/>
                <w:highlight w:val="white"/>
              </w:rPr>
              <w:t xml:space="preserve"> (</w:t>
            </w:r>
            <w:r w:rsidR="00C702E0" w:rsidRPr="008826A1">
              <w:rPr>
                <w:rFonts w:ascii="Arial" w:eastAsia="Arial" w:hAnsi="Arial" w:cs="Arial"/>
                <w:color w:val="auto"/>
                <w:sz w:val="22"/>
                <w:highlight w:val="white"/>
              </w:rPr>
              <w:t>2013</w:t>
            </w:r>
            <w:r w:rsidR="00B34842" w:rsidRPr="008826A1">
              <w:rPr>
                <w:rFonts w:ascii="Arial" w:eastAsia="Arial" w:hAnsi="Arial" w:cs="Arial"/>
                <w:color w:val="auto"/>
                <w:sz w:val="22"/>
                <w:highlight w:val="white"/>
              </w:rPr>
              <w:t>)</w:t>
            </w:r>
            <w:r w:rsidR="00C702E0" w:rsidRPr="008826A1">
              <w:rPr>
                <w:rFonts w:ascii="Arial" w:eastAsia="Arial" w:hAnsi="Arial" w:cs="Arial"/>
                <w:color w:val="auto"/>
                <w:sz w:val="22"/>
                <w:highlight w:val="white"/>
              </w:rPr>
              <w:t xml:space="preserve">. </w:t>
            </w:r>
          </w:p>
          <w:p w14:paraId="5434C28D" w14:textId="5656C5AF" w:rsidR="00634C23" w:rsidRDefault="00EC2A8B" w:rsidP="00CD1D0C">
            <w:pPr>
              <w:contextualSpacing w:val="0"/>
            </w:pPr>
            <w:hyperlink r:id="rId10">
              <w:r w:rsidR="00C702E0">
                <w:rPr>
                  <w:rFonts w:ascii="Arial" w:eastAsia="Arial" w:hAnsi="Arial" w:cs="Arial"/>
                  <w:color w:val="1155CC"/>
                  <w:sz w:val="22"/>
                  <w:highlight w:val="white"/>
                  <w:u w:val="single"/>
                </w:rPr>
                <w:t>http://www.ncbi.nlm.nih.gov/pmc/articles/PMC3819127/</w:t>
              </w:r>
            </w:hyperlink>
            <w:r w:rsidR="00C702E0">
              <w:rPr>
                <w:rFonts w:ascii="Arial" w:eastAsia="Arial" w:hAnsi="Arial" w:cs="Arial"/>
                <w:color w:val="303030"/>
                <w:sz w:val="22"/>
                <w:highlight w:val="white"/>
              </w:rPr>
              <w:t>.</w:t>
            </w:r>
          </w:p>
        </w:tc>
      </w:tr>
      <w:tr w:rsidR="000277F7" w14:paraId="48AFE8FB" w14:textId="77777777" w:rsidTr="222C6A58">
        <w:trPr>
          <w:cnfStyle w:val="000000010000" w:firstRow="0" w:lastRow="0" w:firstColumn="0" w:lastColumn="0" w:oddVBand="0" w:evenVBand="0" w:oddHBand="0" w:evenHBand="1" w:firstRowFirstColumn="0" w:firstRowLastColumn="0" w:lastRowFirstColumn="0" w:lastRowLastColumn="0"/>
        </w:trPr>
        <w:tc>
          <w:tcPr>
            <w:tcW w:w="720" w:type="dxa"/>
            <w:shd w:val="clear" w:color="auto" w:fill="FFFFFF" w:themeFill="background1"/>
            <w:tcMar>
              <w:top w:w="105" w:type="dxa"/>
              <w:left w:w="105" w:type="dxa"/>
              <w:bottom w:w="105" w:type="dxa"/>
              <w:right w:w="105" w:type="dxa"/>
            </w:tcMar>
          </w:tcPr>
          <w:p w14:paraId="527551A6" w14:textId="25F7E440" w:rsidR="000277F7" w:rsidRDefault="000277F7" w:rsidP="000277F7">
            <w:pPr>
              <w:rPr>
                <w:rFonts w:ascii="Arial" w:eastAsia="Arial" w:hAnsi="Arial" w:cs="Arial"/>
                <w:b/>
                <w:sz w:val="22"/>
              </w:rPr>
            </w:pPr>
            <w:r>
              <w:rPr>
                <w:rFonts w:ascii="Arial" w:eastAsia="Arial" w:hAnsi="Arial" w:cs="Arial"/>
                <w:b/>
                <w:sz w:val="22"/>
              </w:rPr>
              <w:lastRenderedPageBreak/>
              <w:t>T3</w:t>
            </w:r>
          </w:p>
        </w:tc>
        <w:tc>
          <w:tcPr>
            <w:tcW w:w="2115" w:type="dxa"/>
            <w:shd w:val="clear" w:color="auto" w:fill="FFFFFF" w:themeFill="background1"/>
            <w:tcMar>
              <w:top w:w="105" w:type="dxa"/>
              <w:left w:w="105" w:type="dxa"/>
              <w:bottom w:w="105" w:type="dxa"/>
              <w:right w:w="105" w:type="dxa"/>
            </w:tcMar>
          </w:tcPr>
          <w:p w14:paraId="79CA3394" w14:textId="4CC1B75C" w:rsidR="000277F7" w:rsidRDefault="000277F7" w:rsidP="000277F7">
            <w:pPr>
              <w:rPr>
                <w:rFonts w:ascii="Arial" w:eastAsia="Arial" w:hAnsi="Arial" w:cs="Arial"/>
                <w:sz w:val="22"/>
              </w:rPr>
            </w:pPr>
            <w:r>
              <w:rPr>
                <w:rFonts w:ascii="Arial" w:eastAsia="Arial" w:hAnsi="Arial" w:cs="Arial"/>
                <w:sz w:val="22"/>
              </w:rPr>
              <w:t>Establish barcode format and order barcodes.</w:t>
            </w:r>
          </w:p>
        </w:tc>
        <w:tc>
          <w:tcPr>
            <w:tcW w:w="4018" w:type="dxa"/>
            <w:shd w:val="clear" w:color="auto" w:fill="FFFFFF" w:themeFill="background1"/>
            <w:tcMar>
              <w:top w:w="105" w:type="dxa"/>
              <w:left w:w="105" w:type="dxa"/>
              <w:bottom w:w="105" w:type="dxa"/>
              <w:right w:w="105" w:type="dxa"/>
            </w:tcMar>
          </w:tcPr>
          <w:p w14:paraId="3EA42860" w14:textId="4F812035" w:rsidR="000277F7" w:rsidRDefault="000277F7" w:rsidP="000277F7">
            <w:pPr>
              <w:contextualSpacing w:val="0"/>
              <w:rPr>
                <w:rFonts w:ascii="Arial" w:eastAsia="Arial" w:hAnsi="Arial" w:cs="Arial"/>
                <w:sz w:val="22"/>
              </w:rPr>
            </w:pPr>
            <w:r>
              <w:rPr>
                <w:rFonts w:ascii="Arial" w:eastAsia="Arial" w:hAnsi="Arial" w:cs="Arial"/>
                <w:sz w:val="22"/>
              </w:rPr>
              <w:t>What a barcode represents at an institution may vary. Some use barcodes as a means to assign a locally unique identifier to a specimen (as defined by the ICN) and give the barcode a broader</w:t>
            </w:r>
            <w:r w:rsidR="00785EFC">
              <w:rPr>
                <w:rFonts w:ascii="Arial" w:eastAsia="Arial" w:hAnsi="Arial" w:cs="Arial"/>
                <w:sz w:val="22"/>
              </w:rPr>
              <w:t xml:space="preserve"> </w:t>
            </w:r>
            <w:r>
              <w:rPr>
                <w:rFonts w:ascii="Arial" w:eastAsia="Arial" w:hAnsi="Arial" w:cs="Arial"/>
                <w:sz w:val="22"/>
              </w:rPr>
              <w:t>level of uniqueness (but not truly globally unique) by including an institution and collection code with the locally unique value. Barcodes may also be used as dwc:catalogNumber in the institutional database and thus tie the electronic record to the physical object. Some use legacy accession numbers as barcode numbers. In such cases, each sheet (irrespective of whether or not it corresponds to a specimen) may have a locally unique barcode.</w:t>
            </w:r>
          </w:p>
          <w:p w14:paraId="459BEB8A" w14:textId="77777777" w:rsidR="00197BF4" w:rsidRDefault="00197BF4" w:rsidP="000277F7">
            <w:pPr>
              <w:contextualSpacing w:val="0"/>
              <w:rPr>
                <w:rFonts w:ascii="Arial" w:eastAsia="Arial" w:hAnsi="Arial" w:cs="Arial"/>
                <w:sz w:val="22"/>
              </w:rPr>
            </w:pPr>
          </w:p>
          <w:p w14:paraId="09A7D704" w14:textId="222C6A58" w:rsidR="00197BF4" w:rsidRDefault="222C6A58" w:rsidP="000277F7">
            <w:pPr>
              <w:contextualSpacing w:val="0"/>
            </w:pPr>
            <w:r w:rsidRPr="222C6A58">
              <w:rPr>
                <w:rFonts w:ascii="Arial" w:eastAsia="Arial" w:hAnsi="Arial" w:cs="Arial"/>
                <w:sz w:val="22"/>
                <w:szCs w:val="22"/>
              </w:rPr>
              <w:t xml:space="preserve">It should be noted that some institutions choose not to use barcodes, preferring instead to use an unduplicated accession number as the catalog number. Such accession identifiers might be generated by self-incrementing stamps or otherwise. A few institutions combine barcodes and accession identifier by forcing the embedded barcode value to match the existing accession identifier. </w:t>
            </w:r>
          </w:p>
          <w:p w14:paraId="3AADD08E" w14:textId="77777777" w:rsidR="000277F7" w:rsidRDefault="000277F7" w:rsidP="000277F7">
            <w:pPr>
              <w:contextualSpacing w:val="0"/>
            </w:pPr>
          </w:p>
          <w:p w14:paraId="39269DB8" w14:textId="77777777" w:rsidR="000277F7" w:rsidRDefault="000277F7" w:rsidP="000277F7">
            <w:pPr>
              <w:contextualSpacing w:val="0"/>
            </w:pPr>
            <w:r>
              <w:rPr>
                <w:rFonts w:ascii="Arial" w:eastAsia="Arial" w:hAnsi="Arial" w:cs="Arial"/>
                <w:sz w:val="22"/>
              </w:rPr>
              <w:t>It is recommended to pad the barcode number with leading zeroes to a length that accommodates the number of sheets within the collection and include these zeroes in human readable text below barcode.</w:t>
            </w:r>
          </w:p>
          <w:p w14:paraId="197D7649" w14:textId="77777777" w:rsidR="000277F7" w:rsidRDefault="000277F7" w:rsidP="000277F7">
            <w:pPr>
              <w:contextualSpacing w:val="0"/>
            </w:pPr>
          </w:p>
          <w:p w14:paraId="0E5A2C8C" w14:textId="27BD61A7" w:rsidR="000277F7" w:rsidRDefault="000277F7" w:rsidP="000277F7">
            <w:pPr>
              <w:rPr>
                <w:rFonts w:ascii="Arial" w:eastAsia="Arial" w:hAnsi="Arial" w:cs="Arial"/>
                <w:sz w:val="22"/>
              </w:rPr>
            </w:pPr>
            <w:r>
              <w:rPr>
                <w:rFonts w:ascii="Arial" w:eastAsia="Arial" w:hAnsi="Arial" w:cs="Arial"/>
                <w:sz w:val="22"/>
              </w:rPr>
              <w:lastRenderedPageBreak/>
              <w:t>Use archival</w:t>
            </w:r>
            <w:r w:rsidR="00571221">
              <w:rPr>
                <w:rFonts w:ascii="Arial" w:eastAsia="Arial" w:hAnsi="Arial" w:cs="Arial"/>
                <w:sz w:val="22"/>
              </w:rPr>
              <w:t>-</w:t>
            </w:r>
            <w:r>
              <w:rPr>
                <w:rFonts w:ascii="Arial" w:eastAsia="Arial" w:hAnsi="Arial" w:cs="Arial"/>
                <w:sz w:val="22"/>
              </w:rPr>
              <w:t>quality barcodes.</w:t>
            </w:r>
          </w:p>
          <w:p w14:paraId="2269FAD0" w14:textId="77777777" w:rsidR="005C73E4" w:rsidRDefault="005C73E4" w:rsidP="000277F7">
            <w:pPr>
              <w:rPr>
                <w:rFonts w:ascii="Arial" w:eastAsia="Arial" w:hAnsi="Arial" w:cs="Arial"/>
                <w:sz w:val="22"/>
              </w:rPr>
            </w:pPr>
          </w:p>
          <w:p w14:paraId="56C7BE13" w14:textId="19651430" w:rsidR="005C73E4" w:rsidRDefault="005C73E4" w:rsidP="000277F7">
            <w:pPr>
              <w:rPr>
                <w:rFonts w:ascii="Arial" w:eastAsia="Arial" w:hAnsi="Arial" w:cs="Arial"/>
                <w:sz w:val="22"/>
              </w:rPr>
            </w:pPr>
            <w:r w:rsidRPr="222C6A58">
              <w:rPr>
                <w:rFonts w:ascii="Arial" w:eastAsia="Arial" w:hAnsi="Arial" w:cs="Arial"/>
                <w:sz w:val="22"/>
                <w:szCs w:val="22"/>
              </w:rPr>
              <w:t xml:space="preserve">Some database systems generate barcodes. For example, Specify uses its iReports feature for this and can generate barcodes in more than 20 styles. See </w:t>
            </w:r>
            <w:hyperlink r:id="rId11" w:history="1">
              <w:r w:rsidRPr="222C6A58">
                <w:rPr>
                  <w:rStyle w:val="Hyperlink"/>
                  <w:rFonts w:ascii="Arial" w:eastAsia="Arial" w:hAnsi="Arial" w:cs="Arial"/>
                  <w:sz w:val="22"/>
                  <w:szCs w:val="22"/>
                </w:rPr>
                <w:t>http://specifyx.specifysoftware.org/wp-content/static/Gallery%20of%20Printed%20Label%20and%20Report%20Formats.pdf</w:t>
              </w:r>
            </w:hyperlink>
            <w:r w:rsidRPr="222C6A58">
              <w:rPr>
                <w:rFonts w:ascii="Arial" w:eastAsia="Arial" w:hAnsi="Arial" w:cs="Arial"/>
                <w:sz w:val="22"/>
                <w:szCs w:val="22"/>
              </w:rPr>
              <w:t>.</w:t>
            </w:r>
          </w:p>
          <w:p w14:paraId="346BBE0B" w14:textId="77777777" w:rsidR="00BB082A" w:rsidRDefault="00BB082A" w:rsidP="000277F7">
            <w:pPr>
              <w:rPr>
                <w:rFonts w:ascii="Arial" w:eastAsia="Arial" w:hAnsi="Arial" w:cs="Arial"/>
                <w:sz w:val="22"/>
              </w:rPr>
            </w:pPr>
          </w:p>
          <w:p w14:paraId="5D29B2A5" w14:textId="299D72C4" w:rsidR="00BB082A" w:rsidRDefault="00BB082A" w:rsidP="00BB082A">
            <w:pPr>
              <w:rPr>
                <w:rFonts w:ascii="Arial" w:eastAsia="Arial" w:hAnsi="Arial" w:cs="Arial"/>
                <w:sz w:val="22"/>
              </w:rPr>
            </w:pPr>
            <w:r>
              <w:rPr>
                <w:rFonts w:ascii="Arial" w:eastAsia="Arial" w:hAnsi="Arial" w:cs="Arial"/>
                <w:sz w:val="22"/>
              </w:rPr>
              <w:t>See Module 6, T5 for further detail regarding barcodes and their uses.</w:t>
            </w:r>
          </w:p>
        </w:tc>
        <w:tc>
          <w:tcPr>
            <w:tcW w:w="2807" w:type="dxa"/>
            <w:shd w:val="clear" w:color="auto" w:fill="FFFFFF" w:themeFill="background1"/>
            <w:tcMar>
              <w:top w:w="105" w:type="dxa"/>
              <w:left w:w="105" w:type="dxa"/>
              <w:bottom w:w="105" w:type="dxa"/>
              <w:right w:w="105" w:type="dxa"/>
            </w:tcMar>
          </w:tcPr>
          <w:p w14:paraId="23FC7567" w14:textId="77777777" w:rsidR="000277F7" w:rsidRDefault="000277F7" w:rsidP="000277F7">
            <w:pPr>
              <w:contextualSpacing w:val="0"/>
            </w:pPr>
            <w:r>
              <w:rPr>
                <w:rFonts w:ascii="Arial" w:eastAsia="Arial" w:hAnsi="Arial" w:cs="Arial"/>
                <w:sz w:val="22"/>
              </w:rPr>
              <w:lastRenderedPageBreak/>
              <w:t xml:space="preserve">See: iDigBio Specimen Barcode and Labeling Guide: </w:t>
            </w:r>
            <w:hyperlink r:id="rId12">
              <w:r>
                <w:rPr>
                  <w:rFonts w:ascii="Arial" w:eastAsia="Arial" w:hAnsi="Arial" w:cs="Arial"/>
                  <w:color w:val="1155CC"/>
                  <w:sz w:val="22"/>
                  <w:u w:val="single"/>
                </w:rPr>
                <w:t>https://www.idigbio.org/wiki/index.php/Specimen_Barcode_and_Labeling_Guide</w:t>
              </w:r>
            </w:hyperlink>
            <w:r>
              <w:rPr>
                <w:rFonts w:ascii="Arial" w:eastAsia="Arial" w:hAnsi="Arial" w:cs="Arial"/>
                <w:sz w:val="22"/>
              </w:rPr>
              <w:t>.</w:t>
            </w:r>
          </w:p>
          <w:p w14:paraId="01ADD0D5" w14:textId="77777777" w:rsidR="000277F7" w:rsidRDefault="000277F7" w:rsidP="000277F7">
            <w:pPr>
              <w:contextualSpacing w:val="0"/>
              <w:rPr>
                <w:rFonts w:ascii="Arial" w:hAnsi="Arial" w:cs="Arial"/>
                <w:sz w:val="22"/>
                <w:szCs w:val="22"/>
              </w:rPr>
            </w:pPr>
          </w:p>
          <w:p w14:paraId="3658ED29" w14:textId="749325F4" w:rsidR="000277F7" w:rsidRDefault="000277F7" w:rsidP="000277F7">
            <w:pPr>
              <w:contextualSpacing w:val="0"/>
              <w:rPr>
                <w:rFonts w:ascii="Arial" w:eastAsia="Arial" w:hAnsi="Arial" w:cs="Arial"/>
                <w:sz w:val="22"/>
              </w:rPr>
            </w:pPr>
            <w:r w:rsidRPr="0063128B">
              <w:rPr>
                <w:rFonts w:ascii="Arial" w:hAnsi="Arial" w:cs="Arial"/>
                <w:sz w:val="22"/>
                <w:szCs w:val="22"/>
              </w:rPr>
              <w:t xml:space="preserve">McNeill (2011). International Code of Nomenclature for algae, fungi, and plants (ICN). </w:t>
            </w:r>
            <w:hyperlink r:id="rId13" w:history="1">
              <w:r w:rsidRPr="0063128B">
                <w:rPr>
                  <w:rStyle w:val="Hyperlink"/>
                  <w:rFonts w:ascii="Arial" w:hAnsi="Arial" w:cs="Arial"/>
                  <w:sz w:val="22"/>
                  <w:szCs w:val="22"/>
                </w:rPr>
                <w:t>http://www.iapt-taxon.org/nomen/main.php?page=title</w:t>
              </w:r>
            </w:hyperlink>
            <w:r w:rsidRPr="0063128B">
              <w:rPr>
                <w:rFonts w:ascii="Arial" w:hAnsi="Arial" w:cs="Arial"/>
                <w:sz w:val="22"/>
                <w:szCs w:val="22"/>
              </w:rPr>
              <w:t xml:space="preserve">. </w:t>
            </w:r>
            <w:r w:rsidR="008826A1">
              <w:rPr>
                <w:rFonts w:ascii="Arial" w:hAnsi="Arial" w:cs="Arial"/>
                <w:sz w:val="22"/>
                <w:szCs w:val="22"/>
              </w:rPr>
              <w:t xml:space="preserve">See especially the </w:t>
            </w:r>
            <w:r>
              <w:rPr>
                <w:rFonts w:ascii="Arial" w:eastAsia="Arial" w:hAnsi="Arial" w:cs="Arial"/>
                <w:sz w:val="22"/>
              </w:rPr>
              <w:t>ICN Glossary</w:t>
            </w:r>
            <w:r w:rsidR="008826A1">
              <w:rPr>
                <w:rFonts w:ascii="Arial" w:eastAsia="Arial" w:hAnsi="Arial" w:cs="Arial"/>
                <w:sz w:val="22"/>
              </w:rPr>
              <w:t xml:space="preserve"> of terms used in this code for the</w:t>
            </w:r>
            <w:r>
              <w:rPr>
                <w:rFonts w:ascii="Arial" w:eastAsia="Arial" w:hAnsi="Arial" w:cs="Arial"/>
                <w:sz w:val="22"/>
              </w:rPr>
              <w:t xml:space="preserve"> definition of “specimen”:</w:t>
            </w:r>
          </w:p>
          <w:p w14:paraId="23B743C7" w14:textId="0C8F07C7" w:rsidR="000277F7" w:rsidRDefault="00EC2A8B" w:rsidP="000277F7">
            <w:pPr>
              <w:rPr>
                <w:rFonts w:ascii="Arial" w:eastAsia="Arial" w:hAnsi="Arial" w:cs="Arial"/>
                <w:sz w:val="22"/>
              </w:rPr>
            </w:pPr>
            <w:hyperlink r:id="rId14" w:history="1">
              <w:r w:rsidR="000277F7" w:rsidRPr="000F6047">
                <w:rPr>
                  <w:rStyle w:val="Hyperlink"/>
                  <w:rFonts w:ascii="Arial" w:eastAsia="Arial" w:hAnsi="Arial" w:cs="Arial"/>
                  <w:sz w:val="22"/>
                </w:rPr>
                <w:t>http://www.iapt-taxon.org/nomen/main.php?page=glo</w:t>
              </w:r>
            </w:hyperlink>
            <w:r w:rsidR="000277F7">
              <w:rPr>
                <w:rFonts w:ascii="Arial" w:eastAsia="Arial" w:hAnsi="Arial" w:cs="Arial"/>
                <w:sz w:val="22"/>
              </w:rPr>
              <w:t>.</w:t>
            </w:r>
          </w:p>
        </w:tc>
      </w:tr>
      <w:tr w:rsidR="000277F7" w14:paraId="4E439627" w14:textId="77777777" w:rsidTr="222C6A58">
        <w:trPr>
          <w:cnfStyle w:val="000000100000" w:firstRow="0" w:lastRow="0" w:firstColumn="0" w:lastColumn="0" w:oddVBand="0" w:evenVBand="0" w:oddHBand="1" w:evenHBand="0" w:firstRowFirstColumn="0" w:firstRowLastColumn="0" w:lastRowFirstColumn="0" w:lastRowLastColumn="0"/>
        </w:trPr>
        <w:tc>
          <w:tcPr>
            <w:tcW w:w="720" w:type="dxa"/>
            <w:tcMar>
              <w:top w:w="105" w:type="dxa"/>
              <w:left w:w="105" w:type="dxa"/>
              <w:bottom w:w="105" w:type="dxa"/>
              <w:right w:w="105" w:type="dxa"/>
            </w:tcMar>
          </w:tcPr>
          <w:p w14:paraId="4FDCBDA8" w14:textId="41B58825" w:rsidR="000277F7" w:rsidRDefault="000277F7" w:rsidP="000277F7">
            <w:pPr>
              <w:contextualSpacing w:val="0"/>
            </w:pPr>
            <w:r>
              <w:rPr>
                <w:rFonts w:ascii="Arial" w:eastAsia="Arial" w:hAnsi="Arial" w:cs="Arial"/>
                <w:b/>
                <w:sz w:val="22"/>
              </w:rPr>
              <w:lastRenderedPageBreak/>
              <w:t>T4</w:t>
            </w:r>
          </w:p>
        </w:tc>
        <w:tc>
          <w:tcPr>
            <w:tcW w:w="2115" w:type="dxa"/>
            <w:tcMar>
              <w:top w:w="105" w:type="dxa"/>
              <w:left w:w="105" w:type="dxa"/>
              <w:bottom w:w="105" w:type="dxa"/>
              <w:right w:w="105" w:type="dxa"/>
            </w:tcMar>
          </w:tcPr>
          <w:p w14:paraId="6264BACF" w14:textId="275819B0" w:rsidR="000277F7" w:rsidRDefault="000277F7" w:rsidP="000277F7">
            <w:pPr>
              <w:contextualSpacing w:val="0"/>
            </w:pPr>
            <w:r>
              <w:rPr>
                <w:rFonts w:ascii="Arial" w:eastAsia="Arial" w:hAnsi="Arial" w:cs="Arial"/>
                <w:sz w:val="22"/>
              </w:rPr>
              <w:t>Associate/insert machine</w:t>
            </w:r>
            <w:r w:rsidR="00785EFC">
              <w:rPr>
                <w:rFonts w:ascii="Arial" w:eastAsia="Arial" w:hAnsi="Arial" w:cs="Arial"/>
                <w:sz w:val="22"/>
              </w:rPr>
              <w:t>-</w:t>
            </w:r>
            <w:r>
              <w:rPr>
                <w:rFonts w:ascii="Arial" w:eastAsia="Arial" w:hAnsi="Arial" w:cs="Arial"/>
                <w:sz w:val="22"/>
              </w:rPr>
              <w:t>readable barcodes/documents with/into folders.  </w:t>
            </w:r>
          </w:p>
        </w:tc>
        <w:tc>
          <w:tcPr>
            <w:tcW w:w="4018" w:type="dxa"/>
            <w:tcMar>
              <w:top w:w="105" w:type="dxa"/>
              <w:left w:w="105" w:type="dxa"/>
              <w:bottom w:w="105" w:type="dxa"/>
              <w:right w:w="105" w:type="dxa"/>
            </w:tcMar>
          </w:tcPr>
          <w:p w14:paraId="4D5F7CCD" w14:textId="79DE3C7E" w:rsidR="000277F7" w:rsidRDefault="000277F7" w:rsidP="000277F7">
            <w:pPr>
              <w:contextualSpacing w:val="0"/>
            </w:pPr>
            <w:r>
              <w:rPr>
                <w:rFonts w:ascii="Arial" w:eastAsia="Arial" w:hAnsi="Arial" w:cs="Arial"/>
                <w:sz w:val="22"/>
              </w:rPr>
              <w:t>Some institutions create machine</w:t>
            </w:r>
            <w:r w:rsidR="00785EFC">
              <w:rPr>
                <w:rFonts w:ascii="Arial" w:eastAsia="Arial" w:hAnsi="Arial" w:cs="Arial"/>
                <w:sz w:val="22"/>
              </w:rPr>
              <w:t>-</w:t>
            </w:r>
            <w:r>
              <w:rPr>
                <w:rFonts w:ascii="Arial" w:eastAsia="Arial" w:hAnsi="Arial" w:cs="Arial"/>
                <w:sz w:val="22"/>
              </w:rPr>
              <w:t>readable documents to gather data at the cabinet and/or folder level. Documents might contain such information as family, higher geography, and current identification (“filed-as name”). These data will be read and associated with individual collection records in Imaging or Data Capture modules.</w:t>
            </w:r>
          </w:p>
          <w:p w14:paraId="6343AA00" w14:textId="77777777" w:rsidR="000277F7" w:rsidRDefault="000277F7" w:rsidP="000277F7">
            <w:pPr>
              <w:contextualSpacing w:val="0"/>
            </w:pPr>
          </w:p>
          <w:p w14:paraId="35DDA08F" w14:textId="016D4326" w:rsidR="000277F7" w:rsidRDefault="000277F7" w:rsidP="000277F7">
            <w:pPr>
              <w:contextualSpacing w:val="0"/>
            </w:pPr>
            <w:r>
              <w:rPr>
                <w:rFonts w:ascii="Arial" w:eastAsia="Arial" w:hAnsi="Arial" w:cs="Arial"/>
                <w:sz w:val="22"/>
              </w:rPr>
              <w:t xml:space="preserve">Tasks T1 or T4 might also include determining whether specimens are out on loan or otherwise removed from cabinets or folders. This might be done either by physical tracking (e.g., inserting markers within the cabinets) or by electronic database loan tracking. Since such specimens might be removed for an extended period, an efficient strategy for tracking their return and ensuring their reinsertion into the digitization workflow should be designed and documented. It should be noted that an increasing number of institutions have alleviated the need to track loan re-insertions by digitizing specimens prior to fulfilling loan requests and recording annotations as loans are returned, prior to re-insertion. </w:t>
            </w:r>
          </w:p>
        </w:tc>
        <w:tc>
          <w:tcPr>
            <w:tcW w:w="2807" w:type="dxa"/>
            <w:tcMar>
              <w:top w:w="105" w:type="dxa"/>
              <w:left w:w="105" w:type="dxa"/>
              <w:bottom w:w="105" w:type="dxa"/>
              <w:right w:w="105" w:type="dxa"/>
            </w:tcMar>
          </w:tcPr>
          <w:p w14:paraId="126570A2" w14:textId="77777777" w:rsidR="000277F7" w:rsidRDefault="000277F7" w:rsidP="000277F7">
            <w:pPr>
              <w:contextualSpacing w:val="0"/>
            </w:pPr>
            <w:r>
              <w:rPr>
                <w:rFonts w:ascii="Arial" w:eastAsia="Arial" w:hAnsi="Arial" w:cs="Arial"/>
                <w:sz w:val="22"/>
              </w:rPr>
              <w:t>QR codes, DataMatrix codes, 1D barcodes, or OCR-readable documents for insertion into specimen folders.</w:t>
            </w:r>
          </w:p>
          <w:p w14:paraId="589EB2CB" w14:textId="77777777" w:rsidR="000277F7" w:rsidRDefault="000277F7" w:rsidP="000277F7">
            <w:pPr>
              <w:contextualSpacing w:val="0"/>
            </w:pPr>
          </w:p>
          <w:p w14:paraId="5D9A0C21" w14:textId="4A1FDC20" w:rsidR="000277F7" w:rsidRPr="008826A1" w:rsidRDefault="000277F7" w:rsidP="000277F7">
            <w:pPr>
              <w:contextualSpacing w:val="0"/>
              <w:rPr>
                <w:rFonts w:ascii="Arial" w:eastAsia="Arial" w:hAnsi="Arial" w:cs="Arial"/>
                <w:color w:val="auto"/>
                <w:sz w:val="22"/>
                <w:highlight w:val="white"/>
              </w:rPr>
            </w:pPr>
            <w:r>
              <w:rPr>
                <w:rFonts w:ascii="Arial" w:eastAsia="Arial" w:hAnsi="Arial" w:cs="Arial"/>
                <w:sz w:val="22"/>
              </w:rPr>
              <w:t xml:space="preserve">See: </w:t>
            </w:r>
            <w:r w:rsidRPr="008826A1">
              <w:rPr>
                <w:rFonts w:ascii="Arial" w:eastAsia="Arial" w:hAnsi="Arial" w:cs="Arial"/>
                <w:color w:val="auto"/>
                <w:sz w:val="22"/>
                <w:highlight w:val="white"/>
              </w:rPr>
              <w:t>Diazgranados and Funk</w:t>
            </w:r>
            <w:r>
              <w:rPr>
                <w:rFonts w:ascii="Arial" w:eastAsia="Arial" w:hAnsi="Arial" w:cs="Arial"/>
                <w:color w:val="auto"/>
                <w:sz w:val="22"/>
                <w:highlight w:val="white"/>
              </w:rPr>
              <w:t xml:space="preserve"> (</w:t>
            </w:r>
            <w:r w:rsidRPr="008826A1">
              <w:rPr>
                <w:rFonts w:ascii="Arial" w:eastAsia="Arial" w:hAnsi="Arial" w:cs="Arial"/>
                <w:color w:val="auto"/>
                <w:sz w:val="22"/>
                <w:highlight w:val="white"/>
              </w:rPr>
              <w:t>2013</w:t>
            </w:r>
            <w:r>
              <w:rPr>
                <w:rFonts w:ascii="Arial" w:eastAsia="Arial" w:hAnsi="Arial" w:cs="Arial"/>
                <w:color w:val="auto"/>
                <w:sz w:val="22"/>
                <w:highlight w:val="white"/>
              </w:rPr>
              <w:t>)</w:t>
            </w:r>
            <w:r w:rsidRPr="008826A1">
              <w:rPr>
                <w:rFonts w:ascii="Arial" w:eastAsia="Arial" w:hAnsi="Arial" w:cs="Arial"/>
                <w:color w:val="auto"/>
                <w:sz w:val="22"/>
                <w:highlight w:val="white"/>
              </w:rPr>
              <w:t>.</w:t>
            </w:r>
          </w:p>
          <w:p w14:paraId="5B3DFB93" w14:textId="2EEB7143" w:rsidR="000277F7" w:rsidRDefault="00EC2A8B" w:rsidP="000277F7">
            <w:pPr>
              <w:contextualSpacing w:val="0"/>
            </w:pPr>
            <w:hyperlink r:id="rId15" w:history="1">
              <w:r w:rsidR="000277F7" w:rsidRPr="004E2522">
                <w:rPr>
                  <w:rStyle w:val="Hyperlink"/>
                  <w:rFonts w:ascii="Arial" w:eastAsia="Arial" w:hAnsi="Arial" w:cs="Arial"/>
                  <w:sz w:val="22"/>
                  <w:highlight w:val="white"/>
                </w:rPr>
                <w:t>http://www.ncbi.nlm.nih.gov/pmc/articles/PMC3819127/</w:t>
              </w:r>
            </w:hyperlink>
          </w:p>
          <w:p w14:paraId="73E90A78" w14:textId="77777777" w:rsidR="000277F7" w:rsidRDefault="000277F7" w:rsidP="000277F7">
            <w:pPr>
              <w:contextualSpacing w:val="0"/>
            </w:pPr>
          </w:p>
        </w:tc>
      </w:tr>
      <w:tr w:rsidR="000277F7" w14:paraId="3463E9B9" w14:textId="77777777" w:rsidTr="222C6A58">
        <w:trPr>
          <w:cnfStyle w:val="000000010000" w:firstRow="0" w:lastRow="0" w:firstColumn="0" w:lastColumn="0" w:oddVBand="0" w:evenVBand="0" w:oddHBand="0" w:evenHBand="1" w:firstRowFirstColumn="0" w:firstRowLastColumn="0" w:lastRowFirstColumn="0" w:lastRowLastColumn="0"/>
        </w:trPr>
        <w:tc>
          <w:tcPr>
            <w:tcW w:w="720" w:type="dxa"/>
            <w:tcMar>
              <w:top w:w="105" w:type="dxa"/>
              <w:left w:w="105" w:type="dxa"/>
              <w:bottom w:w="105" w:type="dxa"/>
              <w:right w:w="105" w:type="dxa"/>
            </w:tcMar>
          </w:tcPr>
          <w:p w14:paraId="11E43A0D" w14:textId="55C81B86" w:rsidR="000277F7" w:rsidRDefault="000277F7" w:rsidP="000277F7">
            <w:pPr>
              <w:contextualSpacing w:val="0"/>
            </w:pPr>
            <w:r>
              <w:rPr>
                <w:rFonts w:ascii="Arial" w:eastAsia="Arial" w:hAnsi="Arial" w:cs="Arial"/>
                <w:b/>
                <w:sz w:val="22"/>
              </w:rPr>
              <w:t>T5</w:t>
            </w:r>
          </w:p>
        </w:tc>
        <w:tc>
          <w:tcPr>
            <w:tcW w:w="2115" w:type="dxa"/>
            <w:tcMar>
              <w:top w:w="105" w:type="dxa"/>
              <w:left w:w="105" w:type="dxa"/>
              <w:bottom w:w="105" w:type="dxa"/>
              <w:right w:w="105" w:type="dxa"/>
            </w:tcMar>
          </w:tcPr>
          <w:p w14:paraId="7B93BD11" w14:textId="77777777" w:rsidR="000277F7" w:rsidRDefault="000277F7" w:rsidP="000277F7">
            <w:pPr>
              <w:contextualSpacing w:val="0"/>
            </w:pPr>
            <w:r>
              <w:rPr>
                <w:rFonts w:ascii="Arial" w:eastAsia="Arial" w:hAnsi="Arial" w:cs="Arial"/>
                <w:sz w:val="22"/>
              </w:rPr>
              <w:t>Pull specimen folders from cabinet.</w:t>
            </w:r>
          </w:p>
        </w:tc>
        <w:tc>
          <w:tcPr>
            <w:tcW w:w="4018" w:type="dxa"/>
            <w:tcMar>
              <w:top w:w="105" w:type="dxa"/>
              <w:left w:w="105" w:type="dxa"/>
              <w:bottom w:w="105" w:type="dxa"/>
              <w:right w:w="105" w:type="dxa"/>
            </w:tcMar>
          </w:tcPr>
          <w:p w14:paraId="6DC925CA" w14:textId="77777777" w:rsidR="000277F7" w:rsidRDefault="000277F7" w:rsidP="000277F7">
            <w:pPr>
              <w:contextualSpacing w:val="0"/>
            </w:pPr>
            <w:r>
              <w:rPr>
                <w:rFonts w:ascii="Arial" w:eastAsia="Arial" w:hAnsi="Arial" w:cs="Arial"/>
                <w:sz w:val="22"/>
              </w:rPr>
              <w:t>Further decisions and filtering might be applied here if policy or project management plan stipulations limit the number of specimens to be digitized per taxonomic, geographic, or other unit.</w:t>
            </w:r>
          </w:p>
        </w:tc>
        <w:tc>
          <w:tcPr>
            <w:tcW w:w="2807" w:type="dxa"/>
            <w:tcMar>
              <w:top w:w="105" w:type="dxa"/>
              <w:left w:w="105" w:type="dxa"/>
              <w:bottom w:w="105" w:type="dxa"/>
              <w:right w:w="105" w:type="dxa"/>
            </w:tcMar>
          </w:tcPr>
          <w:p w14:paraId="58BBB6E2" w14:textId="77777777" w:rsidR="000277F7" w:rsidRDefault="000277F7" w:rsidP="000277F7">
            <w:pPr>
              <w:contextualSpacing w:val="0"/>
            </w:pPr>
            <w:r>
              <w:rPr>
                <w:rFonts w:ascii="Arial" w:eastAsia="Arial" w:hAnsi="Arial" w:cs="Arial"/>
                <w:sz w:val="22"/>
              </w:rPr>
              <w:t>Digitization policy manual or project management plan.</w:t>
            </w:r>
          </w:p>
        </w:tc>
      </w:tr>
      <w:tr w:rsidR="000277F7" w14:paraId="43719685" w14:textId="77777777" w:rsidTr="222C6A58">
        <w:trPr>
          <w:cnfStyle w:val="000000100000" w:firstRow="0" w:lastRow="0" w:firstColumn="0" w:lastColumn="0" w:oddVBand="0" w:evenVBand="0" w:oddHBand="1" w:evenHBand="0" w:firstRowFirstColumn="0" w:firstRowLastColumn="0" w:lastRowFirstColumn="0" w:lastRowLastColumn="0"/>
        </w:trPr>
        <w:tc>
          <w:tcPr>
            <w:tcW w:w="720" w:type="dxa"/>
            <w:tcMar>
              <w:top w:w="105" w:type="dxa"/>
              <w:left w:w="105" w:type="dxa"/>
              <w:bottom w:w="105" w:type="dxa"/>
              <w:right w:w="105" w:type="dxa"/>
            </w:tcMar>
          </w:tcPr>
          <w:p w14:paraId="780A2E14" w14:textId="12E2CB64" w:rsidR="000277F7" w:rsidRDefault="000277F7" w:rsidP="000277F7">
            <w:pPr>
              <w:contextualSpacing w:val="0"/>
            </w:pPr>
            <w:r>
              <w:rPr>
                <w:rFonts w:ascii="Arial" w:eastAsia="Arial" w:hAnsi="Arial" w:cs="Arial"/>
                <w:b/>
                <w:sz w:val="22"/>
              </w:rPr>
              <w:t>T6</w:t>
            </w:r>
          </w:p>
        </w:tc>
        <w:tc>
          <w:tcPr>
            <w:tcW w:w="2115" w:type="dxa"/>
            <w:tcBorders>
              <w:bottom w:val="single" w:sz="6" w:space="0" w:color="000000" w:themeColor="text1"/>
            </w:tcBorders>
            <w:tcMar>
              <w:top w:w="105" w:type="dxa"/>
              <w:left w:w="105" w:type="dxa"/>
              <w:bottom w:w="105" w:type="dxa"/>
              <w:right w:w="105" w:type="dxa"/>
            </w:tcMar>
          </w:tcPr>
          <w:p w14:paraId="3996A73B" w14:textId="77777777" w:rsidR="000277F7" w:rsidRDefault="000277F7" w:rsidP="000277F7">
            <w:pPr>
              <w:contextualSpacing w:val="0"/>
            </w:pPr>
            <w:r>
              <w:rPr>
                <w:rFonts w:ascii="Arial" w:eastAsia="Arial" w:hAnsi="Arial" w:cs="Arial"/>
                <w:sz w:val="22"/>
              </w:rPr>
              <w:t>Iteratively curate collection in place, including nomenclatural standardization and annotations.</w:t>
            </w:r>
          </w:p>
        </w:tc>
        <w:tc>
          <w:tcPr>
            <w:tcW w:w="4018" w:type="dxa"/>
            <w:tcMar>
              <w:top w:w="105" w:type="dxa"/>
              <w:left w:w="105" w:type="dxa"/>
              <w:bottom w:w="105" w:type="dxa"/>
              <w:right w:w="105" w:type="dxa"/>
            </w:tcMar>
          </w:tcPr>
          <w:p w14:paraId="639A66E9" w14:textId="77777777" w:rsidR="000277F7" w:rsidRDefault="000277F7" w:rsidP="000277F7">
            <w:pPr>
              <w:contextualSpacing w:val="0"/>
            </w:pPr>
            <w:r>
              <w:rPr>
                <w:rFonts w:ascii="Arial" w:eastAsia="Arial" w:hAnsi="Arial" w:cs="Arial"/>
                <w:sz w:val="22"/>
              </w:rPr>
              <w:t>This task might be accomplished before, after, or during the digitization process. This task may include</w:t>
            </w:r>
          </w:p>
          <w:p w14:paraId="356AE8BD" w14:textId="77777777" w:rsidR="000277F7" w:rsidRPr="00D37BE1" w:rsidRDefault="000277F7" w:rsidP="000277F7">
            <w:pPr>
              <w:numPr>
                <w:ilvl w:val="0"/>
                <w:numId w:val="1"/>
              </w:numPr>
              <w:ind w:hanging="360"/>
              <w:rPr>
                <w:sz w:val="22"/>
              </w:rPr>
            </w:pPr>
            <w:r>
              <w:rPr>
                <w:rFonts w:ascii="Arial" w:eastAsia="Arial" w:hAnsi="Arial" w:cs="Arial"/>
                <w:sz w:val="22"/>
              </w:rPr>
              <w:t>determining if the specimen label is consistent with the folder “filed-as” name,</w:t>
            </w:r>
          </w:p>
          <w:p w14:paraId="616F6A4F" w14:textId="5E78AE56" w:rsidR="000277F7" w:rsidRDefault="000277F7" w:rsidP="000277F7">
            <w:pPr>
              <w:numPr>
                <w:ilvl w:val="0"/>
                <w:numId w:val="1"/>
              </w:numPr>
              <w:ind w:hanging="360"/>
              <w:rPr>
                <w:sz w:val="22"/>
              </w:rPr>
            </w:pPr>
            <w:r>
              <w:rPr>
                <w:rFonts w:ascii="Arial" w:eastAsia="Arial" w:hAnsi="Arial" w:cs="Arial"/>
                <w:sz w:val="22"/>
              </w:rPr>
              <w:t>updating the nomenclature to a standard source (e.g., Flora of North America),</w:t>
            </w:r>
          </w:p>
          <w:p w14:paraId="0A4E35C4" w14:textId="5DC39985" w:rsidR="000277F7" w:rsidRDefault="000277F7" w:rsidP="000277F7">
            <w:pPr>
              <w:numPr>
                <w:ilvl w:val="0"/>
                <w:numId w:val="1"/>
              </w:numPr>
              <w:ind w:hanging="360"/>
              <w:rPr>
                <w:sz w:val="22"/>
              </w:rPr>
            </w:pPr>
            <w:r>
              <w:rPr>
                <w:rFonts w:ascii="Arial" w:eastAsia="Arial" w:hAnsi="Arial" w:cs="Arial"/>
                <w:sz w:val="22"/>
              </w:rPr>
              <w:t>identifying and annotating the specimen, including routing the specimen to a taxonomist or other competent personnel,</w:t>
            </w:r>
          </w:p>
          <w:p w14:paraId="7571443E" w14:textId="77777777" w:rsidR="000277F7" w:rsidRDefault="000277F7" w:rsidP="000277F7">
            <w:pPr>
              <w:numPr>
                <w:ilvl w:val="0"/>
                <w:numId w:val="1"/>
              </w:numPr>
              <w:ind w:hanging="360"/>
              <w:rPr>
                <w:sz w:val="22"/>
              </w:rPr>
            </w:pPr>
            <w:r>
              <w:rPr>
                <w:rFonts w:ascii="Arial" w:eastAsia="Arial" w:hAnsi="Arial" w:cs="Arial"/>
                <w:sz w:val="22"/>
              </w:rPr>
              <w:t>deaccessioning specimens.</w:t>
            </w:r>
          </w:p>
          <w:p w14:paraId="1553E687" w14:textId="77777777" w:rsidR="000277F7" w:rsidRDefault="000277F7" w:rsidP="000277F7">
            <w:pPr>
              <w:contextualSpacing w:val="0"/>
            </w:pPr>
          </w:p>
          <w:p w14:paraId="4EBF8104" w14:textId="77777777" w:rsidR="000277F7" w:rsidRDefault="000277F7" w:rsidP="000277F7">
            <w:pPr>
              <w:contextualSpacing w:val="0"/>
            </w:pPr>
            <w:r>
              <w:rPr>
                <w:rFonts w:ascii="Arial" w:eastAsia="Arial" w:hAnsi="Arial" w:cs="Arial"/>
                <w:sz w:val="22"/>
              </w:rPr>
              <w:t>It should be noted that specimens routed to a taxonomist might be removed from the active digitization workflow for an extended period to allow identification/annotation activities to be completed, and may necessitate the design of an efficient re-insertion strategy for returning these specimens to the workflow.</w:t>
            </w:r>
          </w:p>
          <w:p w14:paraId="23C5443B" w14:textId="77777777" w:rsidR="000277F7" w:rsidRDefault="000277F7" w:rsidP="000277F7">
            <w:pPr>
              <w:contextualSpacing w:val="0"/>
            </w:pPr>
          </w:p>
          <w:p w14:paraId="61D753BD" w14:textId="13944C86" w:rsidR="000277F7" w:rsidRDefault="000277F7" w:rsidP="000277F7">
            <w:pPr>
              <w:contextualSpacing w:val="0"/>
            </w:pPr>
            <w:r>
              <w:rPr>
                <w:rFonts w:ascii="Arial" w:eastAsia="Arial" w:hAnsi="Arial" w:cs="Arial"/>
                <w:sz w:val="22"/>
              </w:rPr>
              <w:t>This curation step might potentially encompass all manner of curatorial activities including: adding missing accession stamps; rehousing specimens from damaged folders, boxes, etc.; re-filing incorrectly housed specimens; re-organization of herbarium to updated filing system.</w:t>
            </w:r>
          </w:p>
        </w:tc>
        <w:tc>
          <w:tcPr>
            <w:tcW w:w="2807" w:type="dxa"/>
            <w:tcMar>
              <w:top w:w="105" w:type="dxa"/>
              <w:left w:w="105" w:type="dxa"/>
              <w:bottom w:w="105" w:type="dxa"/>
              <w:right w:w="105" w:type="dxa"/>
            </w:tcMar>
          </w:tcPr>
          <w:p w14:paraId="1CB45E5E" w14:textId="63AFE9B3" w:rsidR="000277F7" w:rsidRDefault="000277F7" w:rsidP="000277F7">
            <w:pPr>
              <w:contextualSpacing w:val="0"/>
            </w:pPr>
            <w:r>
              <w:rPr>
                <w:rFonts w:ascii="Arial" w:eastAsia="Arial" w:hAnsi="Arial" w:cs="Arial"/>
                <w:sz w:val="22"/>
              </w:rPr>
              <w:t>Workspace</w:t>
            </w:r>
            <w:r w:rsidR="00802970">
              <w:rPr>
                <w:rFonts w:ascii="Arial" w:eastAsia="Arial" w:hAnsi="Arial" w:cs="Arial"/>
                <w:sz w:val="22"/>
              </w:rPr>
              <w:t>.</w:t>
            </w:r>
          </w:p>
          <w:p w14:paraId="4E94F46B" w14:textId="77777777" w:rsidR="000277F7" w:rsidRDefault="000277F7" w:rsidP="000277F7">
            <w:pPr>
              <w:contextualSpacing w:val="0"/>
            </w:pPr>
            <w:r>
              <w:rPr>
                <w:rFonts w:ascii="Arial" w:eastAsia="Arial" w:hAnsi="Arial" w:cs="Arial"/>
                <w:sz w:val="22"/>
              </w:rPr>
              <w:t>Taxonomist.</w:t>
            </w:r>
          </w:p>
        </w:tc>
      </w:tr>
      <w:tr w:rsidR="000277F7" w14:paraId="1E6078C2" w14:textId="77777777" w:rsidTr="222C6A58">
        <w:trPr>
          <w:cnfStyle w:val="000000010000" w:firstRow="0" w:lastRow="0" w:firstColumn="0" w:lastColumn="0" w:oddVBand="0" w:evenVBand="0" w:oddHBand="0" w:evenHBand="1" w:firstRowFirstColumn="0" w:firstRowLastColumn="0" w:lastRowFirstColumn="0" w:lastRowLastColumn="0"/>
        </w:trPr>
        <w:tc>
          <w:tcPr>
            <w:tcW w:w="720" w:type="dxa"/>
            <w:shd w:val="clear" w:color="auto" w:fill="FFFFFF" w:themeFill="background1"/>
            <w:tcMar>
              <w:top w:w="105" w:type="dxa"/>
              <w:left w:w="105" w:type="dxa"/>
              <w:bottom w:w="105" w:type="dxa"/>
              <w:right w:w="105" w:type="dxa"/>
            </w:tcMar>
          </w:tcPr>
          <w:p w14:paraId="77A84A80" w14:textId="0037057C" w:rsidR="000277F7" w:rsidRDefault="000277F7" w:rsidP="000277F7">
            <w:pPr>
              <w:contextualSpacing w:val="0"/>
            </w:pPr>
            <w:r>
              <w:rPr>
                <w:rFonts w:ascii="Arial" w:eastAsia="Arial" w:hAnsi="Arial" w:cs="Arial"/>
                <w:b/>
                <w:sz w:val="22"/>
              </w:rPr>
              <w:t>T7</w:t>
            </w:r>
          </w:p>
        </w:tc>
        <w:tc>
          <w:tcPr>
            <w:tcW w:w="2115" w:type="dxa"/>
            <w:shd w:val="clear" w:color="auto" w:fill="FFFFFF" w:themeFill="background1"/>
            <w:tcMar>
              <w:top w:w="105" w:type="dxa"/>
              <w:left w:w="105" w:type="dxa"/>
              <w:bottom w:w="105" w:type="dxa"/>
              <w:right w:w="105" w:type="dxa"/>
            </w:tcMar>
          </w:tcPr>
          <w:p w14:paraId="0E3EF6B5" w14:textId="77777777" w:rsidR="000277F7" w:rsidRDefault="000277F7" w:rsidP="000277F7">
            <w:pPr>
              <w:contextualSpacing w:val="0"/>
            </w:pPr>
            <w:r>
              <w:rPr>
                <w:rFonts w:ascii="Arial" w:eastAsia="Arial" w:hAnsi="Arial" w:cs="Arial"/>
                <w:sz w:val="22"/>
              </w:rPr>
              <w:t>Remove specimen from collection and bring to digitization station area.</w:t>
            </w:r>
          </w:p>
        </w:tc>
        <w:tc>
          <w:tcPr>
            <w:tcW w:w="4018" w:type="dxa"/>
            <w:shd w:val="clear" w:color="auto" w:fill="FFFFFF" w:themeFill="background1"/>
            <w:tcMar>
              <w:top w:w="105" w:type="dxa"/>
              <w:left w:w="105" w:type="dxa"/>
              <w:bottom w:w="105" w:type="dxa"/>
              <w:right w:w="105" w:type="dxa"/>
            </w:tcMar>
          </w:tcPr>
          <w:p w14:paraId="208B27F1" w14:textId="77777777" w:rsidR="000277F7" w:rsidRDefault="000277F7" w:rsidP="000277F7">
            <w:pPr>
              <w:contextualSpacing w:val="0"/>
            </w:pPr>
            <w:r>
              <w:rPr>
                <w:rFonts w:ascii="Arial" w:eastAsia="Arial" w:hAnsi="Arial" w:cs="Arial"/>
                <w:sz w:val="22"/>
              </w:rPr>
              <w:t>Usually involves several to numerous folders, depending upon storage space at imaging station. Can use carts, a cabinet on a dolly, or a dedicated cabinet adjacent to imaging station.</w:t>
            </w:r>
          </w:p>
        </w:tc>
        <w:tc>
          <w:tcPr>
            <w:tcW w:w="2807" w:type="dxa"/>
            <w:shd w:val="clear" w:color="auto" w:fill="FFFFFF" w:themeFill="background1"/>
            <w:tcMar>
              <w:top w:w="105" w:type="dxa"/>
              <w:left w:w="105" w:type="dxa"/>
              <w:bottom w:w="105" w:type="dxa"/>
              <w:right w:w="105" w:type="dxa"/>
            </w:tcMar>
          </w:tcPr>
          <w:p w14:paraId="15880625" w14:textId="182D59E7" w:rsidR="000277F7" w:rsidRDefault="000277F7" w:rsidP="000277F7">
            <w:pPr>
              <w:contextualSpacing w:val="0"/>
            </w:pPr>
            <w:r>
              <w:rPr>
                <w:rFonts w:ascii="Arial" w:eastAsia="Arial" w:hAnsi="Arial" w:cs="Arial"/>
                <w:sz w:val="22"/>
              </w:rPr>
              <w:t>Cart, mobile cabinet, or dedicated cabinet.</w:t>
            </w:r>
          </w:p>
        </w:tc>
      </w:tr>
      <w:tr w:rsidR="000277F7" w14:paraId="4FEE83E0" w14:textId="77777777" w:rsidTr="222C6A58">
        <w:trPr>
          <w:cnfStyle w:val="000000100000" w:firstRow="0" w:lastRow="0" w:firstColumn="0" w:lastColumn="0" w:oddVBand="0" w:evenVBand="0" w:oddHBand="1" w:evenHBand="0" w:firstRowFirstColumn="0" w:firstRowLastColumn="0" w:lastRowFirstColumn="0" w:lastRowLastColumn="0"/>
        </w:trPr>
        <w:tc>
          <w:tcPr>
            <w:tcW w:w="720" w:type="dxa"/>
            <w:tcMar>
              <w:top w:w="105" w:type="dxa"/>
              <w:left w:w="105" w:type="dxa"/>
              <w:bottom w:w="105" w:type="dxa"/>
              <w:right w:w="105" w:type="dxa"/>
            </w:tcMar>
          </w:tcPr>
          <w:p w14:paraId="7605709B" w14:textId="291A9CBB" w:rsidR="000277F7" w:rsidRDefault="000277F7" w:rsidP="000277F7">
            <w:pPr>
              <w:contextualSpacing w:val="0"/>
            </w:pPr>
            <w:r>
              <w:rPr>
                <w:rFonts w:ascii="Arial" w:eastAsia="Arial" w:hAnsi="Arial" w:cs="Arial"/>
                <w:b/>
                <w:sz w:val="22"/>
              </w:rPr>
              <w:t>T8</w:t>
            </w:r>
          </w:p>
        </w:tc>
        <w:tc>
          <w:tcPr>
            <w:tcW w:w="2115" w:type="dxa"/>
            <w:tcMar>
              <w:top w:w="105" w:type="dxa"/>
              <w:left w:w="105" w:type="dxa"/>
              <w:bottom w:w="105" w:type="dxa"/>
              <w:right w:w="105" w:type="dxa"/>
            </w:tcMar>
            <w:vAlign w:val="bottom"/>
          </w:tcPr>
          <w:p w14:paraId="49BDEB1C" w14:textId="77777777" w:rsidR="000277F7" w:rsidRDefault="000277F7" w:rsidP="000277F7">
            <w:pPr>
              <w:contextualSpacing w:val="0"/>
            </w:pPr>
            <w:r>
              <w:rPr>
                <w:rFonts w:ascii="Arial" w:eastAsia="Arial" w:hAnsi="Arial" w:cs="Arial"/>
                <w:sz w:val="22"/>
              </w:rPr>
              <w:t>Document/flag location of removed specimens to ensure accurate return of the specimen to the appropriate storage location.</w:t>
            </w:r>
          </w:p>
        </w:tc>
        <w:tc>
          <w:tcPr>
            <w:tcW w:w="4018" w:type="dxa"/>
            <w:tcMar>
              <w:top w:w="105" w:type="dxa"/>
              <w:left w:w="105" w:type="dxa"/>
              <w:bottom w:w="105" w:type="dxa"/>
              <w:right w:w="105" w:type="dxa"/>
            </w:tcMar>
          </w:tcPr>
          <w:p w14:paraId="15F1744E" w14:textId="77777777" w:rsidR="000277F7" w:rsidRDefault="000277F7" w:rsidP="000277F7">
            <w:pPr>
              <w:contextualSpacing w:val="0"/>
            </w:pPr>
            <w:r>
              <w:rPr>
                <w:rFonts w:ascii="Arial" w:eastAsia="Arial" w:hAnsi="Arial" w:cs="Arial"/>
                <w:sz w:val="22"/>
              </w:rPr>
              <w:t>This occurs at the cabinet level.</w:t>
            </w:r>
          </w:p>
        </w:tc>
        <w:tc>
          <w:tcPr>
            <w:tcW w:w="2807" w:type="dxa"/>
            <w:tcMar>
              <w:top w:w="105" w:type="dxa"/>
              <w:left w:w="105" w:type="dxa"/>
              <w:bottom w:w="105" w:type="dxa"/>
              <w:right w:w="105" w:type="dxa"/>
            </w:tcMar>
          </w:tcPr>
          <w:p w14:paraId="6B0793B9" w14:textId="77777777" w:rsidR="000277F7" w:rsidRDefault="000277F7" w:rsidP="000277F7">
            <w:pPr>
              <w:contextualSpacing w:val="0"/>
            </w:pPr>
            <w:r>
              <w:rPr>
                <w:rFonts w:ascii="Arial" w:eastAsia="Arial" w:hAnsi="Arial" w:cs="Arial"/>
                <w:sz w:val="22"/>
              </w:rPr>
              <w:t>Flagging accessories.</w:t>
            </w:r>
          </w:p>
          <w:p w14:paraId="1CBB13AD" w14:textId="77777777" w:rsidR="000277F7" w:rsidRDefault="000277F7" w:rsidP="000277F7">
            <w:pPr>
              <w:contextualSpacing w:val="0"/>
            </w:pPr>
            <w:r>
              <w:rPr>
                <w:rFonts w:ascii="Arial" w:eastAsia="Arial" w:hAnsi="Arial" w:cs="Arial"/>
                <w:sz w:val="22"/>
              </w:rPr>
              <w:t>Collection filing policy.</w:t>
            </w:r>
          </w:p>
        </w:tc>
      </w:tr>
      <w:tr w:rsidR="000277F7" w14:paraId="139FEAE5" w14:textId="77777777" w:rsidTr="222C6A58">
        <w:trPr>
          <w:cnfStyle w:val="000000010000" w:firstRow="0" w:lastRow="0" w:firstColumn="0" w:lastColumn="0" w:oddVBand="0" w:evenVBand="0" w:oddHBand="0" w:evenHBand="1" w:firstRowFirstColumn="0" w:firstRowLastColumn="0" w:lastRowFirstColumn="0" w:lastRowLastColumn="0"/>
        </w:trPr>
        <w:tc>
          <w:tcPr>
            <w:tcW w:w="720" w:type="dxa"/>
            <w:tcMar>
              <w:top w:w="105" w:type="dxa"/>
              <w:left w:w="105" w:type="dxa"/>
              <w:bottom w:w="105" w:type="dxa"/>
              <w:right w:w="105" w:type="dxa"/>
            </w:tcMar>
          </w:tcPr>
          <w:p w14:paraId="0C4612C7" w14:textId="626A819A" w:rsidR="000277F7" w:rsidRDefault="000277F7" w:rsidP="000277F7">
            <w:pPr>
              <w:contextualSpacing w:val="0"/>
            </w:pPr>
            <w:r>
              <w:rPr>
                <w:rFonts w:ascii="Arial" w:eastAsia="Arial" w:hAnsi="Arial" w:cs="Arial"/>
                <w:b/>
                <w:sz w:val="22"/>
              </w:rPr>
              <w:t>T9</w:t>
            </w:r>
          </w:p>
        </w:tc>
        <w:tc>
          <w:tcPr>
            <w:tcW w:w="2115" w:type="dxa"/>
            <w:tcMar>
              <w:top w:w="105" w:type="dxa"/>
              <w:left w:w="105" w:type="dxa"/>
              <w:bottom w:w="105" w:type="dxa"/>
              <w:right w:w="105" w:type="dxa"/>
            </w:tcMar>
          </w:tcPr>
          <w:p w14:paraId="774B0D11" w14:textId="77777777" w:rsidR="000277F7" w:rsidRDefault="000277F7" w:rsidP="000277F7">
            <w:pPr>
              <w:contextualSpacing w:val="0"/>
            </w:pPr>
            <w:r>
              <w:rPr>
                <w:rFonts w:ascii="Arial" w:eastAsia="Arial" w:hAnsi="Arial" w:cs="Arial"/>
                <w:sz w:val="22"/>
              </w:rPr>
              <w:t>Separate specimens that need barcodes/imaging from those already barcoded or imaged.</w:t>
            </w:r>
          </w:p>
        </w:tc>
        <w:tc>
          <w:tcPr>
            <w:tcW w:w="4018" w:type="dxa"/>
            <w:tcMar>
              <w:top w:w="105" w:type="dxa"/>
              <w:left w:w="105" w:type="dxa"/>
              <w:bottom w:w="105" w:type="dxa"/>
              <w:right w:w="105" w:type="dxa"/>
            </w:tcMar>
          </w:tcPr>
          <w:p w14:paraId="15414EE6" w14:textId="77777777" w:rsidR="000277F7" w:rsidRDefault="000277F7" w:rsidP="000277F7">
            <w:pPr>
              <w:contextualSpacing w:val="0"/>
            </w:pPr>
            <w:r>
              <w:rPr>
                <w:rFonts w:ascii="Arial" w:eastAsia="Arial" w:hAnsi="Arial" w:cs="Arial"/>
                <w:sz w:val="22"/>
              </w:rPr>
              <w:t>Some institutions have previously barcoded and/or imaged specimens from prior projects.</w:t>
            </w:r>
          </w:p>
        </w:tc>
        <w:tc>
          <w:tcPr>
            <w:tcW w:w="2807" w:type="dxa"/>
            <w:tcMar>
              <w:top w:w="105" w:type="dxa"/>
              <w:left w:w="105" w:type="dxa"/>
              <w:bottom w:w="105" w:type="dxa"/>
              <w:right w:w="105" w:type="dxa"/>
            </w:tcMar>
          </w:tcPr>
          <w:p w14:paraId="057C7BA4" w14:textId="77777777" w:rsidR="000277F7" w:rsidRDefault="000277F7" w:rsidP="000277F7">
            <w:pPr>
              <w:contextualSpacing w:val="0"/>
            </w:pPr>
          </w:p>
        </w:tc>
      </w:tr>
      <w:tr w:rsidR="000277F7" w14:paraId="264F0573" w14:textId="77777777" w:rsidTr="222C6A58">
        <w:trPr>
          <w:cnfStyle w:val="000000100000" w:firstRow="0" w:lastRow="0" w:firstColumn="0" w:lastColumn="0" w:oddVBand="0" w:evenVBand="0" w:oddHBand="1" w:evenHBand="0" w:firstRowFirstColumn="0" w:firstRowLastColumn="0" w:lastRowFirstColumn="0" w:lastRowLastColumn="0"/>
        </w:trPr>
        <w:tc>
          <w:tcPr>
            <w:tcW w:w="720" w:type="dxa"/>
            <w:tcMar>
              <w:top w:w="105" w:type="dxa"/>
              <w:left w:w="105" w:type="dxa"/>
              <w:bottom w:w="105" w:type="dxa"/>
              <w:right w:w="105" w:type="dxa"/>
            </w:tcMar>
          </w:tcPr>
          <w:p w14:paraId="7902FC06" w14:textId="2DAB0582" w:rsidR="000277F7" w:rsidRDefault="000277F7" w:rsidP="000277F7">
            <w:pPr>
              <w:contextualSpacing w:val="0"/>
            </w:pPr>
            <w:r>
              <w:rPr>
                <w:rFonts w:ascii="Arial" w:eastAsia="Arial" w:hAnsi="Arial" w:cs="Arial"/>
                <w:b/>
                <w:sz w:val="22"/>
              </w:rPr>
              <w:t>T10</w:t>
            </w:r>
          </w:p>
        </w:tc>
        <w:tc>
          <w:tcPr>
            <w:tcW w:w="2115" w:type="dxa"/>
            <w:tcMar>
              <w:top w:w="105" w:type="dxa"/>
              <w:left w:w="105" w:type="dxa"/>
              <w:bottom w:w="105" w:type="dxa"/>
              <w:right w:w="105" w:type="dxa"/>
            </w:tcMar>
          </w:tcPr>
          <w:p w14:paraId="028B7229" w14:textId="77777777" w:rsidR="000277F7" w:rsidRDefault="000277F7" w:rsidP="000277F7">
            <w:pPr>
              <w:contextualSpacing w:val="0"/>
            </w:pPr>
            <w:r>
              <w:rPr>
                <w:rFonts w:ascii="Arial" w:eastAsia="Arial" w:hAnsi="Arial" w:cs="Arial"/>
                <w:sz w:val="22"/>
              </w:rPr>
              <w:t>Establish protocol for repairing and rerouting specimens in the digitization process.</w:t>
            </w:r>
          </w:p>
        </w:tc>
        <w:tc>
          <w:tcPr>
            <w:tcW w:w="4018" w:type="dxa"/>
            <w:tcMar>
              <w:top w:w="105" w:type="dxa"/>
              <w:left w:w="105" w:type="dxa"/>
              <w:bottom w:w="105" w:type="dxa"/>
              <w:right w:w="105" w:type="dxa"/>
            </w:tcMar>
          </w:tcPr>
          <w:p w14:paraId="3AA74BA9" w14:textId="33E564F3" w:rsidR="000277F7" w:rsidRDefault="000277F7" w:rsidP="000277F7">
            <w:pPr>
              <w:contextualSpacing w:val="0"/>
            </w:pPr>
            <w:r>
              <w:rPr>
                <w:rFonts w:ascii="Arial" w:eastAsia="Arial" w:hAnsi="Arial" w:cs="Arial"/>
                <w:sz w:val="22"/>
              </w:rPr>
              <w:t>For example, a protocol might establish the priority of imaging the specimen as is (arrange on sheet) and image prior to routing for repair.  Otherwise, consider beforehand how repaired specimens will be re-inserted into the imaging process and refiled after imaging. This activity could also take place in T6 (Iterative Curation).</w:t>
            </w:r>
          </w:p>
        </w:tc>
        <w:tc>
          <w:tcPr>
            <w:tcW w:w="2807" w:type="dxa"/>
            <w:tcMar>
              <w:top w:w="105" w:type="dxa"/>
              <w:left w:w="105" w:type="dxa"/>
              <w:bottom w:w="105" w:type="dxa"/>
              <w:right w:w="105" w:type="dxa"/>
            </w:tcMar>
          </w:tcPr>
          <w:p w14:paraId="3F0E7826" w14:textId="77777777" w:rsidR="000277F7" w:rsidRDefault="000277F7" w:rsidP="000277F7">
            <w:pPr>
              <w:contextualSpacing w:val="0"/>
            </w:pPr>
            <w:r>
              <w:rPr>
                <w:rFonts w:ascii="Arial" w:eastAsia="Arial" w:hAnsi="Arial" w:cs="Arial"/>
                <w:sz w:val="22"/>
              </w:rPr>
              <w:t>Repair tools and accessories.</w:t>
            </w:r>
          </w:p>
          <w:p w14:paraId="29242DE9" w14:textId="77777777" w:rsidR="000277F7" w:rsidRDefault="000277F7" w:rsidP="000277F7">
            <w:pPr>
              <w:contextualSpacing w:val="0"/>
            </w:pPr>
            <w:r>
              <w:rPr>
                <w:rFonts w:ascii="Arial" w:eastAsia="Arial" w:hAnsi="Arial" w:cs="Arial"/>
                <w:sz w:val="22"/>
              </w:rPr>
              <w:t>Conservation protocols/</w:t>
            </w:r>
          </w:p>
          <w:p w14:paraId="6C0210E5" w14:textId="77777777" w:rsidR="000277F7" w:rsidRDefault="000277F7" w:rsidP="000277F7">
            <w:pPr>
              <w:contextualSpacing w:val="0"/>
            </w:pPr>
            <w:r>
              <w:rPr>
                <w:rFonts w:ascii="Arial" w:eastAsia="Arial" w:hAnsi="Arial" w:cs="Arial"/>
                <w:sz w:val="22"/>
              </w:rPr>
              <w:t>policy.</w:t>
            </w:r>
          </w:p>
        </w:tc>
      </w:tr>
      <w:tr w:rsidR="000277F7" w14:paraId="29052843" w14:textId="77777777" w:rsidTr="222C6A58">
        <w:trPr>
          <w:cnfStyle w:val="000000010000" w:firstRow="0" w:lastRow="0" w:firstColumn="0" w:lastColumn="0" w:oddVBand="0" w:evenVBand="0" w:oddHBand="0" w:evenHBand="1" w:firstRowFirstColumn="0" w:firstRowLastColumn="0" w:lastRowFirstColumn="0" w:lastRowLastColumn="0"/>
        </w:trPr>
        <w:tc>
          <w:tcPr>
            <w:tcW w:w="720" w:type="dxa"/>
            <w:shd w:val="clear" w:color="auto" w:fill="FFFFFF" w:themeFill="background1"/>
            <w:tcMar>
              <w:top w:w="105" w:type="dxa"/>
              <w:left w:w="105" w:type="dxa"/>
              <w:bottom w:w="105" w:type="dxa"/>
              <w:right w:w="105" w:type="dxa"/>
            </w:tcMar>
          </w:tcPr>
          <w:p w14:paraId="563D7A3E" w14:textId="77777777" w:rsidR="000277F7" w:rsidRDefault="000277F7" w:rsidP="000277F7">
            <w:pPr>
              <w:contextualSpacing w:val="0"/>
            </w:pPr>
            <w:r>
              <w:rPr>
                <w:rFonts w:ascii="Arial" w:eastAsia="Arial" w:hAnsi="Arial" w:cs="Arial"/>
                <w:b/>
                <w:sz w:val="22"/>
              </w:rPr>
              <w:t>T11</w:t>
            </w:r>
          </w:p>
        </w:tc>
        <w:tc>
          <w:tcPr>
            <w:tcW w:w="2115" w:type="dxa"/>
            <w:shd w:val="clear" w:color="auto" w:fill="FFFFFF" w:themeFill="background1"/>
            <w:tcMar>
              <w:top w:w="105" w:type="dxa"/>
              <w:left w:w="105" w:type="dxa"/>
              <w:bottom w:w="105" w:type="dxa"/>
              <w:right w:w="105" w:type="dxa"/>
            </w:tcMar>
          </w:tcPr>
          <w:p w14:paraId="0F879250" w14:textId="0967E27A" w:rsidR="000277F7" w:rsidRDefault="000277F7" w:rsidP="000277F7">
            <w:pPr>
              <w:contextualSpacing w:val="0"/>
            </w:pPr>
            <w:r>
              <w:rPr>
                <w:rFonts w:ascii="Arial" w:eastAsia="Arial" w:hAnsi="Arial" w:cs="Arial"/>
                <w:sz w:val="22"/>
              </w:rPr>
              <w:t xml:space="preserve">Apply </w:t>
            </w:r>
            <w:r w:rsidR="00785EFC">
              <w:rPr>
                <w:rFonts w:ascii="Arial" w:eastAsia="Arial" w:hAnsi="Arial" w:cs="Arial"/>
                <w:sz w:val="22"/>
              </w:rPr>
              <w:t xml:space="preserve">barcode </w:t>
            </w:r>
            <w:r>
              <w:rPr>
                <w:rFonts w:ascii="Arial" w:eastAsia="Arial" w:hAnsi="Arial" w:cs="Arial"/>
                <w:sz w:val="22"/>
              </w:rPr>
              <w:t xml:space="preserve">with </w:t>
            </w:r>
            <w:r w:rsidR="00785EFC">
              <w:rPr>
                <w:rFonts w:ascii="Arial" w:eastAsia="Arial" w:hAnsi="Arial" w:cs="Arial"/>
                <w:sz w:val="22"/>
              </w:rPr>
              <w:t>accession</w:t>
            </w:r>
            <w:r>
              <w:rPr>
                <w:rFonts w:ascii="Arial" w:eastAsia="Arial" w:hAnsi="Arial" w:cs="Arial"/>
                <w:sz w:val="22"/>
              </w:rPr>
              <w:t>/</w:t>
            </w:r>
            <w:r w:rsidR="00785EFC">
              <w:rPr>
                <w:rFonts w:ascii="Arial" w:eastAsia="Arial" w:hAnsi="Arial" w:cs="Arial"/>
                <w:sz w:val="22"/>
              </w:rPr>
              <w:t>catalog</w:t>
            </w:r>
            <w:r>
              <w:rPr>
                <w:rFonts w:ascii="Arial" w:eastAsia="Arial" w:hAnsi="Arial" w:cs="Arial"/>
                <w:sz w:val="22"/>
              </w:rPr>
              <w:t>/</w:t>
            </w:r>
          </w:p>
          <w:p w14:paraId="5F04CF38" w14:textId="716809B9" w:rsidR="000277F7" w:rsidRDefault="00785EFC" w:rsidP="000277F7">
            <w:pPr>
              <w:contextualSpacing w:val="0"/>
            </w:pPr>
            <w:r>
              <w:rPr>
                <w:rFonts w:ascii="Arial" w:eastAsia="Arial" w:hAnsi="Arial" w:cs="Arial"/>
                <w:sz w:val="22"/>
              </w:rPr>
              <w:t xml:space="preserve">barcode </w:t>
            </w:r>
            <w:r w:rsidR="000277F7">
              <w:rPr>
                <w:rFonts w:ascii="Arial" w:eastAsia="Arial" w:hAnsi="Arial" w:cs="Arial"/>
                <w:sz w:val="22"/>
              </w:rPr>
              <w:t>number to individual collection objects (if not already barcoded).</w:t>
            </w:r>
          </w:p>
        </w:tc>
        <w:tc>
          <w:tcPr>
            <w:tcW w:w="4018" w:type="dxa"/>
            <w:shd w:val="clear" w:color="auto" w:fill="FFFFFF" w:themeFill="background1"/>
            <w:tcMar>
              <w:top w:w="105" w:type="dxa"/>
              <w:left w:w="105" w:type="dxa"/>
              <w:bottom w:w="105" w:type="dxa"/>
              <w:right w:w="105" w:type="dxa"/>
            </w:tcMar>
          </w:tcPr>
          <w:p w14:paraId="568E6E1C" w14:textId="77777777" w:rsidR="000277F7" w:rsidRDefault="000277F7" w:rsidP="000277F7">
            <w:pPr>
              <w:contextualSpacing w:val="0"/>
            </w:pPr>
            <w:r>
              <w:rPr>
                <w:rFonts w:ascii="Arial" w:eastAsia="Arial" w:hAnsi="Arial" w:cs="Arial"/>
                <w:sz w:val="22"/>
              </w:rPr>
              <w:t>Depending on protocol, application of barcodes is sometimes accomplished earlier as an independent iterative process. However, it is recommended that barcodes be used to denote an imaged specimen.</w:t>
            </w:r>
          </w:p>
        </w:tc>
        <w:tc>
          <w:tcPr>
            <w:tcW w:w="2807" w:type="dxa"/>
            <w:shd w:val="clear" w:color="auto" w:fill="FFFFFF" w:themeFill="background1"/>
            <w:tcMar>
              <w:top w:w="105" w:type="dxa"/>
              <w:left w:w="105" w:type="dxa"/>
              <w:bottom w:w="105" w:type="dxa"/>
              <w:right w:w="105" w:type="dxa"/>
            </w:tcMar>
          </w:tcPr>
          <w:p w14:paraId="31230F0D" w14:textId="77777777" w:rsidR="000277F7" w:rsidRDefault="000277F7" w:rsidP="000277F7">
            <w:pPr>
              <w:contextualSpacing w:val="0"/>
            </w:pPr>
            <w:r>
              <w:rPr>
                <w:rFonts w:ascii="Arial" w:eastAsia="Arial" w:hAnsi="Arial" w:cs="Arial"/>
                <w:sz w:val="22"/>
              </w:rPr>
              <w:t>Barcodes.</w:t>
            </w:r>
          </w:p>
        </w:tc>
      </w:tr>
      <w:tr w:rsidR="000277F7" w14:paraId="3C4FB252" w14:textId="77777777" w:rsidTr="222C6A58">
        <w:trPr>
          <w:cnfStyle w:val="000000100000" w:firstRow="0" w:lastRow="0" w:firstColumn="0" w:lastColumn="0" w:oddVBand="0" w:evenVBand="0" w:oddHBand="1" w:evenHBand="0" w:firstRowFirstColumn="0" w:firstRowLastColumn="0" w:lastRowFirstColumn="0" w:lastRowLastColumn="0"/>
        </w:trPr>
        <w:tc>
          <w:tcPr>
            <w:tcW w:w="720" w:type="dxa"/>
            <w:tcMar>
              <w:top w:w="105" w:type="dxa"/>
              <w:left w:w="105" w:type="dxa"/>
              <w:bottom w:w="105" w:type="dxa"/>
              <w:right w:w="105" w:type="dxa"/>
            </w:tcMar>
          </w:tcPr>
          <w:p w14:paraId="45E65134" w14:textId="77777777" w:rsidR="000277F7" w:rsidRDefault="000277F7" w:rsidP="000277F7">
            <w:pPr>
              <w:contextualSpacing w:val="0"/>
            </w:pPr>
            <w:r>
              <w:rPr>
                <w:rFonts w:ascii="Arial" w:eastAsia="Arial" w:hAnsi="Arial" w:cs="Arial"/>
                <w:b/>
                <w:sz w:val="22"/>
              </w:rPr>
              <w:t>T12</w:t>
            </w:r>
          </w:p>
        </w:tc>
        <w:tc>
          <w:tcPr>
            <w:tcW w:w="2115" w:type="dxa"/>
            <w:tcMar>
              <w:top w:w="105" w:type="dxa"/>
              <w:left w:w="105" w:type="dxa"/>
              <w:bottom w:w="105" w:type="dxa"/>
              <w:right w:w="105" w:type="dxa"/>
            </w:tcMar>
          </w:tcPr>
          <w:p w14:paraId="2FC620F1" w14:textId="77777777" w:rsidR="000277F7" w:rsidRDefault="000277F7" w:rsidP="000277F7">
            <w:pPr>
              <w:contextualSpacing w:val="0"/>
            </w:pPr>
            <w:r>
              <w:rPr>
                <w:rFonts w:ascii="Arial" w:eastAsia="Arial" w:hAnsi="Arial" w:cs="Arial"/>
                <w:sz w:val="22"/>
              </w:rPr>
              <w:t>Create skeletal database record.</w:t>
            </w:r>
            <w:r>
              <w:rPr>
                <w:rFonts w:ascii="Arial" w:eastAsia="Arial" w:hAnsi="Arial" w:cs="Arial"/>
                <w:sz w:val="22"/>
              </w:rPr>
              <w:br/>
            </w:r>
          </w:p>
          <w:p w14:paraId="5EEA8A5A" w14:textId="77777777" w:rsidR="000277F7" w:rsidRDefault="000277F7" w:rsidP="000277F7">
            <w:pPr>
              <w:contextualSpacing w:val="0"/>
            </w:pPr>
          </w:p>
          <w:p w14:paraId="66CA7F80" w14:textId="77777777" w:rsidR="000277F7" w:rsidRDefault="000277F7" w:rsidP="000277F7">
            <w:pPr>
              <w:contextualSpacing w:val="0"/>
            </w:pPr>
          </w:p>
          <w:p w14:paraId="018A456B" w14:textId="77777777" w:rsidR="000277F7" w:rsidRDefault="000277F7" w:rsidP="000277F7">
            <w:pPr>
              <w:contextualSpacing w:val="0"/>
            </w:pPr>
          </w:p>
          <w:p w14:paraId="3095CD46" w14:textId="77777777" w:rsidR="000277F7" w:rsidRDefault="000277F7" w:rsidP="000277F7">
            <w:pPr>
              <w:tabs>
                <w:tab w:val="left" w:pos="510"/>
              </w:tabs>
              <w:contextualSpacing w:val="0"/>
            </w:pPr>
            <w:r>
              <w:rPr>
                <w:rFonts w:ascii="Arial" w:eastAsia="Arial" w:hAnsi="Arial" w:cs="Arial"/>
                <w:sz w:val="22"/>
              </w:rPr>
              <w:tab/>
            </w:r>
          </w:p>
        </w:tc>
        <w:tc>
          <w:tcPr>
            <w:tcW w:w="4018" w:type="dxa"/>
            <w:tcMar>
              <w:top w:w="105" w:type="dxa"/>
              <w:left w:w="105" w:type="dxa"/>
              <w:bottom w:w="105" w:type="dxa"/>
              <w:right w:w="105" w:type="dxa"/>
            </w:tcMar>
          </w:tcPr>
          <w:p w14:paraId="7DF0C122" w14:textId="77777777" w:rsidR="000277F7" w:rsidRDefault="000277F7" w:rsidP="000277F7">
            <w:pPr>
              <w:contextualSpacing w:val="0"/>
            </w:pPr>
            <w:r>
              <w:rPr>
                <w:rFonts w:ascii="Arial" w:eastAsia="Arial" w:hAnsi="Arial" w:cs="Arial"/>
                <w:sz w:val="22"/>
              </w:rPr>
              <w:t>If included, this task may be accomplished by scanning the barcode value into a new database record and optionally populating the record with a select set of skeletal data that might include any or all of the following: taxon name (usually the “filed as” or “filed under” name), collection date, collector name, collector number, and a high-level geographic description (e.g., country and/or state), the latter to aid in prioritizing specimens for data entry or further digitization activities.</w:t>
            </w:r>
            <w:r>
              <w:rPr>
                <w:rFonts w:ascii="Arial" w:eastAsia="Arial" w:hAnsi="Arial" w:cs="Arial"/>
                <w:sz w:val="22"/>
              </w:rPr>
              <w:br/>
            </w:r>
            <w:r>
              <w:rPr>
                <w:rFonts w:ascii="Arial" w:eastAsia="Arial" w:hAnsi="Arial" w:cs="Arial"/>
                <w:sz w:val="22"/>
              </w:rPr>
              <w:br/>
            </w:r>
          </w:p>
        </w:tc>
        <w:tc>
          <w:tcPr>
            <w:tcW w:w="2807" w:type="dxa"/>
            <w:shd w:val="clear" w:color="auto" w:fill="FFFFFF" w:themeFill="background1"/>
            <w:tcMar>
              <w:top w:w="105" w:type="dxa"/>
              <w:left w:w="105" w:type="dxa"/>
              <w:bottom w:w="105" w:type="dxa"/>
              <w:right w:w="105" w:type="dxa"/>
            </w:tcMar>
          </w:tcPr>
          <w:p w14:paraId="182E1E5E" w14:textId="7312F8DF" w:rsidR="000277F7" w:rsidRDefault="000277F7" w:rsidP="000277F7">
            <w:pPr>
              <w:contextualSpacing w:val="0"/>
            </w:pPr>
            <w:r>
              <w:rPr>
                <w:rFonts w:ascii="Arial" w:eastAsia="Arial" w:hAnsi="Arial" w:cs="Arial"/>
                <w:sz w:val="22"/>
              </w:rPr>
              <w:t>Barcode scanner, open database</w:t>
            </w:r>
            <w:r w:rsidR="00785EFC">
              <w:rPr>
                <w:rFonts w:ascii="Arial" w:eastAsia="Arial" w:hAnsi="Arial" w:cs="Arial"/>
                <w:sz w:val="22"/>
              </w:rPr>
              <w:t>.</w:t>
            </w:r>
          </w:p>
        </w:tc>
      </w:tr>
    </w:tbl>
    <w:p w14:paraId="5878DA24" w14:textId="77777777" w:rsidR="00634C23" w:rsidRDefault="00634C23"/>
    <w:p w14:paraId="2F557590" w14:textId="3F4A02FD" w:rsidR="00634C23" w:rsidRPr="008826A1" w:rsidRDefault="00785EFC">
      <w:pPr>
        <w:rPr>
          <w:rFonts w:ascii="Arial" w:hAnsi="Arial" w:cs="Arial"/>
          <w:sz w:val="22"/>
          <w:szCs w:val="22"/>
        </w:rPr>
      </w:pPr>
      <w:r>
        <w:rPr>
          <w:rFonts w:ascii="Arial" w:hAnsi="Arial" w:cs="Arial"/>
          <w:sz w:val="22"/>
          <w:szCs w:val="22"/>
        </w:rPr>
        <w:t>Literature Cited</w:t>
      </w:r>
    </w:p>
    <w:p w14:paraId="0DCDF16E" w14:textId="77777777" w:rsidR="000F6047" w:rsidRPr="008826A1" w:rsidRDefault="000F6047">
      <w:pPr>
        <w:rPr>
          <w:rFonts w:ascii="Arial" w:hAnsi="Arial" w:cs="Arial"/>
          <w:sz w:val="22"/>
          <w:szCs w:val="22"/>
        </w:rPr>
      </w:pPr>
    </w:p>
    <w:p w14:paraId="0D66587B" w14:textId="38544832" w:rsidR="000F6047" w:rsidRPr="008826A1" w:rsidRDefault="000F6047">
      <w:pPr>
        <w:rPr>
          <w:rFonts w:ascii="Arial" w:eastAsia="Arial" w:hAnsi="Arial" w:cs="Arial"/>
          <w:color w:val="auto"/>
          <w:sz w:val="22"/>
          <w:szCs w:val="22"/>
        </w:rPr>
      </w:pPr>
      <w:r w:rsidRPr="008826A1">
        <w:rPr>
          <w:rFonts w:ascii="Arial" w:eastAsia="Arial" w:hAnsi="Arial" w:cs="Arial"/>
          <w:color w:val="auto"/>
          <w:sz w:val="22"/>
          <w:szCs w:val="22"/>
          <w:highlight w:val="white"/>
        </w:rPr>
        <w:t>Diazgranados, M</w:t>
      </w:r>
      <w:r w:rsidR="00785EFC">
        <w:rPr>
          <w:rFonts w:ascii="Arial" w:eastAsia="Arial" w:hAnsi="Arial" w:cs="Arial"/>
          <w:color w:val="auto"/>
          <w:sz w:val="22"/>
          <w:szCs w:val="22"/>
          <w:highlight w:val="white"/>
        </w:rPr>
        <w:t>.</w:t>
      </w:r>
      <w:r w:rsidRPr="008826A1">
        <w:rPr>
          <w:rFonts w:ascii="Arial" w:eastAsia="Arial" w:hAnsi="Arial" w:cs="Arial"/>
          <w:color w:val="auto"/>
          <w:sz w:val="22"/>
          <w:szCs w:val="22"/>
          <w:highlight w:val="white"/>
        </w:rPr>
        <w:t xml:space="preserve">, and V. A. Funk. 2013. Utility of QR codes in biological collections. </w:t>
      </w:r>
      <w:r w:rsidRPr="009B3A46">
        <w:rPr>
          <w:rFonts w:ascii="Arial" w:eastAsia="Arial" w:hAnsi="Arial" w:cs="Arial"/>
          <w:i/>
          <w:color w:val="auto"/>
          <w:sz w:val="22"/>
          <w:szCs w:val="22"/>
          <w:highlight w:val="white"/>
        </w:rPr>
        <w:t>PhytoKeys</w:t>
      </w:r>
      <w:r w:rsidRPr="008826A1">
        <w:rPr>
          <w:rFonts w:ascii="Arial" w:eastAsia="Arial" w:hAnsi="Arial" w:cs="Arial"/>
          <w:color w:val="auto"/>
          <w:sz w:val="22"/>
          <w:szCs w:val="22"/>
          <w:highlight w:val="white"/>
        </w:rPr>
        <w:t xml:space="preserve"> 25: 21–34. doi:10.3897/phytokeys.25.5175. </w:t>
      </w:r>
      <w:hyperlink r:id="rId16">
        <w:r w:rsidRPr="008826A1">
          <w:rPr>
            <w:rFonts w:ascii="Arial" w:eastAsia="Arial" w:hAnsi="Arial" w:cs="Arial"/>
            <w:color w:val="auto"/>
            <w:sz w:val="22"/>
            <w:szCs w:val="22"/>
            <w:highlight w:val="white"/>
            <w:u w:val="single"/>
          </w:rPr>
          <w:t>http://www.ncbi.nlm.nih.gov/pmc/articles/PMC3819127/</w:t>
        </w:r>
      </w:hyperlink>
      <w:r w:rsidRPr="008826A1">
        <w:rPr>
          <w:rFonts w:ascii="Arial" w:eastAsia="Arial" w:hAnsi="Arial" w:cs="Arial"/>
          <w:color w:val="auto"/>
          <w:sz w:val="22"/>
          <w:szCs w:val="22"/>
          <w:highlight w:val="white"/>
        </w:rPr>
        <w:t>.</w:t>
      </w:r>
    </w:p>
    <w:p w14:paraId="4FFB117D" w14:textId="77777777" w:rsidR="000F6047" w:rsidRPr="008826A1" w:rsidRDefault="000F6047">
      <w:pPr>
        <w:rPr>
          <w:rFonts w:ascii="Arial" w:hAnsi="Arial" w:cs="Arial"/>
          <w:sz w:val="22"/>
          <w:szCs w:val="22"/>
        </w:rPr>
      </w:pPr>
    </w:p>
    <w:p w14:paraId="2AF17CE1" w14:textId="77777777" w:rsidR="00B34842" w:rsidRPr="008826A1" w:rsidRDefault="00B34842" w:rsidP="00B34842">
      <w:pPr>
        <w:rPr>
          <w:rFonts w:ascii="Arial" w:hAnsi="Arial" w:cs="Arial"/>
          <w:sz w:val="22"/>
          <w:szCs w:val="22"/>
        </w:rPr>
      </w:pPr>
      <w:r w:rsidRPr="008826A1">
        <w:rPr>
          <w:rFonts w:ascii="Arial" w:hAnsi="Arial" w:cs="Arial"/>
          <w:sz w:val="22"/>
          <w:szCs w:val="22"/>
        </w:rPr>
        <w:t xml:space="preserve">iDigBio. 2015. Specimen Barcode and Labeling Guide. </w:t>
      </w:r>
      <w:hyperlink r:id="rId17" w:history="1">
        <w:r w:rsidRPr="008826A1">
          <w:rPr>
            <w:rStyle w:val="Hyperlink"/>
            <w:rFonts w:ascii="Arial" w:hAnsi="Arial" w:cs="Arial"/>
            <w:sz w:val="22"/>
            <w:szCs w:val="22"/>
          </w:rPr>
          <w:t>https://www.idigbio.org/wiki/index.php/Specimen_Barcode_and_Labeling_Guide</w:t>
        </w:r>
      </w:hyperlink>
      <w:r w:rsidRPr="008826A1">
        <w:rPr>
          <w:rFonts w:ascii="Arial" w:hAnsi="Arial" w:cs="Arial"/>
          <w:sz w:val="22"/>
          <w:szCs w:val="22"/>
        </w:rPr>
        <w:t>. Accessed 1 May 2015.</w:t>
      </w:r>
    </w:p>
    <w:p w14:paraId="0B63E62D" w14:textId="77777777" w:rsidR="00B34842" w:rsidRPr="008826A1" w:rsidRDefault="00B34842">
      <w:pPr>
        <w:rPr>
          <w:rFonts w:ascii="Arial" w:hAnsi="Arial" w:cs="Arial"/>
          <w:sz w:val="22"/>
          <w:szCs w:val="22"/>
        </w:rPr>
      </w:pPr>
    </w:p>
    <w:p w14:paraId="27DD0E0F" w14:textId="2120E12B" w:rsidR="000F6047" w:rsidRPr="008826A1" w:rsidRDefault="000F6047">
      <w:pPr>
        <w:rPr>
          <w:rFonts w:ascii="Arial" w:hAnsi="Arial" w:cs="Arial"/>
          <w:sz w:val="22"/>
          <w:szCs w:val="22"/>
        </w:rPr>
      </w:pPr>
      <w:r w:rsidRPr="008826A1">
        <w:rPr>
          <w:rFonts w:ascii="Arial" w:hAnsi="Arial" w:cs="Arial"/>
          <w:sz w:val="22"/>
          <w:szCs w:val="22"/>
        </w:rPr>
        <w:t xml:space="preserve">McNeill, J., F. R. Barrie, W. R. Buck, V. Demoulin, W. Greuter, D. L. Hawksworth, P. S. Herendeen, S. Knapp, K. Marhold, J. Prado, W. F. Prud'homme van Reine, G. F. Smith, J. H. Wiersema, and N. J. Turland. 2011. International Code of Nomenclature for algae, fungi, and plants (Melbourne Code). International Association for Plant Taxonomy. </w:t>
      </w:r>
      <w:hyperlink r:id="rId18" w:history="1">
        <w:r w:rsidRPr="008826A1">
          <w:rPr>
            <w:rStyle w:val="Hyperlink"/>
            <w:rFonts w:ascii="Arial" w:hAnsi="Arial" w:cs="Arial"/>
            <w:sz w:val="22"/>
            <w:szCs w:val="22"/>
          </w:rPr>
          <w:t>http://www.iapt-taxon.org/nomen/main.php?page=title</w:t>
        </w:r>
      </w:hyperlink>
      <w:r w:rsidRPr="008826A1">
        <w:rPr>
          <w:rFonts w:ascii="Arial" w:hAnsi="Arial" w:cs="Arial"/>
          <w:sz w:val="22"/>
          <w:szCs w:val="22"/>
        </w:rPr>
        <w:t>.</w:t>
      </w:r>
    </w:p>
    <w:p w14:paraId="56FAD747" w14:textId="7788AF12" w:rsidR="00B34842" w:rsidRPr="008826A1" w:rsidRDefault="00B34842" w:rsidP="00B34842">
      <w:pPr>
        <w:rPr>
          <w:rFonts w:ascii="Arial" w:hAnsi="Arial" w:cs="Arial"/>
          <w:sz w:val="22"/>
          <w:szCs w:val="22"/>
        </w:rPr>
      </w:pPr>
    </w:p>
    <w:sectPr w:rsidR="00B34842" w:rsidRPr="008826A1">
      <w:headerReference w:type="even" r:id="rId19"/>
      <w:headerReference w:type="default" r:id="rId20"/>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1D74F2" w14:textId="77777777" w:rsidR="00F8780E" w:rsidRDefault="00F8780E">
      <w:r>
        <w:separator/>
      </w:r>
    </w:p>
  </w:endnote>
  <w:endnote w:type="continuationSeparator" w:id="0">
    <w:p w14:paraId="313ECFDE" w14:textId="77777777" w:rsidR="00F8780E" w:rsidRDefault="00F87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04F0A7" w14:textId="77777777" w:rsidR="00F8780E" w:rsidRDefault="00F8780E">
    <w:pPr>
      <w:tabs>
        <w:tab w:val="center" w:pos="4680"/>
        <w:tab w:val="right" w:pos="936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62658C" w14:textId="77777777" w:rsidR="00F8780E" w:rsidRDefault="00F8780E">
      <w:r>
        <w:separator/>
      </w:r>
    </w:p>
  </w:footnote>
  <w:footnote w:type="continuationSeparator" w:id="0">
    <w:p w14:paraId="1A1DDCD1" w14:textId="77777777" w:rsidR="00F8780E" w:rsidRDefault="00F878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02CA7B" w14:textId="77777777" w:rsidR="00F8780E" w:rsidRDefault="00EC2A8B">
    <w:pPr>
      <w:pStyle w:val="Header"/>
    </w:pPr>
    <w:sdt>
      <w:sdtPr>
        <w:id w:val="171999623"/>
        <w:placeholder>
          <w:docPart w:val="14B6376BCC29434F95DFF8FDF5A54AAE"/>
        </w:placeholder>
        <w:temporary/>
        <w:showingPlcHdr/>
      </w:sdtPr>
      <w:sdtEndPr/>
      <w:sdtContent>
        <w:r w:rsidR="00F8780E">
          <w:t>[Type text]</w:t>
        </w:r>
      </w:sdtContent>
    </w:sdt>
    <w:r w:rsidR="00F8780E">
      <w:ptab w:relativeTo="margin" w:alignment="center" w:leader="none"/>
    </w:r>
    <w:sdt>
      <w:sdtPr>
        <w:id w:val="171999624"/>
        <w:placeholder>
          <w:docPart w:val="03375C5814B8CD4C9F9906243FA4FFDC"/>
        </w:placeholder>
        <w:temporary/>
        <w:showingPlcHdr/>
      </w:sdtPr>
      <w:sdtEndPr/>
      <w:sdtContent>
        <w:r w:rsidR="00F8780E">
          <w:t>[Type text]</w:t>
        </w:r>
      </w:sdtContent>
    </w:sdt>
    <w:r w:rsidR="00F8780E">
      <w:ptab w:relativeTo="margin" w:alignment="right" w:leader="none"/>
    </w:r>
    <w:sdt>
      <w:sdtPr>
        <w:id w:val="171999625"/>
        <w:placeholder>
          <w:docPart w:val="720640C33E04774D9776531F16F9C8F1"/>
        </w:placeholder>
        <w:temporary/>
        <w:showingPlcHdr/>
      </w:sdtPr>
      <w:sdtEndPr/>
      <w:sdtContent>
        <w:r w:rsidR="00F8780E">
          <w:t>[Type text]</w:t>
        </w:r>
      </w:sdtContent>
    </w:sdt>
  </w:p>
  <w:p w14:paraId="4D68E319" w14:textId="77777777" w:rsidR="00F8780E" w:rsidRDefault="00F878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6ECA53" w14:textId="5F9B0866" w:rsidR="00F8780E" w:rsidRPr="00C75D77" w:rsidRDefault="00F8780E" w:rsidP="007A2518">
    <w:pPr>
      <w:pStyle w:val="Header"/>
      <w:ind w:right="360"/>
    </w:pPr>
    <w:r>
      <w:t>Nelson</w:t>
    </w:r>
    <w:r w:rsidRPr="0029453B">
      <w:t xml:space="preserve"> et al.—App</w:t>
    </w:r>
    <w:r>
      <w:t>lications in Plant Sciences 2015</w:t>
    </w:r>
    <w:r w:rsidRPr="0029453B">
      <w:t xml:space="preserve"> </w:t>
    </w:r>
    <w:r>
      <w:t>3(9): 1500065</w:t>
    </w:r>
    <w:r w:rsidRPr="0029453B">
      <w:t>—Data Supplement S</w:t>
    </w:r>
    <w:r>
      <w:t>1</w:t>
    </w:r>
    <w:r w:rsidRPr="0029453B">
      <w:t xml:space="preserve">—Page </w:t>
    </w:r>
    <w:r w:rsidRPr="0029453B">
      <w:rPr>
        <w:rStyle w:val="PageNumber"/>
      </w:rPr>
      <w:fldChar w:fldCharType="begin"/>
    </w:r>
    <w:r w:rsidRPr="0029453B">
      <w:rPr>
        <w:rStyle w:val="PageNumber"/>
      </w:rPr>
      <w:instrText xml:space="preserve"> PAGE </w:instrText>
    </w:r>
    <w:r w:rsidRPr="0029453B">
      <w:rPr>
        <w:rStyle w:val="PageNumber"/>
      </w:rPr>
      <w:fldChar w:fldCharType="separate"/>
    </w:r>
    <w:r w:rsidR="00EC2A8B">
      <w:rPr>
        <w:rStyle w:val="PageNumber"/>
        <w:noProof/>
      </w:rPr>
      <w:t>1</w:t>
    </w:r>
    <w:r w:rsidRPr="0029453B">
      <w:rPr>
        <w:rStyle w:val="PageNumber"/>
      </w:rPr>
      <w:fldChar w:fldCharType="end"/>
    </w:r>
  </w:p>
  <w:p w14:paraId="7C848DB6" w14:textId="77777777" w:rsidR="00F8780E" w:rsidRDefault="00F878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02198"/>
    <w:multiLevelType w:val="multilevel"/>
    <w:tmpl w:val="502284FE"/>
    <w:lvl w:ilvl="0">
      <w:start w:val="1"/>
      <w:numFmt w:val="bullet"/>
      <w:lvlText w:val="●"/>
      <w:lvlJc w:val="left"/>
      <w:pPr>
        <w:ind w:left="720" w:firstLine="1080"/>
      </w:pPr>
      <w:rPr>
        <w:rFonts w:ascii="Arial" w:eastAsia="Arial" w:hAnsi="Arial" w:cs="Arial"/>
        <w:color w:val="auto"/>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34C23"/>
    <w:rsid w:val="00022723"/>
    <w:rsid w:val="00024DFF"/>
    <w:rsid w:val="000277F7"/>
    <w:rsid w:val="000F6047"/>
    <w:rsid w:val="00120C62"/>
    <w:rsid w:val="00141EA0"/>
    <w:rsid w:val="00197BF4"/>
    <w:rsid w:val="002169F0"/>
    <w:rsid w:val="002225C1"/>
    <w:rsid w:val="00224F69"/>
    <w:rsid w:val="00246267"/>
    <w:rsid w:val="0025127F"/>
    <w:rsid w:val="00255674"/>
    <w:rsid w:val="00261AEF"/>
    <w:rsid w:val="002922FF"/>
    <w:rsid w:val="00324A0F"/>
    <w:rsid w:val="00331D1A"/>
    <w:rsid w:val="003970DB"/>
    <w:rsid w:val="00407F4D"/>
    <w:rsid w:val="005150B7"/>
    <w:rsid w:val="00571221"/>
    <w:rsid w:val="005C73E4"/>
    <w:rsid w:val="006222D2"/>
    <w:rsid w:val="00625838"/>
    <w:rsid w:val="00634C23"/>
    <w:rsid w:val="00693901"/>
    <w:rsid w:val="00785EFC"/>
    <w:rsid w:val="007A2518"/>
    <w:rsid w:val="00802970"/>
    <w:rsid w:val="008826A1"/>
    <w:rsid w:val="008A3038"/>
    <w:rsid w:val="008C7BA7"/>
    <w:rsid w:val="00942F64"/>
    <w:rsid w:val="009823C9"/>
    <w:rsid w:val="009861B8"/>
    <w:rsid w:val="009B3A46"/>
    <w:rsid w:val="009F024D"/>
    <w:rsid w:val="009F6CDA"/>
    <w:rsid w:val="00B34842"/>
    <w:rsid w:val="00BB082A"/>
    <w:rsid w:val="00C205C6"/>
    <w:rsid w:val="00C702E0"/>
    <w:rsid w:val="00CD1D0C"/>
    <w:rsid w:val="00CF5C4D"/>
    <w:rsid w:val="00D37BE1"/>
    <w:rsid w:val="00D46C9F"/>
    <w:rsid w:val="00EC2A8B"/>
    <w:rsid w:val="00F070C4"/>
    <w:rsid w:val="00F243B0"/>
    <w:rsid w:val="00F55479"/>
    <w:rsid w:val="00F8780E"/>
    <w:rsid w:val="00F87E71"/>
    <w:rsid w:val="00FC495B"/>
    <w:rsid w:val="00FD1FC0"/>
    <w:rsid w:val="00FF78EA"/>
    <w:rsid w:val="222C6A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DDD799"/>
  <w15:docId w15:val="{6900DE50-32E4-4E15-80F0-6B4FE6268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rPr>
  </w:style>
  <w:style w:type="paragraph" w:styleId="Heading2">
    <w:name w:val="heading 2"/>
    <w:basedOn w:val="Normal"/>
    <w:next w:val="Normal"/>
    <w:pPr>
      <w:keepNext/>
      <w:keepLines/>
      <w:spacing w:before="360" w:after="80"/>
      <w:outlineLvl w:val="1"/>
    </w:pPr>
    <w:rPr>
      <w:b/>
      <w:sz w:val="36"/>
    </w:rPr>
  </w:style>
  <w:style w:type="paragraph" w:styleId="Heading3">
    <w:name w:val="heading 3"/>
    <w:basedOn w:val="Normal"/>
    <w:next w:val="Normal"/>
    <w:pPr>
      <w:keepNext/>
      <w:keepLines/>
      <w:spacing w:before="280" w:after="80"/>
      <w:outlineLvl w:val="2"/>
    </w:pPr>
    <w:rPr>
      <w:b/>
      <w:sz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character" w:styleId="CommentReference">
    <w:name w:val="annotation reference"/>
    <w:basedOn w:val="DefaultParagraphFont"/>
    <w:uiPriority w:val="99"/>
    <w:semiHidden/>
    <w:unhideWhenUsed/>
    <w:rsid w:val="009F024D"/>
    <w:rPr>
      <w:sz w:val="16"/>
      <w:szCs w:val="16"/>
    </w:rPr>
  </w:style>
  <w:style w:type="paragraph" w:styleId="CommentText">
    <w:name w:val="annotation text"/>
    <w:basedOn w:val="Normal"/>
    <w:link w:val="CommentTextChar"/>
    <w:uiPriority w:val="99"/>
    <w:semiHidden/>
    <w:unhideWhenUsed/>
    <w:rsid w:val="009F024D"/>
    <w:rPr>
      <w:sz w:val="20"/>
    </w:rPr>
  </w:style>
  <w:style w:type="character" w:customStyle="1" w:styleId="CommentTextChar">
    <w:name w:val="Comment Text Char"/>
    <w:basedOn w:val="DefaultParagraphFont"/>
    <w:link w:val="CommentText"/>
    <w:uiPriority w:val="99"/>
    <w:semiHidden/>
    <w:rsid w:val="009F024D"/>
    <w:rPr>
      <w:sz w:val="20"/>
    </w:rPr>
  </w:style>
  <w:style w:type="paragraph" w:styleId="CommentSubject">
    <w:name w:val="annotation subject"/>
    <w:basedOn w:val="CommentText"/>
    <w:next w:val="CommentText"/>
    <w:link w:val="CommentSubjectChar"/>
    <w:uiPriority w:val="99"/>
    <w:semiHidden/>
    <w:unhideWhenUsed/>
    <w:rsid w:val="009F024D"/>
    <w:rPr>
      <w:b/>
      <w:bCs/>
    </w:rPr>
  </w:style>
  <w:style w:type="character" w:customStyle="1" w:styleId="CommentSubjectChar">
    <w:name w:val="Comment Subject Char"/>
    <w:basedOn w:val="CommentTextChar"/>
    <w:link w:val="CommentSubject"/>
    <w:uiPriority w:val="99"/>
    <w:semiHidden/>
    <w:rsid w:val="009F024D"/>
    <w:rPr>
      <w:b/>
      <w:bCs/>
      <w:sz w:val="20"/>
    </w:rPr>
  </w:style>
  <w:style w:type="paragraph" w:styleId="BalloonText">
    <w:name w:val="Balloon Text"/>
    <w:basedOn w:val="Normal"/>
    <w:link w:val="BalloonTextChar"/>
    <w:uiPriority w:val="99"/>
    <w:semiHidden/>
    <w:unhideWhenUsed/>
    <w:rsid w:val="009F024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024D"/>
    <w:rPr>
      <w:rFonts w:ascii="Segoe UI" w:hAnsi="Segoe UI" w:cs="Segoe UI"/>
      <w:sz w:val="18"/>
      <w:szCs w:val="18"/>
    </w:rPr>
  </w:style>
  <w:style w:type="character" w:styleId="Hyperlink">
    <w:name w:val="Hyperlink"/>
    <w:basedOn w:val="DefaultParagraphFont"/>
    <w:uiPriority w:val="99"/>
    <w:unhideWhenUsed/>
    <w:rsid w:val="00224F69"/>
    <w:rPr>
      <w:color w:val="0563C1" w:themeColor="hyperlink"/>
      <w:u w:val="single"/>
    </w:rPr>
  </w:style>
  <w:style w:type="character" w:styleId="FollowedHyperlink">
    <w:name w:val="FollowedHyperlink"/>
    <w:basedOn w:val="DefaultParagraphFont"/>
    <w:uiPriority w:val="99"/>
    <w:semiHidden/>
    <w:unhideWhenUsed/>
    <w:rsid w:val="00224F69"/>
    <w:rPr>
      <w:color w:val="954F72" w:themeColor="followedHyperlink"/>
      <w:u w:val="single"/>
    </w:rPr>
  </w:style>
  <w:style w:type="paragraph" w:styleId="Header">
    <w:name w:val="header"/>
    <w:basedOn w:val="Normal"/>
    <w:link w:val="HeaderChar"/>
    <w:uiPriority w:val="99"/>
    <w:unhideWhenUsed/>
    <w:rsid w:val="007A2518"/>
    <w:pPr>
      <w:tabs>
        <w:tab w:val="center" w:pos="4320"/>
        <w:tab w:val="right" w:pos="8640"/>
      </w:tabs>
    </w:pPr>
  </w:style>
  <w:style w:type="character" w:customStyle="1" w:styleId="HeaderChar">
    <w:name w:val="Header Char"/>
    <w:basedOn w:val="DefaultParagraphFont"/>
    <w:link w:val="Header"/>
    <w:uiPriority w:val="99"/>
    <w:rsid w:val="007A2518"/>
  </w:style>
  <w:style w:type="paragraph" w:styleId="Footer">
    <w:name w:val="footer"/>
    <w:basedOn w:val="Normal"/>
    <w:link w:val="FooterChar"/>
    <w:uiPriority w:val="99"/>
    <w:unhideWhenUsed/>
    <w:rsid w:val="007A2518"/>
    <w:pPr>
      <w:tabs>
        <w:tab w:val="center" w:pos="4320"/>
        <w:tab w:val="right" w:pos="8640"/>
      </w:tabs>
    </w:pPr>
  </w:style>
  <w:style w:type="character" w:customStyle="1" w:styleId="FooterChar">
    <w:name w:val="Footer Char"/>
    <w:basedOn w:val="DefaultParagraphFont"/>
    <w:link w:val="Footer"/>
    <w:uiPriority w:val="99"/>
    <w:rsid w:val="007A2518"/>
  </w:style>
  <w:style w:type="character" w:styleId="PageNumber">
    <w:name w:val="page number"/>
    <w:basedOn w:val="DefaultParagraphFont"/>
    <w:uiPriority w:val="99"/>
    <w:semiHidden/>
    <w:unhideWhenUsed/>
    <w:rsid w:val="007A25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280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iDigBioWorkflows/FlatSheetsDigitizationWorkflows" TargetMode="External"/><Relationship Id="rId13" Type="http://schemas.openxmlformats.org/officeDocument/2006/relationships/hyperlink" Target="http://www.iapt-taxon.org/nomen/main.php?page=title" TargetMode="External"/><Relationship Id="rId18" Type="http://schemas.openxmlformats.org/officeDocument/2006/relationships/hyperlink" Target="http://www.iapt-taxon.org/nomen/main.php?page=title"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idigbio.org/wiki/index.php/Specimen_Barcode_and_Labeling_Guide" TargetMode="External"/><Relationship Id="rId17" Type="http://schemas.openxmlformats.org/officeDocument/2006/relationships/hyperlink" Target="https://www.idigbio.org/wiki/index.php/Specimen_Barcode_and_Labeling_Guide" TargetMode="External"/><Relationship Id="rId2" Type="http://schemas.openxmlformats.org/officeDocument/2006/relationships/numbering" Target="numbering.xml"/><Relationship Id="rId16" Type="http://schemas.openxmlformats.org/officeDocument/2006/relationships/hyperlink" Target="http://www.ncbi.nlm.nih.gov/pmc/articles/PMC3819127/"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ecifyx.specifysoftware.org/wp-content/static/Gallery%20of%20Printed%20Label%20and%20Report%20Formats.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ncbi.nlm.nih.gov/pmc/articles/PMC3819127/" TargetMode="External"/><Relationship Id="rId23" Type="http://schemas.openxmlformats.org/officeDocument/2006/relationships/glossaryDocument" Target="glossary/document.xml"/><Relationship Id="rId10" Type="http://schemas.openxmlformats.org/officeDocument/2006/relationships/hyperlink" Target="http://www.ncbi.nlm.nih.gov/pmc/articles/PMC3819127/"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idigbio.org/content/workflow-modules-and-task-lists" TargetMode="External"/><Relationship Id="rId14" Type="http://schemas.openxmlformats.org/officeDocument/2006/relationships/hyperlink" Target="http://www.iapt-taxon.org/nomen/main.php?page=glo"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4B6376BCC29434F95DFF8FDF5A54AAE"/>
        <w:category>
          <w:name w:val="General"/>
          <w:gallery w:val="placeholder"/>
        </w:category>
        <w:types>
          <w:type w:val="bbPlcHdr"/>
        </w:types>
        <w:behaviors>
          <w:behavior w:val="content"/>
        </w:behaviors>
        <w:guid w:val="{E8F58620-2C41-1445-9B4C-B237BFF5F5A9}"/>
      </w:docPartPr>
      <w:docPartBody>
        <w:p w:rsidR="00186E1F" w:rsidRDefault="00186E1F" w:rsidP="00186E1F">
          <w:pPr>
            <w:pStyle w:val="14B6376BCC29434F95DFF8FDF5A54AAE"/>
          </w:pPr>
          <w:r>
            <w:t>[Type text]</w:t>
          </w:r>
        </w:p>
      </w:docPartBody>
    </w:docPart>
    <w:docPart>
      <w:docPartPr>
        <w:name w:val="03375C5814B8CD4C9F9906243FA4FFDC"/>
        <w:category>
          <w:name w:val="General"/>
          <w:gallery w:val="placeholder"/>
        </w:category>
        <w:types>
          <w:type w:val="bbPlcHdr"/>
        </w:types>
        <w:behaviors>
          <w:behavior w:val="content"/>
        </w:behaviors>
        <w:guid w:val="{FE67F015-84A8-F645-A248-B70AA06D5D91}"/>
      </w:docPartPr>
      <w:docPartBody>
        <w:p w:rsidR="00186E1F" w:rsidRDefault="00186E1F" w:rsidP="00186E1F">
          <w:pPr>
            <w:pStyle w:val="03375C5814B8CD4C9F9906243FA4FFDC"/>
          </w:pPr>
          <w:r>
            <w:t>[Type text]</w:t>
          </w:r>
        </w:p>
      </w:docPartBody>
    </w:docPart>
    <w:docPart>
      <w:docPartPr>
        <w:name w:val="720640C33E04774D9776531F16F9C8F1"/>
        <w:category>
          <w:name w:val="General"/>
          <w:gallery w:val="placeholder"/>
        </w:category>
        <w:types>
          <w:type w:val="bbPlcHdr"/>
        </w:types>
        <w:behaviors>
          <w:behavior w:val="content"/>
        </w:behaviors>
        <w:guid w:val="{F07D8CFF-E0B5-A744-B4A4-8692DA25A2F8}"/>
      </w:docPartPr>
      <w:docPartBody>
        <w:p w:rsidR="00186E1F" w:rsidRDefault="00186E1F" w:rsidP="00186E1F">
          <w:pPr>
            <w:pStyle w:val="720640C33E04774D9776531F16F9C8F1"/>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E1F"/>
    <w:rsid w:val="00186E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B6376BCC29434F95DFF8FDF5A54AAE">
    <w:name w:val="14B6376BCC29434F95DFF8FDF5A54AAE"/>
    <w:rsid w:val="00186E1F"/>
  </w:style>
  <w:style w:type="paragraph" w:customStyle="1" w:styleId="03375C5814B8CD4C9F9906243FA4FFDC">
    <w:name w:val="03375C5814B8CD4C9F9906243FA4FFDC"/>
    <w:rsid w:val="00186E1F"/>
  </w:style>
  <w:style w:type="paragraph" w:customStyle="1" w:styleId="720640C33E04774D9776531F16F9C8F1">
    <w:name w:val="720640C33E04774D9776531F16F9C8F1"/>
    <w:rsid w:val="00186E1F"/>
  </w:style>
  <w:style w:type="paragraph" w:customStyle="1" w:styleId="4566A1202221D84A9539A687E723F5B6">
    <w:name w:val="4566A1202221D84A9539A687E723F5B6"/>
    <w:rsid w:val="00186E1F"/>
  </w:style>
  <w:style w:type="paragraph" w:customStyle="1" w:styleId="D388FDDD9109F24587D1FF36DB6FDFFB">
    <w:name w:val="D388FDDD9109F24587D1FF36DB6FDFFB"/>
    <w:rsid w:val="00186E1F"/>
  </w:style>
  <w:style w:type="paragraph" w:customStyle="1" w:styleId="AF22D2FBB1B2E046B3D218AB482B2A8B">
    <w:name w:val="AF22D2FBB1B2E046B3D218AB482B2A8B"/>
    <w:rsid w:val="00186E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974861-4D54-4E11-97F8-A547CFAEA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1615</Words>
  <Characters>9207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Gil Nelson</cp:lastModifiedBy>
  <cp:revision>28</cp:revision>
  <cp:lastPrinted>2015-08-31T12:56:00Z</cp:lastPrinted>
  <dcterms:created xsi:type="dcterms:W3CDTF">2015-04-08T01:07:00Z</dcterms:created>
  <dcterms:modified xsi:type="dcterms:W3CDTF">2015-08-31T12:56:00Z</dcterms:modified>
</cp:coreProperties>
</file>