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F6E255" w14:textId="1A124E9A" w:rsidR="00773F9D" w:rsidRDefault="00773F9D">
      <w:pPr>
        <w:rPr>
          <w:rFonts w:ascii="Arial" w:eastAsia="Arial" w:hAnsi="Arial" w:cs="Arial"/>
          <w:b/>
        </w:rPr>
      </w:pPr>
      <w:r>
        <w:rPr>
          <w:color w:val="auto"/>
        </w:rPr>
        <w:t xml:space="preserve">This workflow was developed at an iDigBio workshop in January 2015. The most recent version is available at </w:t>
      </w:r>
      <w:hyperlink r:id="rId8" w:tgtFrame="_blank" w:history="1">
        <w:r>
          <w:rPr>
            <w:rStyle w:val="Hyperlink"/>
          </w:rPr>
          <w:t>https://github.com/iDigBioWorkflows/FlatSheetsDigitizat</w:t>
        </w:r>
        <w:r w:rsidR="00A52798">
          <w:rPr>
            <w:rStyle w:val="Hyperlink"/>
          </w:rPr>
          <w:t>i</w:t>
        </w:r>
        <w:bookmarkStart w:id="0" w:name="_GoBack"/>
        <w:bookmarkEnd w:id="0"/>
        <w:r>
          <w:rPr>
            <w:rStyle w:val="Hyperlink"/>
          </w:rPr>
          <w:t>onWorkflows</w:t>
        </w:r>
      </w:hyperlink>
      <w:r>
        <w:rPr>
          <w:color w:val="auto"/>
        </w:rPr>
        <w:t xml:space="preserve"> and </w:t>
      </w:r>
      <w:hyperlink r:id="rId9" w:tgtFrame="_blank" w:history="1">
        <w:r>
          <w:rPr>
            <w:rStyle w:val="Hyperlink"/>
          </w:rPr>
          <w:t>https://www.idigbio.org/content/workflow-modules-and-task-lists</w:t>
        </w:r>
      </w:hyperlink>
      <w:r>
        <w:rPr>
          <w:color w:val="auto"/>
        </w:rPr>
        <w:t>.</w:t>
      </w:r>
    </w:p>
    <w:p w14:paraId="5E55990A" w14:textId="77777777" w:rsidR="00773F9D" w:rsidRDefault="00773F9D">
      <w:pPr>
        <w:rPr>
          <w:rFonts w:ascii="Arial" w:eastAsia="Arial" w:hAnsi="Arial" w:cs="Arial"/>
          <w:b/>
        </w:rPr>
      </w:pPr>
    </w:p>
    <w:p w14:paraId="46E5790D" w14:textId="0C07F715" w:rsidR="00371E53" w:rsidRDefault="00782E1B">
      <w:r>
        <w:rPr>
          <w:rFonts w:ascii="Arial" w:eastAsia="Arial" w:hAnsi="Arial" w:cs="Arial"/>
          <w:b/>
        </w:rPr>
        <w:t xml:space="preserve">Appendix S5. </w:t>
      </w:r>
      <w:r w:rsidR="004427A4">
        <w:rPr>
          <w:rFonts w:ascii="Arial" w:eastAsia="Arial" w:hAnsi="Arial" w:cs="Arial"/>
          <w:b/>
        </w:rPr>
        <w:t>Module 5: Imaging Station Setup</w:t>
      </w:r>
      <w:r w:rsidR="005A2D48">
        <w:rPr>
          <w:rFonts w:ascii="Arial" w:eastAsia="Arial" w:hAnsi="Arial" w:cs="Arial"/>
          <w:b/>
        </w:rPr>
        <w:t>,</w:t>
      </w:r>
      <w:r w:rsidR="004427A4">
        <w:rPr>
          <w:rFonts w:ascii="Arial" w:eastAsia="Arial" w:hAnsi="Arial" w:cs="Arial"/>
          <w:b/>
        </w:rPr>
        <w:t xml:space="preserve"> Scanner</w:t>
      </w:r>
    </w:p>
    <w:p w14:paraId="46E5790E" w14:textId="77777777" w:rsidR="00371E53" w:rsidRDefault="00371E53"/>
    <w:tbl>
      <w:tblPr>
        <w:tblStyle w:val="a"/>
        <w:tblW w:w="9570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777"/>
        <w:gridCol w:w="2206"/>
        <w:gridCol w:w="4273"/>
        <w:gridCol w:w="2314"/>
      </w:tblGrid>
      <w:tr w:rsidR="00371E53" w14:paraId="46E57913" w14:textId="77777777" w:rsidTr="0004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0F" w14:textId="77777777" w:rsidR="00371E53" w:rsidRDefault="004427A4" w:rsidP="0004329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Task ID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0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Task Description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1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Explanations and Comments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2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Resources</w:t>
            </w:r>
          </w:p>
        </w:tc>
      </w:tr>
      <w:tr w:rsidR="00371E53" w14:paraId="46E5791D" w14:textId="77777777" w:rsidTr="00043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4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T1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5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Review imaging protocol.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6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Ensures that initial setup matches imaging policies and protocols.</w:t>
            </w:r>
          </w:p>
          <w:p w14:paraId="46E57917" w14:textId="77777777" w:rsidR="00371E53" w:rsidRDefault="00371E53">
            <w:pPr>
              <w:contextualSpacing w:val="0"/>
            </w:pPr>
          </w:p>
          <w:p w14:paraId="46E57918" w14:textId="107A8656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For a complete guide to scanning according to the Global Plants Initiative (GPI)</w:t>
            </w:r>
            <w:r w:rsidR="005A2D48">
              <w:rPr>
                <w:rFonts w:ascii="Arial" w:eastAsia="Arial" w:hAnsi="Arial" w:cs="Arial"/>
                <w:sz w:val="22"/>
              </w:rPr>
              <w:t xml:space="preserve"> standards, see the JSTOR PLANTS</w:t>
            </w:r>
            <w:r>
              <w:rPr>
                <w:rFonts w:ascii="Arial" w:eastAsia="Arial" w:hAnsi="Arial" w:cs="Arial"/>
                <w:sz w:val="22"/>
              </w:rPr>
              <w:t xml:space="preserve"> Handbook.</w:t>
            </w:r>
          </w:p>
          <w:p w14:paraId="46E57919" w14:textId="77777777" w:rsidR="00371E53" w:rsidRDefault="00371E53">
            <w:pPr>
              <w:contextualSpacing w:val="0"/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A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Imaging protocol or handbook. </w:t>
            </w:r>
          </w:p>
          <w:p w14:paraId="46E5791B" w14:textId="77777777" w:rsidR="00371E53" w:rsidRDefault="00371E53">
            <w:pPr>
              <w:contextualSpacing w:val="0"/>
            </w:pPr>
          </w:p>
          <w:p w14:paraId="46E5791C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See: JSTOR Plants Handbook, </w:t>
            </w:r>
            <w:hyperlink r:id="rId10">
              <w:r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http://www.snsb.info/SNSBInfoOpenWiki/attach/Attachments/JSTOR-Plants-Handbook.pdf</w:t>
              </w:r>
            </w:hyperlink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371E53" w14:paraId="46E57924" w14:textId="77777777" w:rsidTr="0004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E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T2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1F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Connect or ensure connection of computer to scanner and both devices to surge protection.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20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Connection to computer may be via USB, FireWire (IEEE 1934), or other means.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21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Scanner.</w:t>
            </w:r>
          </w:p>
          <w:p w14:paraId="46E57922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Appropriate cables.</w:t>
            </w:r>
          </w:p>
          <w:p w14:paraId="46E57923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Surge protection.</w:t>
            </w:r>
          </w:p>
        </w:tc>
      </w:tr>
      <w:tr w:rsidR="00371E53" w14:paraId="46E5792D" w14:textId="77777777" w:rsidTr="00043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25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T3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26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Clean scanner bed, check for dust on glass.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27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Reduces the potential for distracting smudges and extraneous material in resulting image.</w:t>
            </w:r>
          </w:p>
          <w:p w14:paraId="46E57928" w14:textId="77777777" w:rsidR="00371E53" w:rsidRDefault="00371E53">
            <w:pPr>
              <w:contextualSpacing w:val="0"/>
            </w:pPr>
          </w:p>
          <w:p w14:paraId="46E57929" w14:textId="2986CE63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If the scanner bed is inverted, dust can accumulate on the interior surface of the glass. The Royal Botanic Gardens, Kew</w:t>
            </w:r>
            <w:r w:rsidR="00782E1B">
              <w:rPr>
                <w:rFonts w:ascii="Arial" w:eastAsia="Arial" w:hAnsi="Arial" w:cs="Arial"/>
                <w:sz w:val="22"/>
              </w:rPr>
              <w:t>,</w:t>
            </w:r>
            <w:r>
              <w:rPr>
                <w:rFonts w:ascii="Arial" w:eastAsia="Arial" w:hAnsi="Arial" w:cs="Arial"/>
                <w:sz w:val="22"/>
              </w:rPr>
              <w:t xml:space="preserve"> recommends taking apart the scanner and cleaning the interior glass surface.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2A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Cleaning supplies.</w:t>
            </w:r>
          </w:p>
          <w:p w14:paraId="46E5792B" w14:textId="77777777" w:rsidR="00371E53" w:rsidRDefault="00371E53">
            <w:pPr>
              <w:contextualSpacing w:val="0"/>
            </w:pPr>
          </w:p>
          <w:p w14:paraId="46E5792C" w14:textId="5F7E6654" w:rsidR="00371E53" w:rsidRDefault="004427A4" w:rsidP="0012423A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See: Kew’s instructions for "How to cl</w:t>
            </w:r>
            <w:r w:rsidR="0012423A">
              <w:rPr>
                <w:rFonts w:ascii="Arial" w:eastAsia="Arial" w:hAnsi="Arial" w:cs="Arial"/>
                <w:sz w:val="22"/>
              </w:rPr>
              <w:t>ean the Epson 10000XL scanner,"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https://www.idigbio.org/wiki/images/7/70/How_to_clean_a_scanner.pdf</w:t>
              </w:r>
            </w:hyperlink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371E53" w14:paraId="46E57932" w14:textId="77777777" w:rsidTr="0004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2E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T4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2F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Turn on scanner and allow time to warm up.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0" w14:textId="77777777" w:rsidR="00371E53" w:rsidRDefault="00371E53">
            <w:pPr>
              <w:contextualSpacing w:val="0"/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1" w14:textId="77777777" w:rsidR="00371E53" w:rsidRDefault="00371E53">
            <w:pPr>
              <w:contextualSpacing w:val="0"/>
            </w:pPr>
          </w:p>
        </w:tc>
      </w:tr>
      <w:tr w:rsidR="00371E53" w14:paraId="46E57938" w14:textId="77777777" w:rsidTr="00043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3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T5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4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Start computer and related equipment, including external storage devices.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5" w14:textId="77777777" w:rsidR="00371E53" w:rsidRDefault="00371E53">
            <w:pPr>
              <w:contextualSpacing w:val="0"/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6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Computer.</w:t>
            </w:r>
          </w:p>
          <w:p w14:paraId="46E57937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Peripherals.</w:t>
            </w:r>
            <w:r>
              <w:rPr>
                <w:sz w:val="22"/>
              </w:rPr>
              <w:t xml:space="preserve"> </w:t>
            </w:r>
          </w:p>
        </w:tc>
      </w:tr>
      <w:tr w:rsidR="00371E53" w14:paraId="46E5793D" w14:textId="77777777" w:rsidTr="0004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9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>T6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A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Start image acquisition and processing software and adjust software settings.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B" w14:textId="42F44CD5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Common associated software includes Adobe Photoshop</w:t>
            </w:r>
            <w:r w:rsidR="00BD0E3C">
              <w:rPr>
                <w:rFonts w:ascii="Arial" w:eastAsia="Arial" w:hAnsi="Arial" w:cs="Arial"/>
                <w:sz w:val="22"/>
              </w:rPr>
              <w:t>, Gimp,</w:t>
            </w:r>
            <w:r>
              <w:rPr>
                <w:rFonts w:ascii="Arial" w:eastAsia="Arial" w:hAnsi="Arial" w:cs="Arial"/>
                <w:sz w:val="22"/>
              </w:rPr>
              <w:t xml:space="preserve"> or equivalent.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C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Software.</w:t>
            </w:r>
          </w:p>
        </w:tc>
      </w:tr>
      <w:tr w:rsidR="00371E53" w14:paraId="46E5794E" w14:textId="77777777" w:rsidTr="00043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E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T7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3F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Adjust relevant settings in image acquisition software.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40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The GPI project provides these suggestions for use with an Epson scanner:</w:t>
            </w:r>
          </w:p>
          <w:p w14:paraId="46E57941" w14:textId="77777777" w:rsidR="00371E53" w:rsidRDefault="00371E53">
            <w:pPr>
              <w:contextualSpacing w:val="0"/>
            </w:pPr>
          </w:p>
          <w:p w14:paraId="46E57942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Epson Scan settings</w:t>
            </w:r>
          </w:p>
          <w:p w14:paraId="46E57943" w14:textId="77777777" w:rsidR="00371E53" w:rsidRDefault="004427A4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Document Type = Reflective</w:t>
            </w:r>
          </w:p>
          <w:p w14:paraId="46E57944" w14:textId="77777777" w:rsidR="00371E53" w:rsidRDefault="004427A4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Auto Exposure Type = Photo</w:t>
            </w:r>
          </w:p>
          <w:p w14:paraId="46E57945" w14:textId="77777777" w:rsidR="00371E53" w:rsidRDefault="004427A4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Image Type = 24-bit color</w:t>
            </w:r>
          </w:p>
          <w:p w14:paraId="46E57946" w14:textId="77777777" w:rsidR="00371E53" w:rsidRDefault="004427A4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Scanning Quality = Best</w:t>
            </w:r>
          </w:p>
          <w:p w14:paraId="46E57947" w14:textId="77777777" w:rsidR="00371E53" w:rsidRDefault="004427A4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Resolution = 600 dpi</w:t>
            </w:r>
          </w:p>
          <w:p w14:paraId="46E57948" w14:textId="77777777" w:rsidR="00371E53" w:rsidRDefault="004427A4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Scale = 100%</w:t>
            </w:r>
          </w:p>
          <w:p w14:paraId="46E57949" w14:textId="77777777" w:rsidR="00371E53" w:rsidRDefault="00371E53">
            <w:pPr>
              <w:numPr>
                <w:ilvl w:val="0"/>
                <w:numId w:val="1"/>
              </w:numPr>
              <w:ind w:left="0" w:hanging="360"/>
              <w:rPr>
                <w:sz w:val="22"/>
              </w:rPr>
            </w:pPr>
          </w:p>
          <w:p w14:paraId="46E5794A" w14:textId="77777777" w:rsidR="00371E53" w:rsidRDefault="004427A4">
            <w:pPr>
              <w:numPr>
                <w:ilvl w:val="0"/>
                <w:numId w:val="1"/>
              </w:numPr>
              <w:ind w:left="0"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Color management</w:t>
            </w:r>
          </w:p>
          <w:p w14:paraId="46E5794B" w14:textId="77777777" w:rsidR="00371E53" w:rsidRDefault="004427A4">
            <w:pPr>
              <w:numPr>
                <w:ilvl w:val="0"/>
                <w:numId w:val="3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Configure ICM with: Source (Scanner) = EPSON Standard</w:t>
            </w:r>
          </w:p>
          <w:p w14:paraId="46E5794C" w14:textId="77777777" w:rsidR="00371E53" w:rsidRDefault="004427A4">
            <w:pPr>
              <w:numPr>
                <w:ilvl w:val="0"/>
                <w:numId w:val="3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Target = Adobe RGB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4D" w14:textId="16094228" w:rsidR="00371E53" w:rsidRDefault="00975565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See: JSTOR PLANTS</w:t>
            </w:r>
            <w:r w:rsidR="004427A4">
              <w:rPr>
                <w:rFonts w:ascii="Arial" w:eastAsia="Arial" w:hAnsi="Arial" w:cs="Arial"/>
                <w:sz w:val="22"/>
              </w:rPr>
              <w:t xml:space="preserve"> Handbook, </w:t>
            </w:r>
            <w:hyperlink r:id="rId12">
              <w:r w:rsidR="004427A4"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http://www.snsb.info/SNSBInfoOpenWiki/attach/Attachments/JSTOR-Plants-Handbook.pdf</w:t>
              </w:r>
            </w:hyperlink>
            <w:r w:rsidR="004427A4"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371E53" w14:paraId="46E57954" w14:textId="77777777" w:rsidTr="0004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4F" w14:textId="77777777" w:rsidR="00371E53" w:rsidRDefault="00A52798">
            <w:pPr>
              <w:contextualSpacing w:val="0"/>
            </w:pPr>
            <w:hyperlink r:id="rId13">
              <w:r w:rsidR="004427A4">
                <w:rPr>
                  <w:rFonts w:ascii="Arial" w:eastAsia="Arial" w:hAnsi="Arial" w:cs="Arial"/>
                  <w:b/>
                  <w:sz w:val="22"/>
                </w:rPr>
                <w:t>T8</w:t>
              </w:r>
            </w:hyperlink>
            <w:hyperlink r:id="rId14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0" w14:textId="77777777" w:rsidR="00371E53" w:rsidRDefault="00A52798">
            <w:pPr>
              <w:contextualSpacing w:val="0"/>
            </w:pPr>
            <w:hyperlink r:id="rId15">
              <w:r w:rsidR="004427A4">
                <w:rPr>
                  <w:rFonts w:ascii="Arial" w:eastAsia="Arial" w:hAnsi="Arial" w:cs="Arial"/>
                  <w:sz w:val="22"/>
                </w:rPr>
                <w:t>Place and/or affix scale and color standard; ensure both are clean and that the colors are not substantially faded from their original hue and brightness.</w:t>
              </w:r>
            </w:hyperlink>
            <w:hyperlink r:id="rId16"/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1" w14:textId="77777777" w:rsidR="00371E53" w:rsidRDefault="00A52798">
            <w:pPr>
              <w:contextualSpacing w:val="0"/>
            </w:pPr>
            <w:hyperlink r:id="rId17">
              <w:r w:rsidR="004427A4">
                <w:rPr>
                  <w:rFonts w:ascii="Arial" w:eastAsia="Arial" w:hAnsi="Arial" w:cs="Arial"/>
                  <w:sz w:val="22"/>
                </w:rPr>
                <w:t>GPI standards call for placing the scale and color checker on the specimen.</w:t>
              </w:r>
            </w:hyperlink>
            <w:hyperlink r:id="rId18"/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2" w14:textId="77777777" w:rsidR="00371E53" w:rsidRDefault="00A52798">
            <w:pPr>
              <w:contextualSpacing w:val="0"/>
            </w:pPr>
            <w:hyperlink r:id="rId19">
              <w:r w:rsidR="004427A4">
                <w:rPr>
                  <w:rFonts w:ascii="Arial" w:eastAsia="Arial" w:hAnsi="Arial" w:cs="Arial"/>
                  <w:sz w:val="22"/>
                </w:rPr>
                <w:t>Color standard.</w:t>
              </w:r>
            </w:hyperlink>
          </w:p>
          <w:p w14:paraId="46E57953" w14:textId="77777777" w:rsidR="00371E53" w:rsidRDefault="00A52798">
            <w:pPr>
              <w:contextualSpacing w:val="0"/>
            </w:pPr>
            <w:hyperlink r:id="rId20">
              <w:r w:rsidR="004427A4">
                <w:rPr>
                  <w:rFonts w:ascii="Arial" w:eastAsia="Arial" w:hAnsi="Arial" w:cs="Arial"/>
                  <w:sz w:val="22"/>
                </w:rPr>
                <w:t>Scale.</w:t>
              </w:r>
            </w:hyperlink>
            <w:hyperlink r:id="rId21"/>
          </w:p>
        </w:tc>
      </w:tr>
      <w:tr w:rsidR="00371E53" w14:paraId="46E57959" w14:textId="77777777" w:rsidTr="00043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5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T9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6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Place test specimen in scanner and center it. Close scanner.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7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If the scanner bed is inverted, the specimen may be placed on a platform beneath the scanner and then raised to contact the scanner bed.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8" w14:textId="77777777" w:rsidR="00371E53" w:rsidRDefault="00371E53">
            <w:pPr>
              <w:contextualSpacing w:val="0"/>
            </w:pPr>
          </w:p>
        </w:tc>
      </w:tr>
      <w:tr w:rsidR="00371E53" w14:paraId="46E5795E" w14:textId="77777777" w:rsidTr="0004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A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T10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B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Perform test scan (preview).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C" w14:textId="77777777" w:rsidR="00371E53" w:rsidRDefault="004427A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Although included here, test scans are also routinely made during scanning sessions.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795D" w14:textId="77777777" w:rsidR="00371E53" w:rsidRDefault="00371E53">
            <w:pPr>
              <w:contextualSpacing w:val="0"/>
            </w:pPr>
          </w:p>
        </w:tc>
      </w:tr>
    </w:tbl>
    <w:p w14:paraId="46E5795F" w14:textId="77777777" w:rsidR="00371E53" w:rsidRDefault="00371E53"/>
    <w:p w14:paraId="7FA47417" w14:textId="6736023D" w:rsidR="005A2D48" w:rsidRPr="001B2926" w:rsidRDefault="00782E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Literature Cited</w:t>
      </w:r>
    </w:p>
    <w:p w14:paraId="5C03E9F9" w14:textId="77777777" w:rsidR="005A2D48" w:rsidRPr="001B2926" w:rsidRDefault="005A2D48">
      <w:pPr>
        <w:rPr>
          <w:rFonts w:ascii="Arial" w:hAnsi="Arial" w:cs="Arial"/>
          <w:sz w:val="22"/>
          <w:szCs w:val="22"/>
        </w:rPr>
      </w:pPr>
    </w:p>
    <w:p w14:paraId="1F1F2C20" w14:textId="2A335EE8" w:rsidR="005A2D48" w:rsidRPr="001B2926" w:rsidRDefault="005A2D48">
      <w:pPr>
        <w:rPr>
          <w:rFonts w:ascii="Arial" w:hAnsi="Arial" w:cs="Arial"/>
          <w:sz w:val="22"/>
          <w:szCs w:val="22"/>
        </w:rPr>
      </w:pPr>
      <w:r w:rsidRPr="001B2926">
        <w:rPr>
          <w:rFonts w:ascii="Arial" w:hAnsi="Arial" w:cs="Arial"/>
          <w:sz w:val="22"/>
          <w:szCs w:val="22"/>
        </w:rPr>
        <w:t xml:space="preserve">JSTOR. JSTOR PLANTS Handbook. </w:t>
      </w:r>
      <w:hyperlink r:id="rId22">
        <w:r w:rsidRPr="001B2926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http://www.snsb.info/SNSBInfoOpenWiki/attach/Attachments/JSTOR-Plants-Handbook.pdf</w:t>
        </w:r>
      </w:hyperlink>
      <w:r w:rsidRPr="001B2926">
        <w:rPr>
          <w:rFonts w:ascii="Arial" w:hAnsi="Arial" w:cs="Arial"/>
          <w:sz w:val="22"/>
          <w:szCs w:val="22"/>
        </w:rPr>
        <w:t>. Accessed 1 May 2015.</w:t>
      </w:r>
    </w:p>
    <w:p w14:paraId="00FDF883" w14:textId="77777777" w:rsidR="005A2D48" w:rsidRPr="001B2926" w:rsidRDefault="005A2D48">
      <w:pPr>
        <w:rPr>
          <w:rFonts w:ascii="Arial" w:hAnsi="Arial" w:cs="Arial"/>
          <w:sz w:val="22"/>
          <w:szCs w:val="22"/>
        </w:rPr>
      </w:pPr>
    </w:p>
    <w:p w14:paraId="424BAE17" w14:textId="50EF969C" w:rsidR="005A2D48" w:rsidRPr="001B2926" w:rsidRDefault="005A2D48">
      <w:pPr>
        <w:rPr>
          <w:rFonts w:ascii="Arial" w:hAnsi="Arial" w:cs="Arial"/>
          <w:sz w:val="22"/>
          <w:szCs w:val="22"/>
        </w:rPr>
      </w:pPr>
      <w:r w:rsidRPr="001B2926">
        <w:rPr>
          <w:rFonts w:ascii="Arial" w:hAnsi="Arial" w:cs="Arial"/>
          <w:sz w:val="22"/>
          <w:szCs w:val="22"/>
        </w:rPr>
        <w:t xml:space="preserve">McRobb, A. How to clean the Epson 10000XL scanner. </w:t>
      </w:r>
      <w:hyperlink r:id="rId23">
        <w:r w:rsidRPr="001B2926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https://www.idigbio.org/wiki/images/7/70/How_to_clean_a_scanner.pdf</w:t>
        </w:r>
      </w:hyperlink>
      <w:r w:rsidRPr="001B2926">
        <w:rPr>
          <w:rFonts w:ascii="Arial" w:hAnsi="Arial" w:cs="Arial"/>
          <w:sz w:val="22"/>
          <w:szCs w:val="22"/>
        </w:rPr>
        <w:t>. Accessed 1 May 2015.</w:t>
      </w:r>
    </w:p>
    <w:sectPr w:rsidR="005A2D48" w:rsidRPr="001B2926">
      <w:headerReference w:type="even" r:id="rId24"/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2FA39" w14:textId="77777777" w:rsidR="00250483" w:rsidRDefault="00250483">
      <w:r>
        <w:separator/>
      </w:r>
    </w:p>
  </w:endnote>
  <w:endnote w:type="continuationSeparator" w:id="0">
    <w:p w14:paraId="5EC08CAC" w14:textId="77777777" w:rsidR="00250483" w:rsidRDefault="0025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57960" w14:textId="77777777" w:rsidR="00371E53" w:rsidRDefault="00371E53">
    <w:pPr>
      <w:tabs>
        <w:tab w:val="center" w:pos="4680"/>
        <w:tab w:val="right" w:pos="9360"/>
      </w:tabs>
    </w:pPr>
  </w:p>
  <w:p w14:paraId="46E57961" w14:textId="77777777" w:rsidR="00371E53" w:rsidRDefault="00371E53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D344D" w14:textId="77777777" w:rsidR="00250483" w:rsidRDefault="00250483">
      <w:r>
        <w:separator/>
      </w:r>
    </w:p>
  </w:footnote>
  <w:footnote w:type="continuationSeparator" w:id="0">
    <w:p w14:paraId="0EAF64CD" w14:textId="77777777" w:rsidR="00250483" w:rsidRDefault="00250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D5F7A" w14:textId="77777777" w:rsidR="00782E1B" w:rsidRDefault="00A52798">
    <w:pPr>
      <w:pStyle w:val="Header"/>
    </w:pPr>
    <w:sdt>
      <w:sdtPr>
        <w:id w:val="171999623"/>
        <w:placeholder>
          <w:docPart w:val="45D9103D64DD7F42906FCB1D8CD45B69"/>
        </w:placeholder>
        <w:temporary/>
        <w:showingPlcHdr/>
      </w:sdtPr>
      <w:sdtEndPr/>
      <w:sdtContent>
        <w:r w:rsidR="00782E1B">
          <w:t>[Type text]</w:t>
        </w:r>
      </w:sdtContent>
    </w:sdt>
    <w:r w:rsidR="00782E1B">
      <w:ptab w:relativeTo="margin" w:alignment="center" w:leader="none"/>
    </w:r>
    <w:sdt>
      <w:sdtPr>
        <w:id w:val="171999624"/>
        <w:placeholder>
          <w:docPart w:val="89B2D30D8879D74FA23C8C183AA46B5C"/>
        </w:placeholder>
        <w:temporary/>
        <w:showingPlcHdr/>
      </w:sdtPr>
      <w:sdtEndPr/>
      <w:sdtContent>
        <w:r w:rsidR="00782E1B">
          <w:t>[Type text]</w:t>
        </w:r>
      </w:sdtContent>
    </w:sdt>
    <w:r w:rsidR="00782E1B">
      <w:ptab w:relativeTo="margin" w:alignment="right" w:leader="none"/>
    </w:r>
    <w:sdt>
      <w:sdtPr>
        <w:id w:val="171999625"/>
        <w:placeholder>
          <w:docPart w:val="ABA207522AAB7A40B36BA63588FA11FE"/>
        </w:placeholder>
        <w:temporary/>
        <w:showingPlcHdr/>
      </w:sdtPr>
      <w:sdtEndPr/>
      <w:sdtContent>
        <w:r w:rsidR="00782E1B">
          <w:t>[Type text]</w:t>
        </w:r>
      </w:sdtContent>
    </w:sdt>
  </w:p>
  <w:p w14:paraId="7C64EFB5" w14:textId="77777777" w:rsidR="00782E1B" w:rsidRDefault="00782E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8FBDF" w14:textId="2185E294" w:rsidR="00782E1B" w:rsidRPr="00C75D77" w:rsidRDefault="00782E1B" w:rsidP="00782E1B">
    <w:pPr>
      <w:pStyle w:val="Header"/>
      <w:ind w:right="360"/>
    </w:pPr>
    <w:r>
      <w:t>Nelson</w:t>
    </w:r>
    <w:r w:rsidRPr="0029453B">
      <w:t xml:space="preserve"> et al.—App</w:t>
    </w:r>
    <w:r>
      <w:t>lications in Plant Sciences 2015</w:t>
    </w:r>
    <w:r w:rsidRPr="0029453B">
      <w:t xml:space="preserve"> </w:t>
    </w:r>
    <w:r>
      <w:t>3(9): 1500065</w:t>
    </w:r>
    <w:r w:rsidRPr="0029453B">
      <w:t>—Data Supplement S</w:t>
    </w:r>
    <w:r>
      <w:t>5</w:t>
    </w:r>
    <w:r w:rsidRPr="0029453B">
      <w:t xml:space="preserve">—Page </w:t>
    </w:r>
    <w:r w:rsidRPr="0029453B">
      <w:rPr>
        <w:rStyle w:val="PageNumber"/>
      </w:rPr>
      <w:fldChar w:fldCharType="begin"/>
    </w:r>
    <w:r w:rsidRPr="0029453B">
      <w:rPr>
        <w:rStyle w:val="PageNumber"/>
      </w:rPr>
      <w:instrText xml:space="preserve"> PAGE </w:instrText>
    </w:r>
    <w:r w:rsidRPr="0029453B">
      <w:rPr>
        <w:rStyle w:val="PageNumber"/>
      </w:rPr>
      <w:fldChar w:fldCharType="separate"/>
    </w:r>
    <w:r w:rsidR="00A52798">
      <w:rPr>
        <w:rStyle w:val="PageNumber"/>
        <w:noProof/>
      </w:rPr>
      <w:t>1</w:t>
    </w:r>
    <w:r w:rsidRPr="0029453B">
      <w:rPr>
        <w:rStyle w:val="PageNumber"/>
      </w:rPr>
      <w:fldChar w:fldCharType="end"/>
    </w:r>
  </w:p>
  <w:p w14:paraId="6F2B2613" w14:textId="77777777" w:rsidR="00782E1B" w:rsidRDefault="00782E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43AC0"/>
    <w:multiLevelType w:val="multilevel"/>
    <w:tmpl w:val="35CE714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6C607D84"/>
    <w:multiLevelType w:val="multilevel"/>
    <w:tmpl w:val="E4D8BD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7A5858BC"/>
    <w:multiLevelType w:val="multilevel"/>
    <w:tmpl w:val="FFAE62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1E53"/>
    <w:rsid w:val="00043295"/>
    <w:rsid w:val="00120C35"/>
    <w:rsid w:val="0012423A"/>
    <w:rsid w:val="001B2926"/>
    <w:rsid w:val="00250483"/>
    <w:rsid w:val="00371E53"/>
    <w:rsid w:val="003F00CF"/>
    <w:rsid w:val="004427A4"/>
    <w:rsid w:val="004B5182"/>
    <w:rsid w:val="005A1F3A"/>
    <w:rsid w:val="005A2D48"/>
    <w:rsid w:val="00773F9D"/>
    <w:rsid w:val="00782E1B"/>
    <w:rsid w:val="008849D5"/>
    <w:rsid w:val="00891301"/>
    <w:rsid w:val="00975565"/>
    <w:rsid w:val="00A52798"/>
    <w:rsid w:val="00BD0E3C"/>
    <w:rsid w:val="00C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5790D"/>
  <w15:docId w15:val="{B32754E7-9C02-41D3-ABB6-1902A63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5A2D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E1B"/>
  </w:style>
  <w:style w:type="paragraph" w:styleId="Footer">
    <w:name w:val="footer"/>
    <w:basedOn w:val="Normal"/>
    <w:link w:val="FooterChar"/>
    <w:uiPriority w:val="99"/>
    <w:unhideWhenUsed/>
    <w:rsid w:val="00782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E1B"/>
  </w:style>
  <w:style w:type="character" w:styleId="PageNumber">
    <w:name w:val="page number"/>
    <w:basedOn w:val="DefaultParagraphFont"/>
    <w:uiPriority w:val="99"/>
    <w:semiHidden/>
    <w:unhideWhenUsed/>
    <w:rsid w:val="00782E1B"/>
  </w:style>
  <w:style w:type="paragraph" w:styleId="BalloonText">
    <w:name w:val="Balloon Text"/>
    <w:basedOn w:val="Normal"/>
    <w:link w:val="BalloonTextChar"/>
    <w:uiPriority w:val="99"/>
    <w:semiHidden/>
    <w:unhideWhenUsed/>
    <w:rsid w:val="00782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igBioWorkflows/FlatSheetsDigitizatonWorkflows" TargetMode="External"/><Relationship Id="rId13" Type="http://schemas.openxmlformats.org/officeDocument/2006/relationships/hyperlink" Target="http://www.snsb.info/SNSBInfoOpenWiki/attach/Attachments/JSTOR-Plants-Handbook.pdf" TargetMode="External"/><Relationship Id="rId18" Type="http://schemas.openxmlformats.org/officeDocument/2006/relationships/hyperlink" Target="http://www.snsb.info/SNSBInfoOpenWiki/attach/Attachments/JSTOR-Plants-Handbook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snsb.info/SNSBInfoOpenWiki/attach/Attachments/JSTOR-Plants-Handbook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nsb.info/SNSBInfoOpenWiki/attach/Attachments/JSTOR-Plants-Handbook.pdf" TargetMode="External"/><Relationship Id="rId17" Type="http://schemas.openxmlformats.org/officeDocument/2006/relationships/hyperlink" Target="http://www.snsb.info/SNSBInfoOpenWiki/attach/Attachments/JSTOR-Plants-Handbook.pdf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snsb.info/SNSBInfoOpenWiki/attach/Attachments/JSTOR-Plants-Handbook.pdf" TargetMode="External"/><Relationship Id="rId20" Type="http://schemas.openxmlformats.org/officeDocument/2006/relationships/hyperlink" Target="http://www.snsb.info/SNSBInfoOpenWiki/attach/Attachments/JSTOR-Plants-Handbook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digbio.org/wiki/images/7/70/How_to_clean_a_scanner.pdf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snsb.info/SNSBInfoOpenWiki/attach/Attachments/JSTOR-Plants-Handbook.pdf" TargetMode="External"/><Relationship Id="rId23" Type="http://schemas.openxmlformats.org/officeDocument/2006/relationships/hyperlink" Target="https://www.idigbio.org/wiki/images/7/70/How_to_clean_a_scanner.pdf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://www.snsb.info/SNSBInfoOpenWiki/attach/Attachments/JSTOR-Plants-Handbook.pdf" TargetMode="External"/><Relationship Id="rId19" Type="http://schemas.openxmlformats.org/officeDocument/2006/relationships/hyperlink" Target="http://www.snsb.info/SNSBInfoOpenWiki/attach/Attachments/JSTOR-Plants-Handbook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digbio.org/content/workflow-modules-and-task-lists" TargetMode="External"/><Relationship Id="rId14" Type="http://schemas.openxmlformats.org/officeDocument/2006/relationships/hyperlink" Target="http://www.snsb.info/SNSBInfoOpenWiki/attach/Attachments/JSTOR-Plants-Handbook.pdf" TargetMode="External"/><Relationship Id="rId22" Type="http://schemas.openxmlformats.org/officeDocument/2006/relationships/hyperlink" Target="http://www.snsb.info/SNSBInfoOpenWiki/attach/Attachments/JSTOR-Plants-Handbook.pdf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D9103D64DD7F42906FCB1D8CD45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C5C38-371A-8C4D-B259-03756DBBA63C}"/>
      </w:docPartPr>
      <w:docPartBody>
        <w:p w:rsidR="001C4B95" w:rsidRDefault="00986AF4" w:rsidP="00986AF4">
          <w:pPr>
            <w:pStyle w:val="45D9103D64DD7F42906FCB1D8CD45B69"/>
          </w:pPr>
          <w:r>
            <w:t>[Type text]</w:t>
          </w:r>
        </w:p>
      </w:docPartBody>
    </w:docPart>
    <w:docPart>
      <w:docPartPr>
        <w:name w:val="89B2D30D8879D74FA23C8C183AA46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42EA-D1EE-8D4E-B52E-B41EC8F901C4}"/>
      </w:docPartPr>
      <w:docPartBody>
        <w:p w:rsidR="001C4B95" w:rsidRDefault="00986AF4" w:rsidP="00986AF4">
          <w:pPr>
            <w:pStyle w:val="89B2D30D8879D74FA23C8C183AA46B5C"/>
          </w:pPr>
          <w:r>
            <w:t>[Type text]</w:t>
          </w:r>
        </w:p>
      </w:docPartBody>
    </w:docPart>
    <w:docPart>
      <w:docPartPr>
        <w:name w:val="ABA207522AAB7A40B36BA63588FA1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07D1-104D-5147-8B16-17655D0DA360}"/>
      </w:docPartPr>
      <w:docPartBody>
        <w:p w:rsidR="001C4B95" w:rsidRDefault="00986AF4" w:rsidP="00986AF4">
          <w:pPr>
            <w:pStyle w:val="ABA207522AAB7A40B36BA63588FA11F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F4"/>
    <w:rsid w:val="001C4B95"/>
    <w:rsid w:val="0098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9103D64DD7F42906FCB1D8CD45B69">
    <w:name w:val="45D9103D64DD7F42906FCB1D8CD45B69"/>
    <w:rsid w:val="00986AF4"/>
  </w:style>
  <w:style w:type="paragraph" w:customStyle="1" w:styleId="89B2D30D8879D74FA23C8C183AA46B5C">
    <w:name w:val="89B2D30D8879D74FA23C8C183AA46B5C"/>
    <w:rsid w:val="00986AF4"/>
  </w:style>
  <w:style w:type="paragraph" w:customStyle="1" w:styleId="ABA207522AAB7A40B36BA63588FA11FE">
    <w:name w:val="ABA207522AAB7A40B36BA63588FA11FE"/>
    <w:rsid w:val="00986AF4"/>
  </w:style>
  <w:style w:type="paragraph" w:customStyle="1" w:styleId="83DD476CC32CFA46B8DA9465888298D7">
    <w:name w:val="83DD476CC32CFA46B8DA9465888298D7"/>
    <w:rsid w:val="00986AF4"/>
  </w:style>
  <w:style w:type="paragraph" w:customStyle="1" w:styleId="A04F35EEBA16BE4A9A33FACE7C9F705C">
    <w:name w:val="A04F35EEBA16BE4A9A33FACE7C9F705C"/>
    <w:rsid w:val="00986AF4"/>
  </w:style>
  <w:style w:type="paragraph" w:customStyle="1" w:styleId="F15B57C0A6A4944A9BAD8C822D7D6809">
    <w:name w:val="F15B57C0A6A4944A9BAD8C822D7D6809"/>
    <w:rsid w:val="0098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BE1060-C4CD-4FDB-9698-704D4EBE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Nelson</dc:creator>
  <cp:lastModifiedBy>Gil Nelson</cp:lastModifiedBy>
  <cp:revision>12</cp:revision>
  <cp:lastPrinted>2015-08-31T12:48:00Z</cp:lastPrinted>
  <dcterms:created xsi:type="dcterms:W3CDTF">2015-05-01T17:44:00Z</dcterms:created>
  <dcterms:modified xsi:type="dcterms:W3CDTF">2015-08-31T12:59:00Z</dcterms:modified>
</cp:coreProperties>
</file>