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4A0" w:firstRow="1" w:lastRow="0" w:firstColumn="1" w:lastColumn="0" w:noHBand="0" w:noVBand="1"/>
      </w:tblPr>
      <w:tblGrid>
        <w:gridCol w:w="2059"/>
        <w:gridCol w:w="2064"/>
        <w:gridCol w:w="2059"/>
        <w:gridCol w:w="2058"/>
      </w:tblGrid>
      <w:tr w:rsidR="00C20763" w14:paraId="49F7045E" w14:textId="77777777" w:rsidTr="00B77C73">
        <w:tc>
          <w:tcPr>
            <w:tcW w:w="2060" w:type="dxa"/>
            <w:tcBorders>
              <w:top w:val="single" w:sz="24" w:space="0" w:color="A5A5A5"/>
              <w:left w:val="single" w:sz="24" w:space="0" w:color="A5A5A5"/>
              <w:bottom w:val="single" w:sz="18" w:space="0" w:color="FFFFFF"/>
              <w:right w:val="single" w:sz="4" w:space="0" w:color="FFFFFF"/>
            </w:tcBorders>
            <w:shd w:val="clear" w:color="auto" w:fill="A5A5A5"/>
            <w:hideMark/>
          </w:tcPr>
          <w:p w14:paraId="2D3E872F" w14:textId="77777777" w:rsidR="00C20763" w:rsidRDefault="00C20763" w:rsidP="00B77C73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softHyphen/>
            </w: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内容</w:t>
            </w:r>
          </w:p>
        </w:tc>
        <w:tc>
          <w:tcPr>
            <w:tcW w:w="6186" w:type="dxa"/>
            <w:gridSpan w:val="3"/>
            <w:tcBorders>
              <w:top w:val="single" w:sz="24" w:space="0" w:color="A5A5A5"/>
              <w:left w:val="single" w:sz="4" w:space="0" w:color="FFFFFF"/>
              <w:bottom w:val="single" w:sz="18" w:space="0" w:color="FFFFFF"/>
              <w:right w:val="single" w:sz="24" w:space="0" w:color="A5A5A5"/>
            </w:tcBorders>
            <w:shd w:val="clear" w:color="auto" w:fill="A5A5A5"/>
            <w:hideMark/>
          </w:tcPr>
          <w:p w14:paraId="52D4D4DD" w14:textId="62A1DCFB" w:rsidR="00C20763" w:rsidRDefault="00C20763" w:rsidP="005A126E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需求文档</w:t>
            </w:r>
            <w:r>
              <w:rPr>
                <w:b/>
                <w:bCs/>
                <w:color w:val="FFFFFF"/>
                <w:sz w:val="32"/>
                <w:szCs w:val="32"/>
              </w:rPr>
              <w:t>-</w:t>
            </w:r>
            <w:r w:rsidR="005A126E">
              <w:rPr>
                <w:rFonts w:hint="eastAsia"/>
                <w:b/>
                <w:bCs/>
                <w:color w:val="FFFFFF"/>
                <w:sz w:val="32"/>
                <w:szCs w:val="32"/>
              </w:rPr>
              <w:t>个股分析</w:t>
            </w: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模块</w:t>
            </w:r>
          </w:p>
        </w:tc>
      </w:tr>
      <w:tr w:rsidR="00C20763" w14:paraId="51DB9E6A" w14:textId="77777777" w:rsidTr="00B77C73">
        <w:tc>
          <w:tcPr>
            <w:tcW w:w="2060" w:type="dxa"/>
            <w:tcBorders>
              <w:top w:val="single" w:sz="4" w:space="0" w:color="FFFFFF"/>
              <w:left w:val="single" w:sz="24" w:space="0" w:color="A5A5A5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14:paraId="246F5B13" w14:textId="77777777" w:rsidR="00C20763" w:rsidRDefault="00C20763" w:rsidP="00B77C73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修改时间</w:t>
            </w:r>
          </w:p>
        </w:tc>
        <w:tc>
          <w:tcPr>
            <w:tcW w:w="20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14:paraId="5F05A1F8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修改人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14:paraId="76239E87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创建时间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4" w:space="0" w:color="A5A5A5"/>
            </w:tcBorders>
            <w:shd w:val="clear" w:color="auto" w:fill="A5A5A5"/>
            <w:hideMark/>
          </w:tcPr>
          <w:p w14:paraId="4F858F69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创建人</w:t>
            </w:r>
          </w:p>
        </w:tc>
      </w:tr>
      <w:tr w:rsidR="00C20763" w14:paraId="46001670" w14:textId="77777777" w:rsidTr="00B77C73">
        <w:tc>
          <w:tcPr>
            <w:tcW w:w="2060" w:type="dxa"/>
            <w:tcBorders>
              <w:top w:val="nil"/>
              <w:left w:val="single" w:sz="24" w:space="0" w:color="A5A5A5"/>
              <w:bottom w:val="single" w:sz="24" w:space="0" w:color="A5A5A5"/>
              <w:right w:val="single" w:sz="4" w:space="0" w:color="FFFFFF"/>
            </w:tcBorders>
            <w:shd w:val="clear" w:color="auto" w:fill="A5A5A5"/>
          </w:tcPr>
          <w:p w14:paraId="7159183B" w14:textId="77777777" w:rsidR="00C20763" w:rsidRDefault="00C20763" w:rsidP="00B77C73">
            <w:pPr>
              <w:rPr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24" w:space="0" w:color="A5A5A5"/>
              <w:right w:val="single" w:sz="4" w:space="0" w:color="FFFFFF"/>
            </w:tcBorders>
            <w:shd w:val="clear" w:color="auto" w:fill="A5A5A5"/>
          </w:tcPr>
          <w:p w14:paraId="02037378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/>
              <w:bottom w:val="single" w:sz="24" w:space="0" w:color="A5A5A5"/>
              <w:right w:val="single" w:sz="4" w:space="0" w:color="FFFFFF"/>
            </w:tcBorders>
            <w:shd w:val="clear" w:color="auto" w:fill="A5A5A5"/>
            <w:hideMark/>
          </w:tcPr>
          <w:p w14:paraId="59716296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2016.4.25</w:t>
            </w:r>
          </w:p>
        </w:tc>
        <w:tc>
          <w:tcPr>
            <w:tcW w:w="2060" w:type="dxa"/>
            <w:tcBorders>
              <w:top w:val="nil"/>
              <w:left w:val="single" w:sz="4" w:space="0" w:color="FFFFFF"/>
              <w:bottom w:val="single" w:sz="24" w:space="0" w:color="A5A5A5"/>
              <w:right w:val="single" w:sz="24" w:space="0" w:color="A5A5A5"/>
            </w:tcBorders>
            <w:shd w:val="clear" w:color="auto" w:fill="A5A5A5"/>
            <w:hideMark/>
          </w:tcPr>
          <w:p w14:paraId="6DE003D6" w14:textId="77777777" w:rsidR="00C20763" w:rsidRDefault="00C20763" w:rsidP="00B77C73">
            <w:pPr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汪文藻</w:t>
            </w:r>
          </w:p>
        </w:tc>
      </w:tr>
    </w:tbl>
    <w:p w14:paraId="0C699D88" w14:textId="77777777" w:rsidR="00C20763" w:rsidRDefault="00C20763" w:rsidP="00C20763">
      <w:pPr>
        <w:rPr>
          <w:rFonts w:ascii="微软雅黑" w:hAnsi="微软雅黑" w:cs="微软雅黑"/>
          <w:sz w:val="32"/>
          <w:szCs w:val="32"/>
        </w:rPr>
      </w:pPr>
      <w:r>
        <w:rPr>
          <w:sz w:val="32"/>
          <w:szCs w:val="32"/>
        </w:rPr>
        <w:t>3.X.1</w:t>
      </w:r>
      <w:r>
        <w:rPr>
          <w:rFonts w:ascii="微软雅黑" w:hAnsi="微软雅黑" w:cs="微软雅黑" w:hint="eastAsia"/>
          <w:sz w:val="32"/>
          <w:szCs w:val="32"/>
        </w:rPr>
        <w:t>个股</w:t>
      </w:r>
      <w:r>
        <w:rPr>
          <w:rFonts w:ascii="微软雅黑" w:hAnsi="微软雅黑" w:cs="微软雅黑"/>
          <w:sz w:val="32"/>
          <w:szCs w:val="32"/>
        </w:rPr>
        <w:t>分析</w:t>
      </w:r>
    </w:p>
    <w:p w14:paraId="4ACD31E3" w14:textId="77777777" w:rsidR="00C20763" w:rsidRDefault="00C20763" w:rsidP="00C20763">
      <w:pPr>
        <w:pStyle w:val="2"/>
        <w:rPr>
          <w:rFonts w:ascii="微软雅黑" w:hAnsi="微软雅黑" w:cs="微软雅黑"/>
          <w:sz w:val="28"/>
          <w:szCs w:val="28"/>
        </w:rPr>
      </w:pPr>
      <w:r>
        <w:t xml:space="preserve">      3.X.1.1</w:t>
      </w:r>
      <w:r>
        <w:rPr>
          <w:rFonts w:ascii="微软雅黑" w:hAnsi="微软雅黑" w:cs="微软雅黑" w:hint="eastAsia"/>
        </w:rPr>
        <w:t>特性描述</w:t>
      </w:r>
    </w:p>
    <w:p w14:paraId="3CFFB63E" w14:textId="77777777" w:rsidR="00C20763" w:rsidRDefault="00C20763" w:rsidP="00C20763">
      <w:r>
        <w:t xml:space="preserve">      </w:t>
      </w:r>
      <w:r>
        <w:tab/>
      </w:r>
      <w:r>
        <w:rPr>
          <w:rFonts w:hint="eastAsia"/>
        </w:rPr>
        <w:t>本系统</w:t>
      </w:r>
      <w:r>
        <w:t>为用户</w:t>
      </w:r>
      <w:r>
        <w:rPr>
          <w:rFonts w:hint="eastAsia"/>
        </w:rPr>
        <w:t>提供</w:t>
      </w:r>
      <w:r>
        <w:t>个股</w:t>
      </w:r>
      <w:r>
        <w:rPr>
          <w:rFonts w:hint="eastAsia"/>
        </w:rPr>
        <w:t>数据</w:t>
      </w:r>
      <w:r>
        <w:t>的分析与预测，</w:t>
      </w:r>
      <w:r>
        <w:rPr>
          <w:rFonts w:hint="eastAsia"/>
        </w:rPr>
        <w:t>在</w:t>
      </w:r>
      <w:r>
        <w:t>迭代二的基础上，</w:t>
      </w:r>
      <w:r>
        <w:rPr>
          <w:rFonts w:hint="eastAsia"/>
        </w:rPr>
        <w:t>增加</w:t>
      </w:r>
      <w:r>
        <w:t>对个股的机构分析，</w:t>
      </w:r>
      <w:r>
        <w:rPr>
          <w:rFonts w:hint="eastAsia"/>
        </w:rPr>
        <w:t>个股能力系数</w:t>
      </w:r>
      <w:r>
        <w:t>，</w:t>
      </w:r>
      <w:r>
        <w:rPr>
          <w:rFonts w:hint="eastAsia"/>
        </w:rPr>
        <w:t>研究</w:t>
      </w:r>
      <w:r>
        <w:t>报告三个功能：</w:t>
      </w:r>
    </w:p>
    <w:p w14:paraId="38FF4E21" w14:textId="77777777" w:rsidR="00C20763" w:rsidRDefault="00C20763" w:rsidP="00C20763">
      <w:pPr>
        <w:pStyle w:val="2"/>
      </w:pPr>
      <w:r>
        <w:t>个股机构分析包含，</w:t>
      </w:r>
      <w:r>
        <w:rPr>
          <w:rFonts w:hint="eastAsia"/>
        </w:rPr>
        <w:t>股票</w:t>
      </w:r>
      <w:r>
        <w:t>EPS</w:t>
      </w:r>
      <w:r>
        <w:t>预测、</w:t>
      </w:r>
      <w:r>
        <w:rPr>
          <w:rFonts w:hint="eastAsia"/>
        </w:rPr>
        <w:t>上涨</w:t>
      </w:r>
      <w:r>
        <w:t>概率预测、</w:t>
      </w:r>
      <w:r>
        <w:rPr>
          <w:rFonts w:hint="eastAsia"/>
        </w:rPr>
        <w:t>卖出价</w:t>
      </w:r>
      <w:r>
        <w:t>预测、</w:t>
      </w:r>
      <w:r>
        <w:rPr>
          <w:rFonts w:hint="eastAsia"/>
        </w:rPr>
        <w:t>最优</w:t>
      </w:r>
      <w:r>
        <w:t>仓位预测、</w:t>
      </w:r>
      <w:r>
        <w:rPr>
          <w:rFonts w:hint="eastAsia"/>
        </w:rPr>
        <w:t>预测价与</w:t>
      </w:r>
      <w:r>
        <w:t>实际价</w:t>
      </w:r>
      <w:r>
        <w:rPr>
          <w:rFonts w:hint="eastAsia"/>
        </w:rPr>
        <w:t>对比</w:t>
      </w:r>
      <w:r>
        <w:t>、</w:t>
      </w:r>
      <w:r>
        <w:rPr>
          <w:rFonts w:hint="eastAsia"/>
        </w:rPr>
        <w:t>风险</w:t>
      </w:r>
      <w:r>
        <w:t>走势与股票价格对比、</w:t>
      </w:r>
      <w:r>
        <w:rPr>
          <w:rFonts w:hint="eastAsia"/>
        </w:rPr>
        <w:t>提供</w:t>
      </w:r>
      <w:r>
        <w:t>对此股票的评级：</w:t>
      </w:r>
    </w:p>
    <w:p w14:paraId="35650727" w14:textId="77777777" w:rsidR="00C20763" w:rsidRPr="008A401D" w:rsidRDefault="00C20763" w:rsidP="00C20763">
      <w:r>
        <w:rPr>
          <w:noProof/>
        </w:rPr>
        <w:drawing>
          <wp:inline distT="0" distB="0" distL="0" distR="0" wp14:anchorId="6B6A4AAB" wp14:editId="67BF80AC">
            <wp:extent cx="364807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0A9D" w14:textId="77777777" w:rsidR="005A126E" w:rsidRDefault="005A126E" w:rsidP="00C20763">
      <w:pPr>
        <w:rPr>
          <w:noProof/>
        </w:rPr>
      </w:pPr>
    </w:p>
    <w:p w14:paraId="7FD041B9" w14:textId="77777777" w:rsidR="00C20763" w:rsidRDefault="00C20763" w:rsidP="00C20763">
      <w:r>
        <w:rPr>
          <w:noProof/>
        </w:rPr>
        <w:drawing>
          <wp:inline distT="0" distB="0" distL="0" distR="0" wp14:anchorId="38B83EBF" wp14:editId="05987C31">
            <wp:extent cx="47529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7517" t="4843" r="27401" b="65441"/>
                    <a:stretch/>
                  </pic:blipFill>
                  <pic:spPr bwMode="auto">
                    <a:xfrm>
                      <a:off x="0" y="0"/>
                      <a:ext cx="47529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765F40" w14:textId="77777777" w:rsidR="00C20763" w:rsidRDefault="00C20763" w:rsidP="00C20763"/>
    <w:p w14:paraId="1F30FCA2" w14:textId="77777777" w:rsidR="00C20763" w:rsidRDefault="00C20763" w:rsidP="00C20763">
      <w:r>
        <w:rPr>
          <w:rFonts w:hint="eastAsia"/>
        </w:rPr>
        <w:t>个股能力系数</w:t>
      </w:r>
      <w:r>
        <w:t>：</w:t>
      </w:r>
      <w:r w:rsidR="00BE3181">
        <w:rPr>
          <w:rFonts w:hint="eastAsia"/>
        </w:rPr>
        <w:t>由</w:t>
      </w:r>
      <w:r w:rsidR="00BE3181">
        <w:t>此股票的市净率</w:t>
      </w:r>
      <w:r w:rsidR="00BE3181">
        <w:t>pb</w:t>
      </w:r>
      <w:r w:rsidR="00BE3181">
        <w:t>，</w:t>
      </w:r>
      <w:r w:rsidR="00BE3181">
        <w:rPr>
          <w:rFonts w:hint="eastAsia"/>
        </w:rPr>
        <w:t>成交量</w:t>
      </w:r>
      <w:r w:rsidR="00BE3181">
        <w:t>，</w:t>
      </w:r>
      <w:r w:rsidR="00BE3181">
        <w:rPr>
          <w:rFonts w:hint="eastAsia"/>
        </w:rPr>
        <w:t>风险</w:t>
      </w:r>
      <w:r w:rsidR="00BE3181">
        <w:t>指数，</w:t>
      </w:r>
      <w:r w:rsidR="00BE3181">
        <w:rPr>
          <w:rFonts w:hint="eastAsia"/>
        </w:rPr>
        <w:t>上涨概率</w:t>
      </w:r>
      <w:r w:rsidR="00BE3181">
        <w:t>、</w:t>
      </w:r>
      <w:r w:rsidR="00BE3181">
        <w:t>1</w:t>
      </w:r>
      <w:r w:rsidR="00BE3181">
        <w:rPr>
          <w:rFonts w:hint="eastAsia"/>
        </w:rPr>
        <w:t>个</w:t>
      </w:r>
      <w:r w:rsidR="00BE3181">
        <w:t>月涨幅平均数，</w:t>
      </w:r>
      <w:r w:rsidR="00BE3181">
        <w:rPr>
          <w:rFonts w:hint="eastAsia"/>
        </w:rPr>
        <w:t>构成雷达图</w:t>
      </w:r>
      <w:r w:rsidR="00BE3181">
        <w:t>，</w:t>
      </w:r>
      <w:r w:rsidR="00BE3181">
        <w:rPr>
          <w:rFonts w:hint="eastAsia"/>
        </w:rPr>
        <w:t>反映此</w:t>
      </w:r>
      <w:r w:rsidR="00BE3181">
        <w:t>股票的能力，</w:t>
      </w:r>
      <w:r w:rsidR="00BE3181">
        <w:rPr>
          <w:rFonts w:hint="eastAsia"/>
        </w:rPr>
        <w:t>系数</w:t>
      </w:r>
      <w:r w:rsidR="00BE3181">
        <w:t>的计算方式待定。</w:t>
      </w:r>
    </w:p>
    <w:p w14:paraId="3558995C" w14:textId="77777777" w:rsidR="00BE3181" w:rsidRDefault="00BE3181" w:rsidP="00C20763">
      <w:r>
        <w:rPr>
          <w:rFonts w:hint="eastAsia"/>
        </w:rPr>
        <w:t>研究</w:t>
      </w:r>
      <w:r>
        <w:t>报告：</w:t>
      </w:r>
    </w:p>
    <w:p w14:paraId="23003557" w14:textId="77777777" w:rsidR="00BE3181" w:rsidRDefault="00BE3181" w:rsidP="00C20763">
      <w:r>
        <w:rPr>
          <w:rFonts w:hint="eastAsia"/>
        </w:rPr>
        <w:lastRenderedPageBreak/>
        <w:t>提供</w:t>
      </w:r>
      <w:r>
        <w:t>此股票的文字研究结论，</w:t>
      </w:r>
      <w:r>
        <w:rPr>
          <w:rFonts w:hint="eastAsia"/>
        </w:rPr>
        <w:t>此股票</w:t>
      </w:r>
      <w:r>
        <w:t>的行情动态，如图：</w:t>
      </w:r>
    </w:p>
    <w:p w14:paraId="5A0B190E" w14:textId="77777777" w:rsidR="00BE3181" w:rsidRDefault="00BE3181" w:rsidP="00C20763">
      <w:r>
        <w:rPr>
          <w:noProof/>
        </w:rPr>
        <w:drawing>
          <wp:inline distT="0" distB="0" distL="0" distR="0" wp14:anchorId="5BE06844" wp14:editId="4B0CDAA2">
            <wp:extent cx="5270500" cy="540121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0EBE" w14:textId="77777777" w:rsidR="00BE3181" w:rsidRDefault="00BE3181" w:rsidP="00BE3181">
      <w:pPr>
        <w:pStyle w:val="2"/>
        <w:rPr>
          <w:rFonts w:ascii="微软雅黑" w:hAnsi="微软雅黑" w:cs="微软雅黑"/>
        </w:rPr>
      </w:pPr>
      <w:r>
        <w:t>3.X.1.2</w:t>
      </w:r>
      <w:r>
        <w:rPr>
          <w:rFonts w:ascii="微软雅黑" w:hAnsi="微软雅黑" w:cs="微软雅黑" w:hint="eastAsia"/>
        </w:rPr>
        <w:t>刺激</w:t>
      </w:r>
      <w:r>
        <w:rPr>
          <w:rFonts w:ascii="微软雅黑" w:hAnsi="微软雅黑" w:cs="微软雅黑" w:hint="eastAsia"/>
        </w:rPr>
        <w:t>/</w:t>
      </w:r>
      <w:r>
        <w:rPr>
          <w:rFonts w:ascii="微软雅黑" w:hAnsi="微软雅黑" w:cs="微软雅黑" w:hint="eastAsia"/>
        </w:rPr>
        <w:t>响应序列</w:t>
      </w:r>
    </w:p>
    <w:p w14:paraId="33BB7500" w14:textId="77777777" w:rsidR="00BE3181" w:rsidRDefault="00BE3181" w:rsidP="00BE318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要求查看此股票的机构分析</w:t>
      </w:r>
    </w:p>
    <w:p w14:paraId="39846315" w14:textId="77777777" w:rsidR="00BE3181" w:rsidRDefault="00BE3181" w:rsidP="00BE318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显示机构分析内容，</w:t>
      </w:r>
      <w:r>
        <w:rPr>
          <w:rFonts w:hint="eastAsia"/>
        </w:rPr>
        <w:t>包括</w:t>
      </w:r>
      <w:r>
        <w:t>显示上涨概率，</w:t>
      </w:r>
      <w:r>
        <w:rPr>
          <w:rFonts w:hint="eastAsia"/>
        </w:rPr>
        <w:t>预测</w:t>
      </w:r>
      <w:r>
        <w:t>价格、</w:t>
      </w:r>
      <w:r>
        <w:rPr>
          <w:rFonts w:hint="eastAsia"/>
        </w:rPr>
        <w:t>预测</w:t>
      </w:r>
      <w:r>
        <w:t>最优仓位、</w:t>
      </w:r>
      <w:r>
        <w:rPr>
          <w:rFonts w:hint="eastAsia"/>
        </w:rPr>
        <w:t>实际价格</w:t>
      </w:r>
      <w:r>
        <w:t>与预测价格对比、</w:t>
      </w:r>
      <w:r>
        <w:rPr>
          <w:rFonts w:hint="eastAsia"/>
        </w:rPr>
        <w:t>风险</w:t>
      </w:r>
      <w:r>
        <w:t>走势、</w:t>
      </w:r>
      <w:r>
        <w:rPr>
          <w:rFonts w:hint="eastAsia"/>
        </w:rPr>
        <w:t>股票</w:t>
      </w:r>
      <w:r>
        <w:t>评级</w:t>
      </w:r>
    </w:p>
    <w:p w14:paraId="26D9ED8E" w14:textId="77777777" w:rsidR="00BE3181" w:rsidRDefault="00BE3181" w:rsidP="00BE318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</w:t>
      </w:r>
      <w:r>
        <w:rPr>
          <w:rFonts w:hint="eastAsia"/>
        </w:rPr>
        <w:t>查看</w:t>
      </w:r>
      <w:r>
        <w:t>此股票的能力系数</w:t>
      </w:r>
    </w:p>
    <w:p w14:paraId="117B1AA9" w14:textId="77777777" w:rsidR="00BE3181" w:rsidRDefault="00BE3181" w:rsidP="00BE318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显示雷达图，</w:t>
      </w:r>
      <w:r>
        <w:rPr>
          <w:rFonts w:hint="eastAsia"/>
        </w:rPr>
        <w:t>显示</w:t>
      </w:r>
      <w:r>
        <w:t>能力系数</w:t>
      </w:r>
    </w:p>
    <w:p w14:paraId="3ABA701B" w14:textId="77777777" w:rsidR="00BE3181" w:rsidRDefault="00BE3181" w:rsidP="00BE3181">
      <w:r>
        <w:rPr>
          <w:rFonts w:hint="eastAsia"/>
        </w:rPr>
        <w:lastRenderedPageBreak/>
        <w:t>刺激</w:t>
      </w:r>
      <w:r>
        <w:t>：</w:t>
      </w:r>
      <w:r>
        <w:rPr>
          <w:rFonts w:hint="eastAsia"/>
        </w:rPr>
        <w:t>用户</w:t>
      </w:r>
      <w:r>
        <w:t>要求查看此股票的研究报告</w:t>
      </w:r>
    </w:p>
    <w:p w14:paraId="1D6B83D1" w14:textId="77777777" w:rsidR="00BE3181" w:rsidRPr="00BE3181" w:rsidRDefault="00BE3181" w:rsidP="00BE3181">
      <w:r>
        <w:t>响应：</w:t>
      </w:r>
      <w:r>
        <w:rPr>
          <w:rFonts w:hint="eastAsia"/>
        </w:rPr>
        <w:t>系统</w:t>
      </w:r>
      <w:r>
        <w:t>显示此股票的文字研究信息</w:t>
      </w:r>
      <w:r>
        <w:rPr>
          <w:rFonts w:hint="eastAsia"/>
        </w:rPr>
        <w:t>列表</w:t>
      </w:r>
    </w:p>
    <w:p w14:paraId="40ACB1C2" w14:textId="77777777" w:rsidR="00BE3181" w:rsidRDefault="00BE3181" w:rsidP="00C20763"/>
    <w:p w14:paraId="3C2C283C" w14:textId="77777777" w:rsidR="00BE3181" w:rsidRDefault="00BE3181" w:rsidP="00BE3181">
      <w:pPr>
        <w:pStyle w:val="2"/>
        <w:rPr>
          <w:rFonts w:ascii="微软雅黑" w:hAnsi="微软雅黑" w:cs="微软雅黑"/>
          <w:sz w:val="28"/>
          <w:szCs w:val="28"/>
        </w:rPr>
      </w:pPr>
      <w:r>
        <w:t>3.X.1.3</w:t>
      </w:r>
      <w:r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BE3181" w14:paraId="299D33F4" w14:textId="77777777" w:rsidTr="00B77C73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4796" w14:textId="77777777" w:rsidR="00BE3181" w:rsidRDefault="00BE3181" w:rsidP="00B77C73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0B66" w14:textId="77777777" w:rsidR="00BE3181" w:rsidRDefault="00BE3181" w:rsidP="00B77C73">
            <w:r>
              <w:rPr>
                <w:rFonts w:hint="eastAsia"/>
              </w:rPr>
              <w:t>需求描述</w:t>
            </w:r>
          </w:p>
        </w:tc>
      </w:tr>
      <w:tr w:rsidR="00BE3181" w14:paraId="2F504DF1" w14:textId="77777777" w:rsidTr="00B77C73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E0B3" w14:textId="77777777" w:rsidR="00BE3181" w:rsidRDefault="00BE3181" w:rsidP="00B77C73">
            <w:r>
              <w:t>StockAnalysis.</w:t>
            </w:r>
            <w:r w:rsidR="00FC7EA3">
              <w:t>OrganizationAnalysis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EA54" w14:textId="77777777" w:rsidR="00BE3181" w:rsidRDefault="00BE3181" w:rsidP="00B77C73">
            <w:r>
              <w:rPr>
                <w:rFonts w:hint="eastAsia"/>
              </w:rPr>
              <w:t>系统应该显示</w:t>
            </w:r>
            <w:r w:rsidR="00FC7EA3">
              <w:rPr>
                <w:rFonts w:hint="eastAsia"/>
              </w:rPr>
              <w:t>该</w:t>
            </w:r>
            <w:r w:rsidR="00FC7EA3">
              <w:t>股票的机构分析</w:t>
            </w:r>
          </w:p>
        </w:tc>
      </w:tr>
      <w:tr w:rsidR="00BE3181" w14:paraId="5E374CD5" w14:textId="77777777" w:rsidTr="00B77C73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DD95" w14:textId="77777777" w:rsidR="00BE3181" w:rsidRDefault="00FC7EA3" w:rsidP="00B77C73">
            <w:r>
              <w:t>StockAnalysis</w:t>
            </w:r>
            <w:r w:rsidR="00BE3181">
              <w:rPr>
                <w:rFonts w:hint="eastAsia"/>
              </w:rPr>
              <w:t>.</w:t>
            </w:r>
            <w:r>
              <w:rPr>
                <w:rFonts w:hint="eastAsia"/>
              </w:rPr>
              <w:t>ability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7E77" w14:textId="77777777" w:rsidR="00BE3181" w:rsidRDefault="00BE3181" w:rsidP="00B77C73">
            <w:r>
              <w:rPr>
                <w:rFonts w:hint="eastAsia"/>
              </w:rPr>
              <w:t>系统应该能显示</w:t>
            </w:r>
            <w:r w:rsidR="00FC7EA3">
              <w:rPr>
                <w:rFonts w:hint="eastAsia"/>
              </w:rPr>
              <w:t>该</w:t>
            </w:r>
            <w:r w:rsidR="00FC7EA3">
              <w:t>股票的</w:t>
            </w:r>
            <w:r w:rsidR="00FC7EA3">
              <w:rPr>
                <w:rFonts w:hint="eastAsia"/>
              </w:rPr>
              <w:t>综合</w:t>
            </w:r>
            <w:r w:rsidR="00FC7EA3">
              <w:t>能力分析</w:t>
            </w:r>
          </w:p>
        </w:tc>
      </w:tr>
      <w:tr w:rsidR="00BE3181" w14:paraId="6B7A5810" w14:textId="77777777" w:rsidTr="00B77C73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6AAA" w14:textId="77777777" w:rsidR="00BE3181" w:rsidRDefault="00FC7EA3" w:rsidP="00B77C73">
            <w:r>
              <w:t>StockAnalysis</w:t>
            </w:r>
            <w:r>
              <w:rPr>
                <w:rFonts w:hint="eastAsia"/>
              </w:rPr>
              <w:t>.Report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A2B9" w14:textId="77777777" w:rsidR="00BE3181" w:rsidRDefault="00FC7EA3" w:rsidP="00B77C73">
            <w:r>
              <w:rPr>
                <w:rFonts w:hint="eastAsia"/>
              </w:rPr>
              <w:t>系统应该能</w:t>
            </w:r>
            <w:r>
              <w:t>显示该股票的文字研究报告（联网实现）</w:t>
            </w:r>
          </w:p>
        </w:tc>
      </w:tr>
    </w:tbl>
    <w:p w14:paraId="4F915B3E" w14:textId="77777777" w:rsidR="00BE3181" w:rsidRDefault="00BE3181" w:rsidP="00BE3181"/>
    <w:p w14:paraId="16663610" w14:textId="77777777" w:rsidR="00BE3181" w:rsidRDefault="00BE3181" w:rsidP="00C20763"/>
    <w:p w14:paraId="6A34C3CD" w14:textId="77777777" w:rsidR="00C20763" w:rsidRDefault="00C20763" w:rsidP="00C20763"/>
    <w:p w14:paraId="05486DF6" w14:textId="77777777" w:rsidR="004C7311" w:rsidRDefault="005A126E"/>
    <w:sectPr w:rsidR="004C7311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63"/>
    <w:rsid w:val="003351AD"/>
    <w:rsid w:val="003E291D"/>
    <w:rsid w:val="005A126E"/>
    <w:rsid w:val="005C3A8D"/>
    <w:rsid w:val="00BE3181"/>
    <w:rsid w:val="00C20763"/>
    <w:rsid w:val="00E20ADA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6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763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20763"/>
    <w:rPr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C20763"/>
    <w:rPr>
      <w:rFonts w:ascii="Times New Roman" w:eastAsia="微软雅黑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3.X.1.1特性描述</vt:lpstr>
      <vt:lpstr>    个股机构分析包含，股票EPS预测、上涨概率预测、卖出价预测、最优仓位预测、预测价与实际价对比、风险走势与股票价格对比、提供对此股票的评级：</vt:lpstr>
      <vt:lpstr>    3.X.1.2刺激/响应序列</vt:lpstr>
      <vt:lpstr>    3.X.1.3相关功能需求</vt:lpstr>
    </vt:vector>
  </TitlesOfParts>
  <Company>UQi.me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wangwenzao163@163.com</dc:creator>
  <cp:keywords/>
  <dc:description/>
  <cp:lastModifiedBy>Microsoft 帐户</cp:lastModifiedBy>
  <cp:revision>3</cp:revision>
  <dcterms:created xsi:type="dcterms:W3CDTF">2016-04-25T10:32:00Z</dcterms:created>
  <dcterms:modified xsi:type="dcterms:W3CDTF">2016-05-30T14:23:00Z</dcterms:modified>
</cp:coreProperties>
</file>