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4A0" w:firstRow="1" w:lastRow="0" w:firstColumn="1" w:lastColumn="0" w:noHBand="0" w:noVBand="1"/>
      </w:tblPr>
      <w:tblGrid>
        <w:gridCol w:w="2060"/>
        <w:gridCol w:w="2066"/>
        <w:gridCol w:w="2060"/>
        <w:gridCol w:w="2060"/>
      </w:tblGrid>
      <w:tr w:rsidR="00131E11" w:rsidTr="00131E11">
        <w:tc>
          <w:tcPr>
            <w:tcW w:w="2060" w:type="dxa"/>
            <w:tcBorders>
              <w:top w:val="single" w:sz="24" w:space="0" w:color="A5A5A5"/>
              <w:left w:val="single" w:sz="24" w:space="0" w:color="A5A5A5"/>
              <w:bottom w:val="single" w:sz="18" w:space="0" w:color="FFFFFF"/>
              <w:right w:val="single" w:sz="4" w:space="0" w:color="FFFFFF"/>
            </w:tcBorders>
            <w:shd w:val="clear" w:color="auto" w:fill="A5A5A5"/>
            <w:hideMark/>
          </w:tcPr>
          <w:p w:rsidR="00131E11" w:rsidRDefault="00131E11">
            <w:pPr>
              <w:rPr>
                <w:b/>
                <w:bCs/>
                <w:color w:val="FFFFFF"/>
                <w:sz w:val="32"/>
                <w:szCs w:val="32"/>
              </w:rPr>
            </w:pPr>
            <w:bookmarkStart w:id="0" w:name="_GoBack"/>
            <w:r>
              <w:rPr>
                <w:b/>
                <w:bCs/>
                <w:color w:val="FFFFFF"/>
                <w:sz w:val="32"/>
                <w:szCs w:val="32"/>
              </w:rPr>
              <w:softHyphen/>
            </w: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内容</w:t>
            </w:r>
          </w:p>
        </w:tc>
        <w:tc>
          <w:tcPr>
            <w:tcW w:w="6186" w:type="dxa"/>
            <w:gridSpan w:val="3"/>
            <w:tcBorders>
              <w:top w:val="single" w:sz="24" w:space="0" w:color="A5A5A5"/>
              <w:left w:val="single" w:sz="4" w:space="0" w:color="FFFFFF"/>
              <w:bottom w:val="single" w:sz="18" w:space="0" w:color="FFFFFF"/>
              <w:right w:val="single" w:sz="24" w:space="0" w:color="A5A5A5"/>
            </w:tcBorders>
            <w:shd w:val="clear" w:color="auto" w:fill="A5A5A5"/>
            <w:hideMark/>
          </w:tcPr>
          <w:p w:rsidR="00131E11" w:rsidRDefault="00131E11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需求文档</w:t>
            </w:r>
            <w:r>
              <w:rPr>
                <w:b/>
                <w:bCs/>
                <w:color w:val="FFFFFF"/>
                <w:sz w:val="32"/>
                <w:szCs w:val="32"/>
              </w:rPr>
              <w:t>-</w:t>
            </w:r>
            <w:r w:rsidR="00AB3ED6">
              <w:rPr>
                <w:rFonts w:hint="eastAsia"/>
                <w:b/>
                <w:bCs/>
                <w:color w:val="FFFFFF"/>
                <w:sz w:val="32"/>
                <w:szCs w:val="32"/>
              </w:rPr>
              <w:t>股票分析</w:t>
            </w: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模块</w:t>
            </w:r>
          </w:p>
        </w:tc>
      </w:tr>
      <w:tr w:rsidR="00131E11" w:rsidTr="00131E11">
        <w:tc>
          <w:tcPr>
            <w:tcW w:w="2060" w:type="dxa"/>
            <w:tcBorders>
              <w:top w:val="single" w:sz="4" w:space="0" w:color="FFFFFF"/>
              <w:left w:val="single" w:sz="24" w:space="0" w:color="A5A5A5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131E11" w:rsidRDefault="00131E11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修改时间</w:t>
            </w:r>
          </w:p>
        </w:tc>
        <w:tc>
          <w:tcPr>
            <w:tcW w:w="20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修改人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创建时间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A5A5A5"/>
            </w:tcBorders>
            <w:shd w:val="clear" w:color="auto" w:fill="A5A5A5"/>
            <w:hideMark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创建人</w:t>
            </w:r>
          </w:p>
        </w:tc>
      </w:tr>
      <w:tr w:rsidR="00131E11" w:rsidTr="00131E11">
        <w:tc>
          <w:tcPr>
            <w:tcW w:w="2060" w:type="dxa"/>
            <w:tcBorders>
              <w:top w:val="nil"/>
              <w:left w:val="single" w:sz="24" w:space="0" w:color="A5A5A5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:rsidR="00131E11" w:rsidRDefault="00AB3ED6">
            <w:pPr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32"/>
              </w:rPr>
              <w:t>2016.5.30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24" w:space="0" w:color="A5A5A5"/>
              <w:right w:val="single" w:sz="4" w:space="0" w:color="FFFFFF"/>
            </w:tcBorders>
            <w:shd w:val="clear" w:color="auto" w:fill="A5A5A5"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4" w:space="0" w:color="FFFFFF"/>
            </w:tcBorders>
            <w:shd w:val="clear" w:color="auto" w:fill="A5A5A5"/>
            <w:hideMark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2016.4.24</w:t>
            </w: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24" w:space="0" w:color="A5A5A5"/>
              <w:right w:val="single" w:sz="24" w:space="0" w:color="A5A5A5"/>
            </w:tcBorders>
            <w:shd w:val="clear" w:color="auto" w:fill="A5A5A5"/>
            <w:hideMark/>
          </w:tcPr>
          <w:p w:rsidR="00131E11" w:rsidRDefault="00131E11">
            <w:pPr>
              <w:rPr>
                <w:color w:val="FFFFFF"/>
                <w:sz w:val="32"/>
                <w:szCs w:val="32"/>
              </w:rPr>
            </w:pPr>
            <w:r>
              <w:rPr>
                <w:rFonts w:hint="eastAsia"/>
                <w:color w:val="FFFFFF"/>
                <w:sz w:val="32"/>
                <w:szCs w:val="32"/>
              </w:rPr>
              <w:t>徐亚帆</w:t>
            </w:r>
          </w:p>
        </w:tc>
      </w:tr>
    </w:tbl>
    <w:p w:rsidR="00755EFE" w:rsidRDefault="00131E11" w:rsidP="00131E11">
      <w:pPr>
        <w:rPr>
          <w:rFonts w:ascii="微软雅黑" w:hAnsi="微软雅黑" w:cs="微软雅黑" w:hint="eastAsia"/>
          <w:sz w:val="32"/>
          <w:szCs w:val="32"/>
        </w:rPr>
      </w:pPr>
      <w:r>
        <w:rPr>
          <w:sz w:val="32"/>
          <w:szCs w:val="32"/>
        </w:rPr>
        <w:t>3.X.1</w:t>
      </w:r>
      <w:r w:rsidR="00755EFE">
        <w:rPr>
          <w:rFonts w:ascii="微软雅黑" w:hAnsi="微软雅黑" w:cs="微软雅黑" w:hint="eastAsia"/>
          <w:sz w:val="32"/>
          <w:szCs w:val="32"/>
        </w:rPr>
        <w:t>股票分析</w:t>
      </w:r>
    </w:p>
    <w:p w:rsidR="00131E11" w:rsidRDefault="00131E11" w:rsidP="00116734">
      <w:pPr>
        <w:pStyle w:val="2"/>
        <w:rPr>
          <w:rFonts w:ascii="微软雅黑" w:hAnsi="微软雅黑" w:cs="微软雅黑"/>
          <w:sz w:val="28"/>
          <w:szCs w:val="28"/>
        </w:rPr>
      </w:pPr>
      <w:r>
        <w:t xml:space="preserve">      3.X.1.1</w:t>
      </w:r>
      <w:r>
        <w:rPr>
          <w:rFonts w:ascii="微软雅黑" w:hAnsi="微软雅黑" w:cs="微软雅黑" w:hint="eastAsia"/>
        </w:rPr>
        <w:t>特性描述</w:t>
      </w:r>
    </w:p>
    <w:p w:rsidR="00AB3ED6" w:rsidRPr="00131E11" w:rsidRDefault="00131E11" w:rsidP="00CC3D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</w:t>
      </w:r>
      <w:r>
        <w:t>为用户提供</w:t>
      </w:r>
      <w:r w:rsidR="00AB3ED6">
        <w:rPr>
          <w:rFonts w:hint="eastAsia"/>
        </w:rPr>
        <w:t>各种数据</w:t>
      </w:r>
      <w:r w:rsidR="00AB3ED6">
        <w:t>的</w:t>
      </w:r>
      <w:r w:rsidR="00AB3ED6">
        <w:rPr>
          <w:rFonts w:hint="eastAsia"/>
        </w:rPr>
        <w:t>排名，包括如下</w:t>
      </w:r>
      <w:r w:rsidR="00AB3ED6">
        <w:t>内容：</w:t>
      </w:r>
    </w:p>
    <w:p w:rsidR="00131E11" w:rsidRDefault="00131E11" w:rsidP="00131E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="00AB3ED6">
        <w:rPr>
          <w:rFonts w:hint="eastAsia"/>
        </w:rPr>
        <w:t>阶段最高最低排名</w:t>
      </w:r>
    </w:p>
    <w:p w:rsidR="00131E11" w:rsidRPr="00AB3ED6" w:rsidRDefault="00AB3ED6" w:rsidP="00AB3ED6">
      <w:pPr>
        <w:ind w:left="780"/>
        <w:rPr>
          <w:rStyle w:val="a4"/>
        </w:rPr>
      </w:pPr>
      <w:r w:rsidRPr="00AB3ED6"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20</w:t>
      </w:r>
      <w:r>
        <w:rPr>
          <w:rStyle w:val="a4"/>
          <w:rFonts w:hint="eastAsia"/>
        </w:rPr>
        <w:t>日</w:t>
      </w:r>
      <w:r>
        <w:rPr>
          <w:rStyle w:val="a4"/>
        </w:rPr>
        <w:t>阶段内的最高价、最低价以及涨跌幅。</w:t>
      </w:r>
    </w:p>
    <w:p w:rsidR="00131E11" w:rsidRDefault="00131E11" w:rsidP="00131E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="00AB3ED6">
        <w:rPr>
          <w:rFonts w:hint="eastAsia"/>
        </w:rPr>
        <w:t>短期涨跌统计</w:t>
      </w:r>
      <w:r w:rsidR="00AB3ED6">
        <w:t>和长期涨跌统计</w:t>
      </w:r>
    </w:p>
    <w:p w:rsidR="00131E11" w:rsidRPr="00AB3ED6" w:rsidRDefault="00AB3ED6" w:rsidP="00131E11">
      <w:pPr>
        <w:ind w:left="780"/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日（短期</w:t>
      </w:r>
      <w:r>
        <w:rPr>
          <w:rStyle w:val="a4"/>
        </w:rPr>
        <w:t>）</w:t>
      </w:r>
      <w:r>
        <w:rPr>
          <w:rStyle w:val="a4"/>
          <w:rFonts w:hint="eastAsia"/>
        </w:rPr>
        <w:t>/ 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60</w:t>
      </w:r>
      <w:r>
        <w:rPr>
          <w:rStyle w:val="a4"/>
          <w:rFonts w:hint="eastAsia"/>
        </w:rPr>
        <w:t>（长期</w:t>
      </w:r>
      <w:r>
        <w:rPr>
          <w:rStyle w:val="a4"/>
        </w:rPr>
        <w:t>）阶段内</w:t>
      </w:r>
      <w:r>
        <w:rPr>
          <w:rStyle w:val="a4"/>
          <w:rFonts w:hint="eastAsia"/>
        </w:rPr>
        <w:t>涨跌幅</w:t>
      </w:r>
      <w:r>
        <w:rPr>
          <w:rStyle w:val="a4"/>
        </w:rPr>
        <w:t>、换手率、振幅排名，其中涨跌幅以复权价进行计算。</w:t>
      </w:r>
    </w:p>
    <w:p w:rsidR="00131E11" w:rsidRDefault="00131E11" w:rsidP="00131E11">
      <w:pPr>
        <w:pStyle w:val="a3"/>
        <w:numPr>
          <w:ilvl w:val="0"/>
          <w:numId w:val="2"/>
        </w:numPr>
        <w:ind w:firstLineChars="0"/>
      </w:pPr>
      <w:r w:rsidRPr="00131E11">
        <w:rPr>
          <w:rFonts w:hint="eastAsia"/>
        </w:rPr>
        <w:t>提供</w:t>
      </w:r>
      <w:r w:rsidR="00CC3DD9">
        <w:rPr>
          <w:rFonts w:hint="eastAsia"/>
        </w:rPr>
        <w:t>一周强势股和</w:t>
      </w:r>
      <w:r w:rsidR="00CC3DD9">
        <w:t>一月强势股</w:t>
      </w:r>
    </w:p>
    <w:p w:rsidR="00131E11" w:rsidRPr="00CC3DD9" w:rsidRDefault="00CC3DD9" w:rsidP="00131E11">
      <w:pPr>
        <w:ind w:left="780"/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本周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本月</w:t>
      </w:r>
      <w:r>
        <w:rPr>
          <w:rStyle w:val="a4"/>
        </w:rPr>
        <w:t>涨跌幅大于沪深</w:t>
      </w:r>
      <w:r>
        <w:rPr>
          <w:rStyle w:val="a4"/>
          <w:rFonts w:hint="eastAsia"/>
        </w:rPr>
        <w:t>300</w:t>
      </w:r>
      <w:r>
        <w:rPr>
          <w:rStyle w:val="a4"/>
          <w:rFonts w:hint="eastAsia"/>
        </w:rPr>
        <w:t>指数</w:t>
      </w:r>
      <w:r>
        <w:rPr>
          <w:rStyle w:val="a4"/>
        </w:rPr>
        <w:t>的股票，涨跌幅以复权价进行计算。</w:t>
      </w:r>
    </w:p>
    <w:p w:rsidR="00131E11" w:rsidRDefault="00CC3DD9" w:rsidP="00131E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提供流通市值</w:t>
      </w:r>
      <w:r>
        <w:t>排行</w:t>
      </w:r>
      <w:r w:rsidR="00131E11">
        <w:t>：</w:t>
      </w:r>
    </w:p>
    <w:p w:rsidR="00CC3DD9" w:rsidRDefault="00CC3DD9" w:rsidP="00CC3DD9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流通市值</w:t>
      </w:r>
      <w:r>
        <w:rPr>
          <w:rStyle w:val="a4"/>
        </w:rPr>
        <w:t>排行</w:t>
      </w:r>
    </w:p>
    <w:p w:rsidR="00CC3DD9" w:rsidRDefault="00CC3DD9" w:rsidP="00CC3D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提供连续上涨个股</w:t>
      </w:r>
      <w:r>
        <w:t>和连续下跌个股：</w:t>
      </w:r>
    </w:p>
    <w:p w:rsidR="00CC3DD9" w:rsidRDefault="00CC3DD9" w:rsidP="00CC3DD9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连续</w:t>
      </w:r>
      <w:r>
        <w:rPr>
          <w:rStyle w:val="a4"/>
        </w:rPr>
        <w:t>上涨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下跌</w:t>
      </w:r>
      <w:r>
        <w:rPr>
          <w:rStyle w:val="a4"/>
        </w:rPr>
        <w:t>的股票</w:t>
      </w:r>
      <w:r>
        <w:rPr>
          <w:rStyle w:val="a4"/>
          <w:rFonts w:hint="eastAsia"/>
        </w:rPr>
        <w:t>。</w:t>
      </w:r>
    </w:p>
    <w:p w:rsidR="00CC3DD9" w:rsidRPr="00CC3DD9" w:rsidRDefault="00CC3DD9" w:rsidP="00CC3DD9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相关的研报</w:t>
      </w:r>
    </w:p>
    <w:p w:rsidR="00131E11" w:rsidRDefault="00CC3DD9" w:rsidP="00CC3DD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noProof/>
        </w:rPr>
        <w:t>每股</w:t>
      </w:r>
      <w:r>
        <w:rPr>
          <w:noProof/>
        </w:rPr>
        <w:t>收益预测包括</w:t>
      </w:r>
      <w:r>
        <w:rPr>
          <w:rFonts w:hint="eastAsia"/>
          <w:noProof/>
        </w:rPr>
        <w:t>15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16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17</w:t>
      </w:r>
      <w:r>
        <w:rPr>
          <w:noProof/>
        </w:rPr>
        <w:t>EPS</w:t>
      </w:r>
      <w:r>
        <w:rPr>
          <w:noProof/>
        </w:rPr>
        <w:t>和</w:t>
      </w:r>
      <w:r>
        <w:rPr>
          <w:rFonts w:hint="eastAsia"/>
          <w:noProof/>
        </w:rPr>
        <w:t>18</w:t>
      </w:r>
      <w:r>
        <w:rPr>
          <w:noProof/>
        </w:rPr>
        <w:t>EPS</w:t>
      </w:r>
    </w:p>
    <w:p w:rsidR="00CC3DD9" w:rsidRPr="00CC3DD9" w:rsidRDefault="00CC3DD9" w:rsidP="00CC3D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报告</w:t>
      </w:r>
      <w:r>
        <w:t>包括报告时间、研究机构和</w:t>
      </w:r>
      <w:r>
        <w:rPr>
          <w:rFonts w:hint="eastAsia"/>
        </w:rPr>
        <w:t>明细</w:t>
      </w:r>
    </w:p>
    <w:p w:rsidR="00116734" w:rsidRDefault="00116734" w:rsidP="00131E11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116734" w:rsidRDefault="00116734" w:rsidP="00131E11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116734" w:rsidRDefault="00116734" w:rsidP="00131E11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131E11" w:rsidRDefault="00131E11" w:rsidP="00116734">
      <w:pPr>
        <w:pStyle w:val="2"/>
        <w:rPr>
          <w:rFonts w:ascii="Times New Roman" w:eastAsia="微软雅黑" w:hAnsi="Times New Roman" w:cs="Times New Roman"/>
          <w:sz w:val="24"/>
          <w:szCs w:val="20"/>
        </w:rPr>
      </w:pPr>
      <w:r>
        <w:t>3.X.1.2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:rsidR="00131E11" w:rsidRDefault="00131E11" w:rsidP="00131E11">
      <w:r>
        <w:t xml:space="preserve">   </w:t>
      </w:r>
      <w:r>
        <w:tab/>
      </w:r>
      <w:r w:rsidR="00CC3DD9">
        <w:rPr>
          <w:rFonts w:hint="eastAsia"/>
        </w:rPr>
        <w:t>刺激：用户请求查看排行</w:t>
      </w:r>
    </w:p>
    <w:p w:rsidR="00131E11" w:rsidRDefault="00131E11" w:rsidP="00116734">
      <w:r>
        <w:t xml:space="preserve">  </w:t>
      </w:r>
      <w:r>
        <w:tab/>
      </w:r>
      <w:r>
        <w:rPr>
          <w:rFonts w:hint="eastAsia"/>
        </w:rPr>
        <w:t>响应：系统</w:t>
      </w:r>
      <w:r w:rsidR="00CC3DD9">
        <w:rPr>
          <w:rFonts w:hint="eastAsia"/>
        </w:rPr>
        <w:t>跳转到</w:t>
      </w:r>
      <w:r w:rsidR="00CC3DD9">
        <w:t>排行界面，</w:t>
      </w:r>
      <w:r w:rsidR="00116734">
        <w:rPr>
          <w:rFonts w:hint="eastAsia"/>
        </w:rPr>
        <w:t>显示</w:t>
      </w:r>
      <w:r w:rsidR="00CC3DD9">
        <w:rPr>
          <w:rFonts w:hint="eastAsia"/>
        </w:rPr>
        <w:t>各种</w:t>
      </w:r>
      <w:r w:rsidR="00CC3DD9">
        <w:t>排行</w:t>
      </w:r>
      <w:r w:rsidR="00CC3DD9">
        <w:rPr>
          <w:rFonts w:hint="eastAsia"/>
        </w:rPr>
        <w:t>。</w:t>
      </w:r>
    </w:p>
    <w:p w:rsidR="00116734" w:rsidRDefault="00116734" w:rsidP="00116734"/>
    <w:p w:rsidR="00116734" w:rsidRDefault="00116734" w:rsidP="00116734">
      <w:r>
        <w:tab/>
      </w:r>
      <w:r>
        <w:rPr>
          <w:rFonts w:hint="eastAsia"/>
        </w:rPr>
        <w:t>刺激：用户点击</w:t>
      </w:r>
      <w:r w:rsidR="00CC3DD9">
        <w:rPr>
          <w:rFonts w:hint="eastAsia"/>
        </w:rPr>
        <w:t>某一列</w:t>
      </w:r>
    </w:p>
    <w:p w:rsidR="00116734" w:rsidRDefault="00116734" w:rsidP="00116734">
      <w:r>
        <w:t xml:space="preserve">  </w:t>
      </w:r>
      <w:r>
        <w:tab/>
      </w:r>
      <w:r>
        <w:rPr>
          <w:rFonts w:hint="eastAsia"/>
        </w:rPr>
        <w:t>响应：系统</w:t>
      </w:r>
      <w:r w:rsidR="00CC3DD9">
        <w:rPr>
          <w:rFonts w:hint="eastAsia"/>
        </w:rPr>
        <w:t>根据该</w:t>
      </w:r>
      <w:r w:rsidR="00CC3DD9">
        <w:t>列进行排序</w:t>
      </w:r>
    </w:p>
    <w:p w:rsidR="00116734" w:rsidRDefault="00116734" w:rsidP="00116734"/>
    <w:p w:rsidR="00CC3DD9" w:rsidRDefault="00116734" w:rsidP="00CC3DD9">
      <w:r>
        <w:tab/>
      </w:r>
      <w:r w:rsidR="00CC3DD9">
        <w:rPr>
          <w:rFonts w:hint="eastAsia"/>
        </w:rPr>
        <w:t>刺激：用户点击明细</w:t>
      </w:r>
    </w:p>
    <w:p w:rsidR="00116734" w:rsidRDefault="00CC3DD9" w:rsidP="00CC3DD9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股票明细界面，显示报告明细。</w:t>
      </w:r>
    </w:p>
    <w:p w:rsidR="00116734" w:rsidRPr="00116734" w:rsidRDefault="00116734" w:rsidP="00116734"/>
    <w:p w:rsidR="00131E11" w:rsidRDefault="00131E11" w:rsidP="00116734">
      <w:pPr>
        <w:pStyle w:val="2"/>
        <w:rPr>
          <w:rFonts w:ascii="微软雅黑" w:hAnsi="微软雅黑" w:cs="微软雅黑"/>
          <w:sz w:val="28"/>
          <w:szCs w:val="28"/>
        </w:rPr>
      </w:pPr>
      <w:r>
        <w:t>3.X.1.3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131E11" w:rsidTr="0010388F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31E11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31E11">
            <w:r>
              <w:rPr>
                <w:rFonts w:hint="eastAsia"/>
              </w:rPr>
              <w:t>需求描述</w:t>
            </w:r>
          </w:p>
        </w:tc>
      </w:tr>
      <w:tr w:rsidR="00131E11" w:rsidTr="0010388F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16734">
            <w:r w:rsidRPr="00116734">
              <w:t>PerformancePrediction</w:t>
            </w:r>
            <w:r>
              <w:rPr>
                <w:rFonts w:hint="eastAsia"/>
              </w:rPr>
              <w:t>.Show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31E11" w:rsidP="0010388F">
            <w:r>
              <w:rPr>
                <w:rFonts w:hint="eastAsia"/>
              </w:rPr>
              <w:t>系统应该</w:t>
            </w:r>
            <w:r w:rsidR="0010388F">
              <w:rPr>
                <w:rFonts w:hint="eastAsia"/>
              </w:rPr>
              <w:t>显示</w:t>
            </w:r>
            <w:r w:rsidR="00CC3DD9">
              <w:rPr>
                <w:rFonts w:hint="eastAsia"/>
              </w:rPr>
              <w:t>股票分析</w:t>
            </w:r>
            <w:r w:rsidR="0010388F">
              <w:t>的内容</w:t>
            </w:r>
          </w:p>
        </w:tc>
      </w:tr>
      <w:tr w:rsidR="00131E11" w:rsidTr="0010388F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0388F">
            <w:r w:rsidRPr="00116734">
              <w:t>PerformancePrediction</w:t>
            </w:r>
            <w:r>
              <w:rPr>
                <w:rFonts w:hint="eastAsia"/>
              </w:rPr>
              <w:t>.</w:t>
            </w:r>
            <w:r>
              <w:t>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31E11" w:rsidP="0010388F">
            <w:r>
              <w:rPr>
                <w:rFonts w:hint="eastAsia"/>
              </w:rPr>
              <w:t>系统应该能</w:t>
            </w:r>
            <w:r w:rsidR="0010388F">
              <w:rPr>
                <w:rFonts w:hint="eastAsia"/>
              </w:rPr>
              <w:t>显示</w:t>
            </w:r>
            <w:r w:rsidR="0010388F">
              <w:t>某股票的最新研报</w:t>
            </w:r>
          </w:p>
        </w:tc>
      </w:tr>
      <w:tr w:rsidR="00131E11" w:rsidTr="0010388F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0388F">
            <w:r w:rsidRPr="00116734">
              <w:t>PerformancePrediction</w:t>
            </w:r>
            <w:r>
              <w:rPr>
                <w:rFonts w:hint="eastAsia"/>
              </w:rPr>
              <w:t>.Stock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E11" w:rsidRDefault="00131E11" w:rsidP="0010388F">
            <w:r>
              <w:rPr>
                <w:rFonts w:hint="eastAsia"/>
              </w:rPr>
              <w:t>系统应该允许用户</w:t>
            </w:r>
            <w:r w:rsidR="0010388F">
              <w:rPr>
                <w:rFonts w:hint="eastAsia"/>
              </w:rPr>
              <w:t>跳转到</w:t>
            </w:r>
            <w:r w:rsidR="0010388F">
              <w:t>具体股票界面</w:t>
            </w:r>
          </w:p>
        </w:tc>
      </w:tr>
    </w:tbl>
    <w:p w:rsidR="00131E11" w:rsidRDefault="00131E11" w:rsidP="00131E11"/>
    <w:bookmarkEnd w:id="0"/>
    <w:p w:rsidR="00630175" w:rsidRDefault="00630175"/>
    <w:sectPr w:rsidR="0063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CD" w:rsidRDefault="006830CD" w:rsidP="00755EFE">
      <w:r>
        <w:separator/>
      </w:r>
    </w:p>
  </w:endnote>
  <w:endnote w:type="continuationSeparator" w:id="0">
    <w:p w:rsidR="006830CD" w:rsidRDefault="006830CD" w:rsidP="0075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CD" w:rsidRDefault="006830CD" w:rsidP="00755EFE">
      <w:r>
        <w:separator/>
      </w:r>
    </w:p>
  </w:footnote>
  <w:footnote w:type="continuationSeparator" w:id="0">
    <w:p w:rsidR="006830CD" w:rsidRDefault="006830CD" w:rsidP="00755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004"/>
    <w:multiLevelType w:val="hybridMultilevel"/>
    <w:tmpl w:val="E29C21A6"/>
    <w:lvl w:ilvl="0" w:tplc="93CC90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92293C"/>
    <w:multiLevelType w:val="hybridMultilevel"/>
    <w:tmpl w:val="4DDECBE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684566D1"/>
    <w:multiLevelType w:val="hybridMultilevel"/>
    <w:tmpl w:val="58FE8DEA"/>
    <w:lvl w:ilvl="0" w:tplc="8DD0FC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2D774DD"/>
    <w:multiLevelType w:val="hybridMultilevel"/>
    <w:tmpl w:val="FDD6C66A"/>
    <w:lvl w:ilvl="0" w:tplc="92AC5A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ED"/>
    <w:rsid w:val="0010388F"/>
    <w:rsid w:val="00116734"/>
    <w:rsid w:val="00131E11"/>
    <w:rsid w:val="00630175"/>
    <w:rsid w:val="006830CD"/>
    <w:rsid w:val="00755EFE"/>
    <w:rsid w:val="00AB3ED6"/>
    <w:rsid w:val="00CC3DD9"/>
    <w:rsid w:val="00DB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71E15-30FA-48D2-843F-F7EB2C72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11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Reference"/>
    <w:basedOn w:val="a0"/>
    <w:uiPriority w:val="31"/>
    <w:qFormat/>
    <w:rsid w:val="00AB3ED6"/>
    <w:rPr>
      <w:smallCaps/>
      <w:color w:val="5A5A5A" w:themeColor="text1" w:themeTint="A5"/>
    </w:rPr>
  </w:style>
  <w:style w:type="paragraph" w:styleId="a5">
    <w:name w:val="header"/>
    <w:basedOn w:val="a"/>
    <w:link w:val="Char"/>
    <w:uiPriority w:val="99"/>
    <w:unhideWhenUsed/>
    <w:rsid w:val="0075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5EFE"/>
    <w:rPr>
      <w:rFonts w:ascii="Times New Roman" w:eastAsia="微软雅黑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5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5EFE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803E-0C1B-4877-9FB9-CBF1303F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106</Words>
  <Characters>606</Characters>
  <Application>Microsoft Office Word</Application>
  <DocSecurity>0</DocSecurity>
  <Lines>5</Lines>
  <Paragraphs>1</Paragraphs>
  <ScaleCrop>false</ScaleCrop>
  <Company>UQi.me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2016-04-24T12:38:00Z</dcterms:created>
  <dcterms:modified xsi:type="dcterms:W3CDTF">2016-05-30T14:27:00Z</dcterms:modified>
</cp:coreProperties>
</file>