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Глава 2. Патентный поиск и анализ патентной активности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Предмет поиска: беспроводной обмен данными и информационное обеспечение управления одиночным роботом и группой (роем) мобильных роботов в мехатронных системах.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Глава выделена из раздела актуальности: патентный массив рассматривается не как иллюстрация «рынка», а как самостоятельный источник сведений о технических решениях, трендах и белых пятнах. Полная матрица документов приведена в приложении (patents/patents_matrix.md); поисковые предписания — в patents/search_queries.md.</w:t>
      </w:r>
    </w:p>
    <w:p>
      <w:pPr>
        <w:spacing w:line="36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2.1. Цель и регламент исследований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Патентные исследования выполнены в аналитических целях диссертационной работы и ориентированы на ГОСТ Р 15.011 (патентные исследования). Они не заменяют заключение патентного поверенного и анализ свободы действий (freedom-to-operate) при коммерческом использовании.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Цель главы: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выявить охраняемые технические решения в области беспроводной связи и информационного обмена для роботов и групп роботов, определить географию и динамику патентования, кластеризовать решения и сформулировать пробелы, на которые опирается тема информационного устройства группы при ограничениях канала.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Задачи: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 Зафиксировать предмет, страны, ретроспективу и классификационные рубрики поиска.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 Сформировать поисковые предписания на английском и китайском языках.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3. Отобрать релевантный массив (целевой объём 30–50 охранных документов).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4. Проанализировать географию, динамику, патентообладателей и технологические кластеры.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5. Сопоставить кластеры с постановкой многоагентного информационного устройства (ИУ) группы мобильных роботов.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Предмет поиска: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способы и устройства беспроводной передачи команд, состояний и сенсорных данных для программного управления манипуляторами, мобильными роботами, AGV, БПЛА и коллективами роботов, включая обеспечение качества обслуживания канала, маршрутизацию, mesh-сети и учёт задержки связи.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Страны и ведомства: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США (USPTO), Китай (CNIPA), международные заявки PCT (WIPO). Европейские решения учитывались через патентообладателей (ABB, Siemens, KUKA, Ericsson, Fanuc), публикующих семейства в US/WO.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Ретроспектива: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основной период 2015–2025 гг.; более ранний приоритет привлекался, если задавал базовую схему (рой Georgia Tech, приоритет 2014).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Дата среза: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первичная выборка 12 сентября 2025 г.; номер, заявитель и предмет сверены 5 октября 2026 г.</w:t>
      </w:r>
    </w:p>
    <w:p>
      <w:pPr>
        <w:spacing w:line="36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2.2. Источники и классификация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Поиск проводился в общедоступных базах (табл. 2.1).</w:t>
      </w:r>
    </w:p>
    <w:p>
      <w:pPr>
        <w:spacing w:line="360" w:lineRule="auto" w:after="80" w:before="1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Таблица 2.1. Базы патентного поиска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База</w:t>
            </w:r>
          </w:p>
        </w:tc>
        <w:tc>
          <w:tcPr>
            <w:tcW w:type="dxa" w:w="481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Google Patents</w:t>
            </w:r>
          </w:p>
        </w:tc>
        <w:tc>
          <w:tcPr>
            <w:tcW w:type="dxa" w:w="481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Семантический и номерной поиск, семейства документов</w:t>
            </w:r>
          </w:p>
        </w:tc>
      </w:tr>
      <w:tr>
        <w:tc>
          <w:tcPr>
            <w:tcW w:type="dxa" w:w="481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USPTO PatFT / AppFT</w:t>
            </w:r>
          </w:p>
        </w:tc>
        <w:tc>
          <w:tcPr>
            <w:tcW w:type="dxa" w:w="481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Официальные публикации США</w:t>
            </w:r>
          </w:p>
        </w:tc>
      </w:tr>
      <w:tr>
        <w:tc>
          <w:tcPr>
            <w:tcW w:type="dxa" w:w="481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Espacenet (EPO)</w:t>
            </w:r>
          </w:p>
        </w:tc>
        <w:tc>
          <w:tcPr>
            <w:tcW w:type="dxa" w:w="481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Международный поиск, сверка CPC</w:t>
            </w:r>
          </w:p>
        </w:tc>
      </w:tr>
      <w:tr>
        <w:tc>
          <w:tcPr>
            <w:tcW w:type="dxa" w:w="481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WIPO Patentscope</w:t>
            </w:r>
          </w:p>
        </w:tc>
        <w:tc>
          <w:tcPr>
            <w:tcW w:type="dxa" w:w="481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Заявки PCT</w:t>
            </w:r>
          </w:p>
        </w:tc>
      </w:tr>
      <w:tr>
        <w:tc>
          <w:tcPr>
            <w:tcW w:type="dxa" w:w="481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SooPat / CNIPA</w:t>
            </w:r>
          </w:p>
        </w:tc>
        <w:tc>
          <w:tcPr>
            <w:tcW w:type="dxa" w:w="481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Китайские изобретения и полезные модели</w:t>
            </w:r>
          </w:p>
        </w:tc>
      </w:tr>
    </w:tbl>
    <w:p>
      <w:pPr>
        <w:spacing w:line="360" w:lineRule="auto" w:after="120" w:before="0"/>
        <w:ind w:firstLine="0"/>
        <w:jc w:val="both"/>
      </w:pP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Классификационные рубрики CPC, использованные как фильтр и как проверка релевантности, приведены в табл. 2.2.</w:t>
      </w:r>
    </w:p>
    <w:p>
      <w:pPr>
        <w:spacing w:line="360" w:lineRule="auto" w:after="80" w:before="1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Таблица 2.2. Рубрики CPC, связанные с предметом поиска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Код CPC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Содержание рубрики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Роль в поиске</w:t>
            </w:r>
          </w:p>
        </w:tc>
      </w:tr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B25J 9/16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Программно-управляемые манипуляторы, в т. ч. связь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Ядро: робот + управление</w:t>
            </w:r>
          </w:p>
        </w:tc>
      </w:tr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B25J 9/00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Программно-управляемые манипуляторы (общее)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Расширение по конструкции</w:t>
            </w:r>
          </w:p>
        </w:tc>
      </w:tr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G05B 19/042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Промышленное управление, сети контроллеров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Цех, PLC, шины</w:t>
            </w:r>
          </w:p>
        </w:tc>
      </w:tr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G05D 1/00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Управление положением и траекторией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Мобильные роботы, AGV</w:t>
            </w:r>
          </w:p>
        </w:tc>
      </w:tr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H04W 84/18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Сети IoT / M2M самоорганизующегося типа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Mesh, межмашинный обмен</w:t>
            </w:r>
          </w:p>
        </w:tc>
      </w:tr>
    </w:tbl>
    <w:p>
      <w:pPr>
        <w:spacing w:line="360" w:lineRule="auto" w:after="120" w:before="0"/>
        <w:ind w:firstLine="0"/>
        <w:jc w:val="both"/>
      </w:pP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Комбинация B25J/G05D с H04W позволяет отсечь «чистую» радиотехнику без робототехнического объекта и «чистую» кинематику без канала обмена.</w:t>
      </w:r>
    </w:p>
    <w:p>
      <w:pPr>
        <w:spacing w:line="36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2.3. Поисковые предписания и критерии отбора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Поисковые формулы составлялись на двух языках, чтобы не смещать выборку в сторону только USPTO.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Английский язык:</w:t>
      </w:r>
    </w:p>
    <w:p>
      <w:pPr>
        <w:spacing w:line="360" w:lineRule="auto" w:after="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Times New Roman" w:cs="Courier New"/>
          <w:b w:val="0"/>
          <w:i w:val="0"/>
          <w:sz w:val="24"/>
        </w:rPr>
        <w:t>("wireless communication" OR "wireless interface") AND (robot OR "swarm robot" OR mechatronic) AND control</w:t>
      </w:r>
    </w:p>
    <w:p>
      <w:pPr>
        <w:spacing w:line="360" w:lineRule="auto" w:after="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Times New Roman" w:cs="Courier New"/>
          <w:b w:val="0"/>
          <w:i w:val="0"/>
          <w:sz w:val="24"/>
        </w:rPr>
        <w:t>("Bluetooth" OR "Wi-Fi" OR "ZigBee" OR "LoRa" OR "5G") AND "robot control"</w:t>
      </w:r>
    </w:p>
    <w:p>
      <w:pPr>
        <w:spacing w:line="360" w:lineRule="auto" w:after="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Times New Roman" w:cs="Courier New"/>
          <w:b w:val="0"/>
          <w:i w:val="0"/>
          <w:sz w:val="24"/>
        </w:rPr>
        <w:t>wireless mesh network swarm robot</w:t>
      </w:r>
    </w:p>
    <w:p>
      <w:pPr>
        <w:spacing w:line="360" w:lineRule="auto" w:after="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Times New Roman" w:cs="Courier New"/>
          <w:b w:val="0"/>
          <w:i w:val="0"/>
          <w:sz w:val="24"/>
        </w:rPr>
        <w:t>industrial robot wireless communication latency</w:t>
      </w:r>
    </w:p>
    <w:p>
      <w:pPr>
        <w:spacing w:line="360" w:lineRule="auto" w:after="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5. </w:t>
      </w:r>
      <w:r>
        <w:rPr>
          <w:rFonts w:ascii="Courier New" w:hAnsi="Courier New" w:eastAsia="Times New Roman" w:cs="Courier New"/>
          <w:b w:val="0"/>
          <w:i w:val="0"/>
          <w:sz w:val="24"/>
        </w:rPr>
        <w:t>CPC/B25J9/16 wireless</w:t>
      </w:r>
    </w:p>
    <w:p>
      <w:pPr>
        <w:spacing w:line="360" w:lineRule="auto" w:after="0" w:before="120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Китайский язык:</w:t>
      </w:r>
    </w:p>
    <w:p>
      <w:pPr>
        <w:spacing w:line="360" w:lineRule="auto" w:after="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Times New Roman" w:cs="Courier New"/>
          <w:b w:val="0"/>
          <w:i w:val="0"/>
          <w:sz w:val="24"/>
        </w:rPr>
        <w:t>无线通信 AND 机器人 AND 控制</w:t>
      </w:r>
    </w:p>
    <w:p>
      <w:pPr>
        <w:spacing w:line="360" w:lineRule="auto" w:after="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Times New Roman" w:cs="Courier New"/>
          <w:b w:val="0"/>
          <w:i w:val="0"/>
          <w:sz w:val="24"/>
        </w:rPr>
        <w:t>群体机器人 AND 通信</w:t>
      </w:r>
    </w:p>
    <w:p>
      <w:pPr>
        <w:spacing w:line="360" w:lineRule="auto" w:after="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Times New Roman" w:cs="Courier New"/>
          <w:b w:val="0"/>
          <w:i w:val="0"/>
          <w:sz w:val="24"/>
        </w:rPr>
        <w:t>物联网 AND 机器人控制</w:t>
      </w:r>
    </w:p>
    <w:p>
      <w:pPr>
        <w:spacing w:line="360" w:lineRule="auto" w:after="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Times New Roman" w:cs="Courier New"/>
          <w:b w:val="0"/>
          <w:i w:val="0"/>
          <w:sz w:val="24"/>
        </w:rPr>
        <w:t>蓝牙 AND 机器人 AND 控制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Критерии включения в массив: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прямое отношение к беспроводному управлению роботом, группой или информационному обмену в мехатронной системе; период 2015–2025; наличие идентифицируемого номера публикации. </w:t>
      </w: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Критерии исключения: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бытовая связь без контура управления; радиомодули общего назначения без робототехнического объекта; маркетинговые описания без формулы изобретения.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Целевой баланс географии: не менее 15 документов США и не менее 15 документов Китая. После сверки массив меньше цели: 25 документов (16 US, 9 CN). Три публикации PCT повторяют уже учтённые семейства и вторым изобретением не считаются. Недостающие китайские позиции прежней выборки исключены, потому что номер не совпал с заявленным предметом.</w:t>
      </w:r>
    </w:p>
    <w:p>
      <w:pPr>
        <w:spacing w:line="36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2.4. Характеристика отобранного массива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Отобранные документы сведены в матрицу: номер, заявитель, год, технология, сущность, связь с темой. Ниже — представительные позиции по каждому региону; полная таблица в тексте главы не дублируется.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США / Европа (через US-семейства).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Промышленные автоматизаторы и академический рой: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ABB: координация ресурсов, где роботы на радиосети — зависимые пункты формулы (US10853084B2); сеть управления мобильными роботами с прогнозом QoS (US12457179B2); параллельная передача критических пакетов по непересекающимся беспроводным путям между терминалом и узлом системы управления (US12218824B2).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Siemens: радиосистема промышленной автоматизации — базовая станция на транспортном средстве и абонентские станции (US11265798B2). Формула не про AGV и не про роботов.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Georgia Tech: управление роем по плотностной функции (US10537996B2). Заявка US20170072565A1 — то же семейство.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Fanuc: порог качества связи пульта от расстояния (US9902060B2), интервал периодической передачи (US10031513B2), приём через ретранслятор (US10491290B2). KUKA: ручной орган, провод или радио (US9981378B2). Патент Universal Robots на модуль связи сверка не подтвердила.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Прочие: mesh промышленных роботов (US12053873B2, Flexxbotics); сеть ячеек и облако по сетевой шине (US11383390B2, Rios); классы QoS команд робота (US12436527B2, Ericsson); 5G/TSN, робот как сценарий (US12464041B2); склад Amazon (US10528061B2, US10735991B1, US12456798B1).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Китай.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Производители БПЛА, бытовой и промышленной робототехники, IoT-платформы: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DJI: сменные модули пульта — Wi-Fi, Bluetooth, ZigBee и сотовая связь (CN110799919A); контур одного БПЛА по ADS-B (CN108475068A, то же семейство — WO2019033256A1).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LoRa и облако: промышленный робот через шлюз LoRa (CN109048922A). Шинный Wi-Fi промышленного робота (CN112015120B) к LoRa и сменным модулям не относится.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Сотовая связь и удалённый контур: несколько БПЛА через 4G/5G (CN110636102B); удалённое управление с учётом задержки (CN112771476A, Midea).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Группа и UWB: совместная локализация (CN112833876B); морской и воздушный кластер (CN114967730A); распределённый строй с обменом дальностями (CN115825862A).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PCT.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Международные публикации — члены уже учтённых семейств: рой Georgia Tech (WO2015171593A1), БПЛА DJI (WO2019033256A1), 5G/TSN Ericsson (WO2020167222A2).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Распределение массива по семействам технологий — в табл. 2.3. Один документ может относиться к нескольким строкам, если формула охватывает несколько сред передачи.</w:t>
      </w:r>
    </w:p>
    <w:p>
      <w:pPr>
        <w:spacing w:line="360" w:lineRule="auto" w:after="80" w:before="1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Таблица 2.3. Распределение отобранных документов по технологиям канала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Технология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US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CN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Всего</w:t>
            </w:r>
          </w:p>
        </w:tc>
      </w:tr>
      <w:tr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Wi-Fi / WLAN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</w:tr>
      <w:tr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5G / сотовая связь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</w:tr>
      <w:tr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Несколько протоколов в одной формуле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</w:tr>
      <w:tr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Рой или группа роботов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</w:tr>
      <w:tr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Bluetooth / BLE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</w:tr>
      <w:tr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Mesh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</w:tr>
      <w:tr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LoRa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</w:tr>
      <w:tr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UWB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</w:tr>
      <w:tr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Беспроводной пульт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</w:tr>
    </w:tbl>
    <w:p>
      <w:pPr>
        <w:spacing w:line="360" w:lineRule="auto" w:after="120" w:before="0"/>
        <w:ind w:firstLine="0"/>
        <w:jc w:val="both"/>
      </w:pP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Wi-Fi, сотовая связь и пульт — самые частые строки американской части. LoRa в проверенном массиве — один китайский документ (CN109048922A). UWB встречается в китайских формулах групповой локализации и строя. Решения «несколько протоколов» фиксируют наличие нескольких профилей канала и не задают политику классов сенсорного трафика.</w:t>
      </w:r>
    </w:p>
    <w:p>
      <w:pPr>
        <w:spacing w:line="36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2.5. География и патентообладатели</w:t>
      </w:r>
    </w:p>
    <w:p>
      <w:pPr>
        <w:spacing w:line="360" w:lineRule="auto" w:after="80" w:before="1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Таблица 2.4. География массива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Регион публикации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Число документов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Доля</w:t>
            </w:r>
          </w:p>
        </w:tc>
      </w:tr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США (US)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64 %</w:t>
            </w:r>
          </w:p>
        </w:tc>
      </w:tr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Китай (CN)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36 %</w:t>
            </w:r>
          </w:p>
        </w:tc>
      </w:tr>
    </w:tbl>
    <w:p>
      <w:pPr>
        <w:spacing w:line="360" w:lineRule="auto" w:after="120" w:before="0"/>
        <w:ind w:firstLine="0"/>
        <w:jc w:val="both"/>
      </w:pP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Две школы патентования различаются не только ведомством, но и объектом охраны.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США / Европа: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QoS мобильных роботов, mesh критических пакетов, 5G/TSN, беспроводной пульт, складская радиосеть, рой. Типичный патентообладатель — интегратор автоматизации (ABB, Siemens, Fanuc, KUKA, Ericsson) или оператор склада (Amazon).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Китай: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сменный модуль пульта, один контур LoRa и облака, сотовая связь БПЛА, UWB групповой локализации и строя (DJI, Midea, вузы и отраслевые заявители). Заявители Huawei, HIT, Siasun и Estun прежней таблицы номерами не подтверждены.</w:t>
      </w:r>
    </w:p>
    <w:p>
      <w:pPr>
        <w:spacing w:line="360" w:lineRule="auto" w:after="80" w:before="1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Таблица 2.5. Наиболее представленные патентообладатели в массиве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Заявитель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Число документов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Регион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Фокус формулы</w:t>
            </w:r>
          </w:p>
        </w:tc>
      </w:tr>
      <w:tr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ABB Schweiz AG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US / EU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Ресурсы и RF, QoS мобильных роботов, mesh</w:t>
            </w:r>
          </w:p>
        </w:tc>
      </w:tr>
      <w:tr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Amazon Technologies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US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Складские мобильные роботы</w:t>
            </w:r>
          </w:p>
        </w:tc>
      </w:tr>
      <w:tr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Fanuc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US / JP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Беспроводной пульт</w:t>
            </w:r>
          </w:p>
        </w:tc>
      </w:tr>
      <w:tr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Ericsson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US / EU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5G/TSN; классы QoS команд робота</w:t>
            </w:r>
          </w:p>
        </w:tc>
      </w:tr>
      <w:tr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DJI Technology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CN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Сменный модуль пульта; ADS-B БПЛА</w:t>
            </w:r>
          </w:p>
        </w:tc>
      </w:tr>
      <w:tr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Siemens AG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US / EU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Базовая станция промышленной радиосети</w:t>
            </w:r>
          </w:p>
        </w:tc>
      </w:tr>
      <w:tr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KUKA, Georgia Tech, Rios, Flexxbotics, Midea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по 1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US / EU / CN</w:t>
            </w:r>
          </w:p>
        </w:tc>
        <w:tc>
          <w:tcPr>
            <w:tcW w:type="dxa" w:w="2409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Пульт, рой, облако ячейки, mesh</w:t>
            </w:r>
          </w:p>
        </w:tc>
      </w:tr>
    </w:tbl>
    <w:p>
      <w:pPr>
        <w:spacing w:line="360" w:lineRule="auto" w:after="120" w:before="0"/>
        <w:ind w:firstLine="0"/>
        <w:jc w:val="both"/>
      </w:pP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Повторяющиеся заявители — ABB, Amazon и Fanuc. «Канал для робота» уже охраняется разными формулами: прогноз QoS, пульт, антенна склада, сменный модуль. Повторять формулу «ещё один радиомодуль для манипулятора» бессмысленно. Новизна смещается к информационному устройству — какие данные, с каким приоритетом и при каком профиле канала остаются в контуре группы.</w:t>
      </w:r>
    </w:p>
    <w:p>
      <w:pPr>
        <w:spacing w:line="36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2.6. Динамика патентования (2015–2025)</w:t>
      </w:r>
    </w:p>
    <w:p>
      <w:pPr>
        <w:spacing w:line="360" w:lineRule="auto" w:after="80" w:before="1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Таблица 2.6. Этапы патентной активности по отобранному массиву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Характер публикаций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Типовые события в массиве</w:t>
            </w:r>
          </w:p>
        </w:tc>
      </w:tr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2014–2017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Базовая схема роя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Приоритет и заявка Georgia Tech (выдача US10537996B2 — 2020)</w:t>
            </w:r>
          </w:p>
        </w:tc>
      </w:tr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2018–2020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Пульт, склад, IoT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Пульты Fanuc и KUKA, склад Amazon, LoRa CN109048922A, модуль DJI, координация ресурсов ABB</w:t>
            </w:r>
          </w:p>
        </w:tc>
      </w:tr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2021–2023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Радиосеть цеха и UWB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Siemens, ячейка Rios, 4G/5G БПЛА, шинный Wi-Fi, UWB группы</w:t>
            </w:r>
          </w:p>
        </w:tc>
      </w:tr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2024–2025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QoS и mesh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Прогноз QoS ABB, mesh Flexxbotics, классы QoS Ericsson, 5G/TSN</w:t>
            </w:r>
          </w:p>
        </w:tc>
      </w:tr>
    </w:tbl>
    <w:p>
      <w:pPr>
        <w:spacing w:line="360" w:lineRule="auto" w:after="120" w:before="0"/>
        <w:ind w:firstLine="0"/>
        <w:jc w:val="both"/>
      </w:pP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проверенном массиве публикации учащаются после 2018 г. Выдача 2024–2025 гг. не уступает середине периода: в формулах чаще качество обслуживания, устойчивость пути и реконфигурация сети. Это ближе к ограничениям канала, которые в теме ИУ задаются профилем Q = (B, τ, p, Nmax). Прежний тезис о единственном пике 2020–2023 гг. на сверенных номерах не держится.</w:t>
      </w:r>
    </w:p>
    <w:p>
      <w:pPr>
        <w:spacing w:line="36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2.7. Технологические кластеры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совокупности формул выделены четыре кластера. Границы нежёсткие: одно семейство может входить в два кластера.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Кластер A. Промышленный контур (US/EU).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Патентообладатели: ABB, Siemens, Fanuc, KUKA, Ericsson. Технологии: прогноз QoS, mesh критических пакетов, 5G/TSN, порог качества связи пульта. Представители: US12457179B2, US12218824B2, US11265798B2, US12464041B2, US9902060B2. Связь с темой: одиночный робот и цеховая группа в контуре с допуском по задержке и надёжности. У Siemens это абоненты радиосети.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Кластер B. Рой и групповое движение (US/CN).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Патентообладатели: Georgia Tech, Flexxbotics, Amazon; вузы и заявители UWB-формул. Технологии: плотностная функция, mesh промышленных роботов, обмен дальностями UWB. Представители: US10537996B2, US12053873B2, CN115825862A, CN112833876B. Связь с темой: канал входит в групповое поведение. Обмен в этих формулах — команды, состояния или дальности, а не информационное устройство с классами сенсорного трафика.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Кластер C. Смена среды передачи (преимущественно CN).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Три разные формулы. LoRa и облако — CN109048922A. Сменные модули Wi-Fi, Bluetooth, ZigBee и сотовой связи — CN110799919A. Шинный Wi-Fi промышленного робота — CN112015120B. Связь с темой: профиль канала может смениться без смены механики. Ни один из трёх документов не охраняет сразу все три приёма.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Кластер D. Классы обслуживания команд.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Патентообладатели: Ericsson, Rios. Представители: US12436527B2 (команды контроллера роботу отображаются на классы QoS по допуску Quality of Control), US11383390B2 (облако ячеек рассылает обновления моделей по сетевой шине). Связь с темой: критичность уже есть у команд управления. У сенсорных классов safety / pose / map / telemetry её в проверенных формулах нет. Патенты NVIDIA и Huawei этого кластера сверка не подтвердила.</w:t>
      </w:r>
    </w:p>
    <w:p>
      <w:pPr>
        <w:spacing w:line="36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2.8. Сопоставление с задачей информационного устройства группы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темы «метод построения многоагентного ИУ группы мобильных роботов при ограничениях беспроводного канала» патентный массив даёт три подтверждения и один пробел.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1. Канал уже признан частью робототехнической системы.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Формулы ABB, Fanuc, KUKA и Ericsson охраняют связь робота с контроллером, пультом или сетью управления. У Siemens объект — абоненты промышленной радиосети.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2. Группа — самостоятельный предмет охраны.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Georgia Tech, Flexxbotics и китайские формулы UWB фиксируют обмен между агентами: состояния соседа, программу задачи или дальность.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3. Несколько сред передачи в одной системе допустимы и патентуются.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Сменный модуль DJI и mesh Flexxbotics показывают, что профиль канала может переключаться.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4. Пробел сужен, но не закрыт. 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Команды управления уже отображаются на классы QoS (US12436527B2). В отобранных формулах нет слоя, который классифицирует сенсорные данные по критичности (safety / pose / map / telemetry), сжимает карту до дельт, сливает чужие данные по свежести и деградирует функции группы при сжатии B и росте p.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Тем самым патентный поиск обосновывает не «ещё одно сравнение BLE и LoRa», а постановку ИУ: протоколы задают профили ограничений, а научный результат — метод построения устройства, которое под эти профили подстраивает обмен.</w:t>
      </w:r>
    </w:p>
    <w:p>
      <w:pPr>
        <w:spacing w:line="36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2.9. Белые пятна</w:t>
      </w:r>
    </w:p>
    <w:p>
      <w:pPr>
        <w:spacing w:line="360" w:lineRule="auto" w:after="80" w:before="1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Таблица 2.7. Области слабого патентного покрытия относительно темы работы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Область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Покрытие в массиве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Следствие для диссертации</w:t>
            </w:r>
          </w:p>
        </w:tc>
      </w:tr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Политика обмена сенсорными классами при ограниченном QoS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 выявлено как самостоятельная формула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Ядро новизны ИУ</w:t>
            </w:r>
          </w:p>
        </w:tc>
      </w:tr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Сравнительный benchmark протоколов как метод выбора профиля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Слабое: патентуется конкретная среда, не матрица профилей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Глава сравнения технологий — вспомогательная</w:t>
            </w:r>
          </w:p>
        </w:tc>
      </w:tr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Классы QoS команд управления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Закрыто US12436527B2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Приоритет команд — известный уровень техники</w:t>
            </w:r>
          </w:p>
        </w:tc>
      </w:tr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Mixed-criticality сенсорных классов safety/pose/map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В проверенной выборке не найдено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Прямое продолжение шагов метода ИУ</w:t>
            </w:r>
          </w:p>
        </w:tc>
      </w:tr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Energy–delay как критерий выбора обмена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Фрагментарно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Можно включить в развитие критерия работоспособности группы</w:t>
            </w:r>
          </w:p>
        </w:tc>
      </w:tr>
      <w:tr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Соответствие IEC 62443 беспроводного робота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В формулах массива не найдено</w:t>
            </w:r>
          </w:p>
        </w:tc>
        <w:tc>
          <w:tcPr>
            <w:tcW w:type="dxa" w:w="3213"/>
          </w:tcPr>
          <w:p>
            <w:pPr>
              <w:spacing w:line="360" w:lineRule="auto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Вне рамок первой постановки; оговорка ограничений</w:t>
            </w:r>
          </w:p>
        </w:tc>
      </w:tr>
    </w:tbl>
    <w:p>
      <w:pPr>
        <w:spacing w:line="360" w:lineRule="auto" w:after="120" w:before="0"/>
        <w:ind w:firstLine="0"/>
        <w:jc w:val="both"/>
      </w:pP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Номера, не совпавшие с заявленным предметом, перечислены в матрице и в главу не входят. Выводы опираются только на документы таблицы матрицы.</w:t>
      </w:r>
    </w:p>
    <w:p>
      <w:pPr>
        <w:spacing w:line="36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2.10. Выводы по главе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 После сверки номера, заявителя и предмета остаётся 25 документов (16 US, 9 CN) за 2015–2025 гг. Прежний объём в 40 документов держался на номерах с чужим предметом.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 Публикации учащаются после 2018 г. В 2024–2025 гг. в формулах усиливаются QoS, mesh и 5G/TSN.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3. Школа US/EU охраняет QoS, mesh критического контура, пульт и 5G/TSN. Школа CN в проверенной выборке — сменный модуль, LoRa, сотовую связь БПЛА и UWB группы.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4. Кластеры A–D подтверждают актуальность беспроводного обмена. Класс QoS для команд управления уже охраняется. Не закрыта задача информационного устройства с классами сенсорного трафика.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5. Белое пятно — отсутствие охраняемого метода, который ставит в соответствие профилю канала политику обмена сенсорными данными. Это обосновывает выделение патентного поиска в отдельную главу и переход к методу ИУ в последующих главах.</w:t>
      </w:r>
    </w:p>
    <w:p>
      <w:pPr>
        <w:spacing w:line="36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2.11. Правовая оговорка</w:t>
      </w:r>
    </w:p>
    <w:p>
      <w:pPr>
        <w:spacing w:line="360" w:lineRule="auto" w:after="0" w:before="0"/>
        <w:ind w:firstLine="56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Приведённый анализ носит научно-аналитический характер. Он не является отчётом о патентной чистоте, не оценивает объём independently claims и не даёт разрешения на использование технических решений. При опытно-конструкторской или коммерческой реализации необходима работа патентного поверенного.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Глава подготовлена по выборке 12.09.2025 и сверке номеров 05.10.2026. Обновлять матрицу при смене ретроспективы или предмета (например, при сужении на «информационное устройство» как термин формулы).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