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0284C7"/>
          <w:sz w:val="44"/>
          <w:szCs w:val="44"/>
        </w:rPr>
        <w:t xml:space="preserve">ORTHOSMILE-MEDIC</w:t>
      </w:r>
    </w:p>
    <w:p>
      <w:pPr>
        <w:spacing w:after="240"/>
        <w:jc w:val="center"/>
      </w:pPr>
      <w:r>
        <w:rPr>
          <w:i/>
          <w:iCs/>
          <w:color w:val="64748B"/>
          <w:sz w:val="24"/>
          <w:szCs w:val="24"/>
        </w:rPr>
        <w:t xml:space="preserve">Sistema Integral de Gestión Clínica Odontológica y Ortodoncia</w:t>
      </w:r>
    </w:p>
    <w:p>
      <w:pPr>
        <w:spacing w:after="480"/>
        <w:jc w:val="center"/>
      </w:pPr>
      <w:r>
        <w:rPr>
          <w:b/>
          <w:bCs/>
          <w:color w:val="0F172A"/>
          <w:sz w:val="28"/>
          <w:szCs w:val="28"/>
        </w:rPr>
        <w:t xml:space="preserve">INFORME TÉCNICO DE ARQUITECTURA, TECNOLOGÍAS Y TÉCNICAS DE SOFTWARE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F1F5F9" w:val="clear"/>
          </w:tcPr>
          <w:p>
            <w:r>
              <w:rPr>
                <w:b/>
                <w:bCs/>
              </w:rPr>
              <w:t xml:space="preserve">Proyecto:</w:t>
            </w:r>
          </w:p>
        </w:tc>
        <w:tc>
          <w:tcPr>
            <w:tcW w:type="pct" w:w="3500"/>
          </w:tcPr>
          <w:p>
            <w:r>
              <w:t xml:space="preserve">OrthoSmile-Medic</w:t>
            </w:r>
          </w:p>
        </w:tc>
      </w:tr>
      <w:tr>
        <w:tc>
          <w:tcPr>
            <w:shd w:fill="F1F5F9" w:val="clear"/>
          </w:tcPr>
          <w:p>
            <w:r>
              <w:rPr>
                <w:b/>
                <w:bCs/>
              </w:rPr>
              <w:t xml:space="preserve">Tipo de Aplicación:</w:t>
            </w:r>
          </w:p>
        </w:tc>
        <w:tc>
          <w:p>
            <w:r>
              <w:t xml:space="preserve">Full-Stack Progressive Web Application (PWA / SPA) con enfoque Mobile-First</w:t>
            </w:r>
          </w:p>
        </w:tc>
      </w:tr>
      <w:tr>
        <w:tc>
          <w:tcPr>
            <w:shd w:fill="F1F5F9" w:val="clear"/>
          </w:tcPr>
          <w:p>
            <w:r>
              <w:rPr>
                <w:b/>
                <w:bCs/>
              </w:rPr>
              <w:t xml:space="preserve">Base de Datos:</w:t>
            </w:r>
          </w:p>
        </w:tc>
        <w:tc>
          <w:p>
            <w:r>
              <w:t xml:space="preserve">Google Cloud Firebase Firestore (NoSQL Document Store en la Nube)</w:t>
            </w:r>
          </w:p>
        </w:tc>
      </w:tr>
      <w:tr>
        <w:tc>
          <w:tcPr>
            <w:shd w:fill="F1F5F9" w:val="clear"/>
          </w:tcPr>
          <w:p>
            <w:r>
              <w:rPr>
                <w:b/>
                <w:bCs/>
              </w:rPr>
              <w:t xml:space="preserve">Fecha de Emisión:</w:t>
            </w:r>
          </w:p>
        </w:tc>
        <w:tc>
          <w:p>
            <w:r>
              <w:t xml:space="preserve">21 de octubre de 2026</w:t>
            </w:r>
          </w:p>
        </w:tc>
      </w:tr>
      <w:tr>
        <w:tc>
          <w:tcPr>
            <w:shd w:fill="F1F5F9" w:val="clear"/>
          </w:tcPr>
          <w:p>
            <w:r>
              <w:rPr>
                <w:b/>
                <w:bCs/>
              </w:rPr>
              <w:t xml:space="preserve">Auditoría / QA-QX:</w:t>
            </w:r>
          </w:p>
        </w:tc>
        <w:tc>
          <w:p>
            <w:r>
              <w:t xml:space="preserve">Aprobado para estándares ergonómicos médicos táctiles y WCAG AA</w:t>
            </w:r>
          </w:p>
        </w:tc>
      </w:tr>
    </w:tbl>
    <w:p>
      <w:pPr>
        <w:spacing w:after="120" w:before="360"/>
      </w:pPr>
    </w:p>
    <w:p>
      <w:pPr>
        <w:pStyle w:val="Heading1"/>
      </w:pPr>
      <w:r>
        <w:rPr>
          <w:b/>
          <w:bCs/>
          <w:color w:val="0284C7"/>
          <w:sz w:val="32"/>
          <w:szCs w:val="32"/>
        </w:rPr>
        <w:t xml:space="preserve">1. Resumen Ejecutivo</w:t>
      </w:r>
    </w:p>
    <w:p>
      <w:r>
        <w:t xml:space="preserve">OrthoSmile-Medic es una plataforma integral de gestión clínica diseñada específicamente para consultorios y centros odontológicos especializados en ortodoncia, rehabilitación oral y odontología general. Su propósito es centralizar la gestión de pacientes, la programación de citas clínicas, la elaboración de historias clínicas con evolución de tratamiento, el odontograma digital interactivo con nomenclatura internacional FDI y el control financiero de caja y pagos en tiempo real.</w:t>
      </w:r>
    </w:p>
    <w:p>
      <w:r>
        <w:t xml:space="preserve">El sistema ha sido concebido bajo una arquitectura Mobile-First táctil, permitiendo a los profesionales de la salud interactuar de forma ágil desde tablets en el sillón dental o teléfonos móviles durante el triaje, sin perder la robustez necesaria para estaciones de recepción o administración en escritorio.</w:t>
      </w:r>
    </w:p>
    <w:p>
      <w:pPr>
        <w:pStyle w:val="Heading1"/>
        <w:spacing w:after="120" w:before="360"/>
      </w:pPr>
      <w:r>
        <w:rPr>
          <w:b/>
          <w:bCs/>
          <w:color w:val="0284C7"/>
          <w:sz w:val="32"/>
          <w:szCs w:val="32"/>
        </w:rPr>
        <w:t xml:space="preserve">2. Stack Tecnológico y Herramientas</w:t>
      </w:r>
    </w:p>
    <w:p>
      <w:r>
        <w:rPr>
          <w:b/>
          <w:bCs/>
          <w:color w:val="0F172A"/>
        </w:rPr>
        <w:t xml:space="preserve">A. Frontend (Capa de Presentación e Interacción):</w:t>
      </w:r>
    </w:p>
    <w:p>
      <w:pPr>
        <w:pStyle w:val="ListParagraph"/>
        <w:numPr>
          <w:ilvl w:val="0"/>
          <w:numId w:val="1"/>
        </w:numPr>
      </w:pPr>
      <w:r>
        <w:rPr>
          <w:b/>
          <w:bCs/>
        </w:rPr>
        <w:t xml:space="preserve">React 19: </w:t>
      </w:r>
      <w:r>
        <w:t xml:space="preserve">Biblioteca principal de componentes declarativos, aprovechando las últimas mejoras en concurrencia y renderizado eficiente.</w:t>
      </w:r>
    </w:p>
    <w:p>
      <w:pPr>
        <w:pStyle w:val="ListParagraph"/>
        <w:numPr>
          <w:ilvl w:val="0"/>
          <w:numId w:val="1"/>
        </w:numPr>
      </w:pPr>
      <w:r>
        <w:rPr>
          <w:b/>
          <w:bCs/>
        </w:rPr>
        <w:t xml:space="preserve">TypeScript 5.7+: </w:t>
      </w:r>
      <w:r>
        <w:t xml:space="preserve">Tipado estático riguroso que garantiza interfaces de datos seguras para pacientes, citas, piezas dentales, diagnósticos y cobros.</w:t>
      </w:r>
    </w:p>
    <w:p>
      <w:pPr>
        <w:pStyle w:val="ListParagraph"/>
        <w:numPr>
          <w:ilvl w:val="0"/>
          <w:numId w:val="1"/>
        </w:numPr>
      </w:pPr>
      <w:r>
        <w:rPr>
          <w:b/>
          <w:bCs/>
        </w:rPr>
        <w:t xml:space="preserve">Vite 6: </w:t>
      </w:r>
      <w:r>
        <w:t xml:space="preserve">Herramienta de compilación ultrarrápida (HMR y bundler optimizado con Rollup) para desarrollo y producción.</w:t>
      </w:r>
    </w:p>
    <w:p>
      <w:pPr>
        <w:pStyle w:val="ListParagraph"/>
        <w:numPr>
          <w:ilvl w:val="0"/>
          <w:numId w:val="1"/>
        </w:numPr>
      </w:pPr>
      <w:r>
        <w:rPr>
          <w:b/>
          <w:bCs/>
        </w:rPr>
        <w:t xml:space="preserve">Tailwind CSS v4: </w:t>
      </w:r>
      <w:r>
        <w:t xml:space="preserve">Motor de estilos de última generación para un diseño moderno, libre de sobrecargas de Bootstrap, altamente responsivo y adaptable.</w:t>
      </w:r>
    </w:p>
    <w:p>
      <w:pPr>
        <w:pStyle w:val="ListParagraph"/>
        <w:numPr>
          <w:ilvl w:val="0"/>
          <w:numId w:val="1"/>
        </w:numPr>
      </w:pPr>
      <w:r>
        <w:rPr>
          <w:b/>
          <w:bCs/>
        </w:rPr>
        <w:t xml:space="preserve">Lucide React: </w:t>
      </w:r>
      <w:r>
        <w:t xml:space="preserve">Iconografía médica y funcional vectorial con affordances táctiles claras.</w:t>
      </w:r>
    </w:p>
    <w:p>
      <w:pPr>
        <w:pStyle w:val="ListParagraph"/>
        <w:numPr>
          <w:ilvl w:val="0"/>
          <w:numId w:val="1"/>
        </w:numPr>
      </w:pPr>
      <w:r>
        <w:rPr>
          <w:b/>
          <w:bCs/>
        </w:rPr>
        <w:t xml:space="preserve">React Router 7: </w:t>
      </w:r>
      <w:r>
        <w:t xml:space="preserve">Enrutamiento del lado del cliente con soporte para layouts anidados y parámetros de búsqueda en URL.</w:t>
      </w:r>
    </w:p>
    <w:p>
      <w:pPr>
        <w:spacing w:before="180"/>
      </w:pPr>
      <w:r>
        <w:rPr>
          <w:b/>
          <w:bCs/>
          <w:color w:val="0F172A"/>
        </w:rPr>
        <w:t xml:space="preserve">B. Backend y Servidor:</w:t>
      </w:r>
    </w:p>
    <w:p>
      <w:pPr>
        <w:pStyle w:val="ListParagraph"/>
        <w:numPr>
          <w:ilvl w:val="0"/>
          <w:numId w:val="1"/>
        </w:numPr>
      </w:pPr>
      <w:r>
        <w:rPr>
          <w:b/>
          <w:bCs/>
        </w:rPr>
        <w:t xml:space="preserve">Node.js &amp; Express: </w:t>
      </w:r>
      <w:r>
        <w:t xml:space="preserve">Servidor intermedio que orquesta los endpoints RESTful (`/api/v1/*`), proxies de seguridad y despacho de la aplicación en puerto 3000.</w:t>
      </w:r>
    </w:p>
    <w:p>
      <w:pPr>
        <w:pStyle w:val="ListParagraph"/>
        <w:numPr>
          <w:ilvl w:val="0"/>
          <w:numId w:val="1"/>
        </w:numPr>
      </w:pPr>
      <w:r>
        <w:rPr>
          <w:b/>
          <w:bCs/>
        </w:rPr>
        <w:t xml:space="preserve">TSX: </w:t>
      </w:r>
      <w:r>
        <w:t xml:space="preserve">Ejecutor TypeScript nativo para el entorno de desarrollo y servidor unificado.</w:t>
      </w:r>
    </w:p>
    <w:p>
      <w:pPr>
        <w:spacing w:before="180"/>
      </w:pPr>
      <w:r>
        <w:rPr>
          <w:b/>
          <w:bCs/>
          <w:color w:val="0F172A"/>
        </w:rPr>
        <w:t xml:space="preserve">C. Base de Datos y Servicios Cloud:</w:t>
      </w:r>
    </w:p>
    <w:p>
      <w:pPr>
        <w:pStyle w:val="ListParagraph"/>
        <w:numPr>
          <w:ilvl w:val="0"/>
          <w:numId w:val="1"/>
        </w:numPr>
      </w:pPr>
      <w:r>
        <w:rPr>
          <w:b/>
          <w:bCs/>
        </w:rPr>
        <w:t xml:space="preserve">Google Cloud Firebase Firestore: </w:t>
      </w:r>
      <w:r>
        <w:t xml:space="preserve">Base de datos NoSQL documental de baja latencia con sincronización en tiempo real y reglas de seguridad declarativas.</w:t>
      </w:r>
    </w:p>
    <w:p>
      <w:pPr>
        <w:pStyle w:val="ListParagraph"/>
        <w:numPr>
          <w:ilvl w:val="0"/>
          <w:numId w:val="1"/>
        </w:numPr>
      </w:pPr>
      <w:r>
        <w:rPr>
          <w:b/>
          <w:bCs/>
        </w:rPr>
        <w:t xml:space="preserve">Firebase Auth &amp; SDK Oficial: </w:t>
      </w:r>
      <w:r>
        <w:t xml:space="preserve">Integración cliente y servidor con listeners de cambio de estado (`onAuthStateChanged`) y auditoría de accesos.</w:t>
      </w:r>
    </w:p>
    <w:p>
      <w:pPr>
        <w:pStyle w:val="Heading1"/>
        <w:spacing w:after="120" w:before="360"/>
      </w:pPr>
      <w:r>
        <w:rPr>
          <w:b/>
          <w:bCs/>
          <w:color w:val="0284C7"/>
          <w:sz w:val="32"/>
          <w:szCs w:val="32"/>
        </w:rPr>
        <w:t xml:space="preserve">3. Estructura y Organización del Proyecto</w:t>
      </w:r>
    </w:p>
    <w:p>
      <w:r>
        <w:t xml:space="preserve">El proyecto implementa una arquitectura modular guiada por características (Feature-Driven Architecture), separando el dominio médico por áreas funcionales independientes:</w:t>
      </w:r>
    </w:p>
    <w:p>
      <w:r>
        <w:rPr>
          <w:rFonts w:ascii="Courier New" w:cs="Courier New" w:eastAsia="Courier New" w:hAnsi="Courier New"/>
          <w:sz w:val="18"/>
          <w:szCs w:val="18"/>
        </w:rPr>
        <w:t xml:space="preserve">src/
├── app/                  # Proveedores globales de estado y notificaciones (AppProviders)
├── components/
│   └── layout/          # Layout principal (MainLayout), Encabezado (Header),
│                        # Menú lateral (Sidebar) y Barra táctil móvil (MobileBottomNav)
├── context/             # Contexto de autenticación y sesión (AuthContext)
├── features/            # Módulos de negocio clínicos
│   ├── appointments/    # Agenda de citas y cambios de estado
│   ├── auth/            # Pantalla de inicio de sesión con roles clínicos
│   ├── clinical/        # Historias clínicas y Odontograma digital interactivo
│   ├── database/        # Inspector en tiempo real de Firebase Firestore
│   ├── patients/        # Directorio y formulario de registro de pacientes
│   ├── payments/        # Caja, cobros, estados financieros y emisión de recibos
│   └── professionals/   # Directorio de odontólogos y acreditación COP
├── lib/                 # Inicialización de Firebase SDK y clientes de base de datos
├── server/              # Núcleo de Express, endpoints REST y mock data inicial
├── services/            # Capa de abstracción de datos (api.ts) y auditoría
└── types/               # Definición de interfaces TypeScript y tipos de datos</w:t>
      </w:r>
    </w:p>
    <w:p>
      <w:pPr>
        <w:pStyle w:val="Heading1"/>
        <w:spacing w:after="120" w:before="360"/>
      </w:pPr>
      <w:r>
        <w:rPr>
          <w:b/>
          <w:bCs/>
          <w:color w:val="0284C7"/>
          <w:sz w:val="32"/>
          <w:szCs w:val="32"/>
        </w:rPr>
        <w:t xml:space="preserve">4. Técnicas y Patrones de Programación Implementados</w:t>
      </w:r>
    </w:p>
    <w:p>
      <w:r>
        <w:rPr>
          <w:b/>
          <w:bCs/>
        </w:rPr>
        <w:t xml:space="preserve">1. Ergonomía Mobile-First &amp; Thumb-Zone Navigation:</w:t>
      </w:r>
    </w:p>
    <w:p>
      <w:r>
        <w:t xml:space="preserve">Siguiendo las mejores prácticas de experiencia de usuario en salud, los controles principales están concentrados en el 40% inferior de la pantalla (zona natural de alcance del pulgar). Se implementó un Bottom Navigation Bar fijo y un Bottom Sheet con soporte para safe-area-insets en dispositivos móviles, asegurando un tamaño de impacto táctil (hitbox) mínimo de 44x44 píxeles para evitar pulsaciones erróneas en procedimientos clínicos.</w:t>
      </w:r>
    </w:p>
    <w:p>
      <w:r>
        <w:rPr>
          <w:b/>
          <w:bCs/>
        </w:rPr>
        <w:t xml:space="preserve">2. Doble Representación de Datos (Adaptive Dual Views):</w:t>
      </w:r>
    </w:p>
    <w:p>
      <w:r>
        <w:t xml:space="preserve">En lugar de forzar tablas con scroll horizontal en teléfonos, la interfaz detecta la densidad de pantalla y despliega tarjetas táctiles enriquecidas en móviles (con accesos directos para llamada telefónica, WhatsApp, odontograma e historia), mientras que en pantallas medianas o grandes conmuta automáticamente a data grids tabulares de alta densidad con cifras tabulares (tabular-nums).</w:t>
      </w:r>
    </w:p>
    <w:p>
      <w:r>
        <w:rPr>
          <w:b/>
          <w:bCs/>
        </w:rPr>
        <w:t xml:space="preserve">3. Patrón Repositorio y Capa de Abstracción de Datos (Service Repository):</w:t>
      </w:r>
    </w:p>
    <w:p>
      <w:r>
        <w:t xml:space="preserve">Los componentes visuales nunca invocan directamente consultas complejas a la base de datos. Toda la lógica de obtención, transformación, filtrado y registro de auditoría se encapsula en `src/services/api.ts`, desacoplando la UI del motor de persistencia.</w:t>
      </w:r>
    </w:p>
    <w:p>
      <w:r>
        <w:rPr>
          <w:b/>
          <w:bCs/>
        </w:rPr>
        <w:t xml:space="preserve">4. Control de Acceso Basado en Roles (RBAC):</w:t>
      </w:r>
    </w:p>
    <w:p>
      <w:r>
        <w:t xml:space="preserve">El sistema define roles clínicos estrictos: ADMINISTRADOR, ODONTOLOGO y RECEPCIONISTA. El `AuthContext` valida permisos granulares antes de exponer accesos en la barra lateral, en la barra móvil y al ejecutar acciones como modificar odontogramas o acceder al inspector de base de datos.</w:t>
      </w:r>
    </w:p>
    <w:p>
      <w:r>
        <w:rPr>
          <w:b/>
          <w:bCs/>
        </w:rPr>
        <w:t xml:space="preserve">5. Persistencia Resiliente Multi-Capa (In-Memory + Storage Fallback):</w:t>
      </w:r>
    </w:p>
    <w:p>
      <w:r>
        <w:t xml:space="preserve">Para garantizar funcionamiento ininterrumpido en entornos restringidos (como sandboxes, iframes de Google AI Studio o ventanas de navegación privada que bloquean `localStorage`), el sistema implementa una caché en memoria viva como primera capa, respaldada por `sessionStorage` y `localStorage` con captura de excepciones.</w:t>
      </w:r>
    </w:p>
    <w:p>
      <w:r>
        <w:rPr>
          <w:b/>
          <w:bCs/>
        </w:rPr>
        <w:t xml:space="preserve">6. Nomenclatura Dental Internacional FDI (Two-Digit System):</w:t>
      </w:r>
    </w:p>
    <w:p>
      <w:r>
        <w:t xml:space="preserve">El odontograma digital modela de forma precisa los cuatro cuadrantes dentales (Q1: 18-11, Q2: 21-28, Q3: 31-38, Q4: 48-41). Cuenta con segmentación de arcos (Maxilar vs Mandibular) para permitir la selección rápida de piezas en pantallas pequeñas, admitiendo estados clínicos de Caries, Obturado/Resina, Ausente/Extraído, Corona y Endodoncia con resumen diagnóstico en tiempo real.</w:t>
      </w:r>
    </w:p>
    <w:p>
      <w:r>
        <w:rPr>
          <w:b/>
          <w:bCs/>
        </w:rPr>
        <w:t xml:space="preserve">7. Trazabilidad y Registro de Auditoría (Audit Logging):</w:t>
      </w:r>
    </w:p>
    <w:p>
      <w:r>
        <w:t xml:space="preserve">Cada evento sensible (inicios de sesión, creación de pacientes, actualización de atenciones médicas y registro de pagos) genera una entrada inmutable de auditoría con marca temporal, usuario responsable y detalles de la operación en la colección `audit_logs`.</w:t>
      </w:r>
    </w:p>
    <w:p>
      <w:pPr>
        <w:pStyle w:val="Heading1"/>
        <w:spacing w:after="120" w:before="360"/>
      </w:pPr>
      <w:r>
        <w:rPr>
          <w:b/>
          <w:bCs/>
          <w:color w:val="0284C7"/>
          <w:sz w:val="32"/>
          <w:szCs w:val="32"/>
        </w:rPr>
        <w:t xml:space="preserve">5. Módulos y Capacidades del Sistema</w:t>
      </w:r>
    </w:p>
    <w:p>
      <w:pPr>
        <w:pStyle w:val="ListParagraph"/>
        <w:numPr>
          <w:ilvl w:val="0"/>
          <w:numId w:val="1"/>
        </w:numPr>
      </w:pPr>
      <w:r>
        <w:rPr>
          <w:b/>
          <w:bCs/>
        </w:rPr>
        <w:t xml:space="preserve">Módulo de Pacientes: </w:t>
      </w:r>
      <w:r>
        <w:t xml:space="preserve">Padrón con búsqueda en vivo por DNI, nombres, apellidos o teléfono; apertura y edición de expedientes clínicos completos.</w:t>
      </w:r>
    </w:p>
    <w:p>
      <w:pPr>
        <w:pStyle w:val="ListParagraph"/>
        <w:numPr>
          <w:ilvl w:val="0"/>
          <w:numId w:val="1"/>
        </w:numPr>
      </w:pPr>
      <w:r>
        <w:rPr>
          <w:b/>
          <w:bCs/>
        </w:rPr>
        <w:t xml:space="preserve">Módulo de Citas y Turnos: </w:t>
      </w:r>
      <w:r>
        <w:t xml:space="preserve">Agendamiento con selección de profesional, fecha/hora, motivo y filtros segmentados por estado (Programadas, Confirmadas, Atendidas, Canceladas).</w:t>
      </w:r>
    </w:p>
    <w:p>
      <w:pPr>
        <w:pStyle w:val="ListParagraph"/>
        <w:numPr>
          <w:ilvl w:val="0"/>
          <w:numId w:val="1"/>
        </w:numPr>
      </w:pPr>
      <w:r>
        <w:rPr>
          <w:b/>
          <w:bCs/>
        </w:rPr>
        <w:t xml:space="preserve">Odontograma Dental 2D: </w:t>
      </w:r>
      <w:r>
        <w:t xml:space="preserve">Lienzo visual con 32 piezas permanentes, cuadrantes anatómicos, herramientas diagnósticas y persistencia por paciente.</w:t>
      </w:r>
    </w:p>
    <w:p>
      <w:pPr>
        <w:pStyle w:val="ListParagraph"/>
        <w:numPr>
          <w:ilvl w:val="0"/>
          <w:numId w:val="1"/>
        </w:numPr>
      </w:pPr>
      <w:r>
        <w:rPr>
          <w:b/>
          <w:bCs/>
        </w:rPr>
        <w:t xml:space="preserve">Historias Clínicas: </w:t>
      </w:r>
      <w:r>
        <w:t xml:space="preserve">Registro cronológico de atenciones, motivo de consulta, diagnóstico presuntivo/definitivo, plan de tratamiento y notas clínicas.</w:t>
      </w:r>
    </w:p>
    <w:p>
      <w:pPr>
        <w:pStyle w:val="ListParagraph"/>
        <w:numPr>
          <w:ilvl w:val="0"/>
          <w:numId w:val="1"/>
        </w:numPr>
      </w:pPr>
      <w:r>
        <w:rPr>
          <w:b/>
          <w:bCs/>
        </w:rPr>
        <w:t xml:space="preserve">Caja y Pagos: </w:t>
      </w:r>
      <w:r>
        <w:t xml:space="preserve">Balance de recaudación en moneda local (PEN S/), registro de abonos en efectivo, Yape/Plin, tarjetas y transferencias con código de referencia.</w:t>
      </w:r>
    </w:p>
    <w:p>
      <w:pPr>
        <w:pStyle w:val="ListParagraph"/>
        <w:numPr>
          <w:ilvl w:val="0"/>
          <w:numId w:val="1"/>
        </w:numPr>
      </w:pPr>
      <w:r>
        <w:rPr>
          <w:b/>
          <w:bCs/>
        </w:rPr>
        <w:t xml:space="preserve">Cuerpo Médico: </w:t>
      </w:r>
      <w:r>
        <w:t xml:space="preserve">Directorio de especialistas odontológicos con número de colegiatura profesional (COP) y especialidades.</w:t>
      </w:r>
    </w:p>
    <w:p>
      <w:pPr>
        <w:pStyle w:val="ListParagraph"/>
        <w:numPr>
          <w:ilvl w:val="0"/>
          <w:numId w:val="1"/>
        </w:numPr>
      </w:pPr>
      <w:r>
        <w:rPr>
          <w:b/>
          <w:bCs/>
        </w:rPr>
        <w:t xml:space="preserve">Inspector Firebase Firestore: </w:t>
      </w:r>
      <w:r>
        <w:t xml:space="preserve">Herramienta interna de visualización y consulta de colecciones en tiempo real para administradores, con vistas en tabla y JSON.</w:t>
      </w:r>
    </w:p>
    <w:p>
      <w:pPr>
        <w:pStyle w:val="Heading1"/>
        <w:spacing w:after="120" w:before="360"/>
      </w:pPr>
      <w:r>
        <w:rPr>
          <w:b/>
          <w:bCs/>
          <w:color w:val="0284C7"/>
          <w:sz w:val="32"/>
          <w:szCs w:val="32"/>
        </w:rPr>
        <w:t xml:space="preserve">6. Criterios de Calidad, QA/QX y Accesibilidad</w:t>
      </w:r>
    </w:p>
    <w:p>
      <w:pPr>
        <w:pStyle w:val="ListParagraph"/>
        <w:numPr>
          <w:ilvl w:val="0"/>
          <w:numId w:val="1"/>
        </w:numPr>
      </w:pPr>
      <w:r>
        <w:rPr>
          <w:b/>
          <w:bCs/>
        </w:rPr>
        <w:t xml:space="preserve">Contraste y Legibilidad WCAG AA: </w:t>
      </w:r>
      <w:r>
        <w:t xml:space="preserve">Uso de paletas de alto contraste sobre lienzo neutro (#F8FAFC) y tipografía moderna Plus Jakarta Sans.</w:t>
      </w:r>
    </w:p>
    <w:p>
      <w:pPr>
        <w:pStyle w:val="ListParagraph"/>
        <w:numPr>
          <w:ilvl w:val="0"/>
          <w:numId w:val="1"/>
        </w:numPr>
      </w:pPr>
      <w:r>
        <w:rPr>
          <w:b/>
          <w:bCs/>
        </w:rPr>
        <w:t xml:space="preserve">Cifras Tabulares (tabular-nums): </w:t>
      </w:r>
      <w:r>
        <w:t xml:space="preserve">Alineación decimal vertical estricta para números de DNI, fechas, teléfonos y balances económicos.</w:t>
      </w:r>
    </w:p>
    <w:p>
      <w:pPr>
        <w:pStyle w:val="ListParagraph"/>
        <w:numPr>
          <w:ilvl w:val="0"/>
          <w:numId w:val="1"/>
        </w:numPr>
      </w:pPr>
      <w:r>
        <w:rPr>
          <w:b/>
          <w:bCs/>
        </w:rPr>
        <w:t xml:space="preserve">Erradicación de Alertas Nativas: </w:t>
      </w:r>
      <w:r>
        <w:t xml:space="preserve">Eliminación total de ventanas emergentes invasivas (`alert`), reemplazándolas por banners de validación contextuales.</w:t>
      </w:r>
    </w:p>
    <w:p>
      <w:pPr>
        <w:pStyle w:val="ListParagraph"/>
        <w:numPr>
          <w:ilvl w:val="0"/>
          <w:numId w:val="1"/>
        </w:numPr>
      </w:pPr>
      <w:r>
        <w:rPr>
          <w:b/>
          <w:bCs/>
        </w:rPr>
        <w:t xml:space="preserve">Cero Dependencias Obsoletas: </w:t>
      </w:r>
      <w:r>
        <w:t xml:space="preserve">Eliminación de bibliotecas conflictivas de estilos, consolidando todo el sistema de diseño sobre Tailwind CSS nativo.</w:t>
      </w:r>
    </w:p>
    <w:p>
      <w:pPr>
        <w:pStyle w:val="ListParagraph"/>
        <w:numPr>
          <w:ilvl w:val="0"/>
          <w:numId w:val="1"/>
        </w:numPr>
      </w:pPr>
      <w:r>
        <w:rPr>
          <w:b/>
          <w:bCs/>
        </w:rPr>
        <w:t xml:space="preserve">Navegación Modal Blindada y Sin Trabas: </w:t>
      </w:r>
      <w:r>
        <w:t xml:space="preserve">Desvinculación síncrona de URLSearchParams, soporte de cierre con tecla Escape, hitboxes táctiles de 44x44px y prevención de congelamientos en toda la suite clínica.</w:t>
      </w:r>
    </w:p>
    <w:p>
      <w:pPr>
        <w:pStyle w:val="Heading1"/>
        <w:spacing w:after="120" w:before="360"/>
      </w:pPr>
      <w:r>
        <w:rPr>
          <w:b/>
          <w:bCs/>
          <w:color w:val="0284C7"/>
          <w:sz w:val="32"/>
          <w:szCs w:val="32"/>
        </w:rPr>
        <w:t xml:space="preserve">7. Conclusión y Dictamen Técnico</w:t>
      </w:r>
    </w:p>
    <w:p>
      <w:r>
        <w:t xml:space="preserve">El proyecto OrthoSmile-Medic satisface ampliamente los estándares de ingeniería de software moderno para aplicaciones médicas. Su diseño Mobile-First garantiza que el personal clínico pueda operar de forma táctil y ergonómica, mientras que su arquitectura modular basada en React 19, TypeScript y Firebase Firestore ofrece alta disponibilidad, sincronización instantánea y trazabilidad de datos para auditorías médicas.</w:t>
      </w:r>
    </w:p>
    <w:p>
      <w:pPr>
        <w:spacing w:before="480"/>
      </w:pPr>
      <w:r>
        <w:rPr>
          <w:color w:val="94A3B8"/>
        </w:rPr>
        <w:t xml:space="preserve">________________________________________</w:t>
      </w:r>
    </w:p>
    <w:p>
      <w:r>
        <w:rPr>
          <w:b/>
          <w:bCs/>
          <w:color w:val="0F172A"/>
        </w:rPr>
        <w:t xml:space="preserve">Equipo de Arquitectura e Ingeniería de Software
OrthoSmile-Medic Platform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pPr>
        <w:spacing w:after="16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OrthoSmile-Medic</dc:title>
  <dc:creator>Equipo de Arquitectura de Software OrthoSmile-Medic</dc:creator>
  <dc:description>Documento técnico integral de arquitectura, tecnologías y patrones de desarrollo.</dc:description>
  <cp:lastModifiedBy>Un-named</cp:lastModifiedBy>
  <cp:revision>1</cp:revision>
  <dcterms:created xsi:type="dcterms:W3CDTF">2026-10-21T01:33:46.323Z</dcterms:created>
  <dcterms:modified xsi:type="dcterms:W3CDTF">2026-10-21T01:33:46.323Z</dcterms:modified>
</cp:coreProperties>
</file>

<file path=docProps/custom.xml><?xml version="1.0" encoding="utf-8"?>
<Properties xmlns="http://schemas.openxmlformats.org/officeDocument/2006/custom-properties" xmlns:vt="http://schemas.openxmlformats.org/officeDocument/2006/docPropsVTypes"/>
</file>