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6B1B09"/>
          <w:sz w:val="38"/>
          <w:szCs w:val="38"/>
        </w:rPr>
        <w:t xml:space="preserve">INFORME TÉCNICO DE INGENIERÍA DE SOFTWARE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C88A2C"/>
          <w:sz w:val="22"/>
          <w:szCs w:val="22"/>
        </w:rPr>
        <w:t xml:space="preserve">PLATAFORMA INTEGRAL POS, GESTIÓN COMERCIAL &amp; KÁRDEX CLOUD EN TIEMPO REAL</w:t>
      </w:r>
    </w:p>
    <w:p>
      <w:pPr>
        <w:spacing w:after="100" w:before="80" w:line="276"/>
      </w:pPr>
      <w:r>
        <w:rPr>
          <w:rFonts w:ascii="Calibri" w:cs="Calibri" w:eastAsia="Calibri" w:hAnsi="Calibri"/>
          <w:b/>
          <w:bCs/>
          <w:color w:val="2D2422"/>
          <w:sz w:val="20"/>
          <w:szCs w:val="20"/>
        </w:rPr>
        <w:t xml:space="preserve">FICHA DE HOMOLOGACIÓN Y CONTROL TÉCNICO:</w:t>
      </w:r>
    </w:p>
    <w:tbl>
      <w:tblPr>
        <w:tblW w:type="pct" w:w="5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shd w:fill="6B1B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 Técnico</w:t>
            </w:r>
          </w:p>
        </w:tc>
        <w:tc>
          <w:tcPr>
            <w:shd w:fill="6B1B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Especificación de Ingeniería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Aplicación / Dominio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D'Kiram Pastelería Fina &amp; Cafetería Artesanal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Rol de Autoría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Staff / Senior Software Architect &amp; Lead Cloud Engineer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Versión del Software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v2.4.0 (Enterprise Cloud &amp; Offline-Resilient)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Stack Frontend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React 19 + TypeScript (Strict) + Vite 6 + Tailwind CSS v4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Motor de Base de Datos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Google Firebase Firestore NoSQL Database (ID: ai-studio-dkirampastelera-665e9d89-8a5f-4239-b603-233a5ae6e4e6)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Infraestructura Cloud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Google Cloud Platform (us-west1) / Vercel Edge Global Network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Seguridad &amp; Permisos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Reglas declarativas Firestore Rules + Control RBAC por Roles</w:t>
            </w:r>
          </w:p>
        </w:tc>
      </w:tr>
    </w:tbl>
    <w:p>
      <w:pPr>
        <w:spacing w:before="2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6B1B09"/>
          <w:sz w:val="26"/>
          <w:szCs w:val="26"/>
        </w:rPr>
        <w:t xml:space="preserve">1. RESUMEN EJECUTIVO &amp; OBJETIVOS ESTRATÉGICOS</w:t>
      </w:r>
    </w:p>
    <w:p>
      <w:pPr>
        <w:spacing w:after="100" w:before="80" w:line="276"/>
      </w:pPr>
      <w:r>
        <w:rPr>
          <w:rFonts w:ascii="Calibri" w:cs="Calibri" w:eastAsia="Calibri" w:hAnsi="Calibri"/>
          <w:b w:val="false"/>
          <w:bCs w:val="false"/>
          <w:color w:val="2D2422"/>
          <w:sz w:val="20"/>
          <w:szCs w:val="20"/>
        </w:rPr>
        <w:t xml:space="preserve">El presente documento técnico certifica el diseño, la construcción arquitectónica y el despliegue del sistema operativo comercial de D'Kiram Pastelería. El objetivo principal es resolver y erradicar los puntos críticos identificados en la operación previa: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1. Control de Tesorería: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Descuadre y fuga de efectivo físico en turnos diarios por falta de trazabilidad en cobros mixtos (Efectivo, Yape y Plin).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2. Trazabilidad de Inventario: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Desabastecimiento de insumos y porciones mediante un kárdex transaccional automatizado que descuenta stock en tiempo real en cada venta.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3. Calidad de Datos: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Implementación de la regla de oro 'Si existe, no lo hagas', impidiendo duplicidad de productos por SKU o coincidencia tipográfica.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4. Disponibilidad Continua: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Arquitectura híbrida que opera en línea conectada a Google Firestore y conmuta a Journaling local si la conectividad en tienda se interrumpe.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6B1B09"/>
          <w:sz w:val="26"/>
          <w:szCs w:val="26"/>
        </w:rPr>
        <w:t xml:space="preserve">2. MODELO DE NEGOCIO &amp; FLUJO OPERATIVO DE DOMINIO</w:t>
      </w:r>
    </w:p>
    <w:p>
      <w:pPr>
        <w:spacing w:after="100" w:before="80" w:line="276"/>
      </w:pPr>
      <w:r>
        <w:rPr>
          <w:rFonts w:ascii="Calibri" w:cs="Calibri" w:eastAsia="Calibri" w:hAnsi="Calibri"/>
          <w:b w:val="false"/>
          <w:bCs w:val="false"/>
          <w:color w:val="2D2422"/>
          <w:sz w:val="20"/>
          <w:szCs w:val="20"/>
        </w:rPr>
        <w:t xml:space="preserve">D'Kiram opera bajo un modelo de comercio minorista y cafetería de pastelería fina. Las dinámicas de negocio se articulan a través de los siguientes perfiles y roles de control de acceso (RBAC):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Super Administradora (Arsencia):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Supervisión global de rentabilidad, consulta de kárdex, anulación controlada de ventas con reversión automática de stock y auditoría de turnos de caja.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Administrador / Mostrador (Frank):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Operación del mostrador (POS), apertura con saldo base para dar cambio, registro de cobros multidivisa/multipago, y cierre ciego con conciliación de diferencias.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Jefe de Producción (Carlos):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Control de producción diaria, entradas de horneado matutino, reporte de mermas técnicas y verificación de caducidad de porciones.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6B1B09"/>
          <w:sz w:val="26"/>
          <w:szCs w:val="26"/>
        </w:rPr>
        <w:t xml:space="preserve">3. ARQUITECTURA DEL SISTEMA EN CAPAS (LAYERED ARCHITECTURE)</w:t>
      </w:r>
    </w:p>
    <w:p>
      <w:pPr>
        <w:spacing w:after="100" w:before="80" w:line="276"/>
      </w:pPr>
      <w:r>
        <w:rPr>
          <w:rFonts w:ascii="Calibri" w:cs="Calibri" w:eastAsia="Calibri" w:hAnsi="Calibri"/>
          <w:b w:val="false"/>
          <w:bCs w:val="false"/>
          <w:color w:val="2D2422"/>
          <w:sz w:val="20"/>
          <w:szCs w:val="20"/>
        </w:rPr>
        <w:t xml:space="preserve">La solución sigue un patrón de Arquitectura Desacoplada en Cuatro Capas de Alto Rendimiento: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Capa de Presentación (UI/UX):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Componentes React 19 optimizados con Tailwind CSS v4, tipografía legible Plus Jakarta Sans, diseño táctil y compatibilidad total con pantallas de tablets y teléfonos móviles de mostrador.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Capa de Dominio y Estado: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Lógica de negocio encapsulada en AppContext.tsx con TypeScript estricto. Centraliza el motor del carrito, cálculo de impuestos, descuentos y validaciones previas a la confirmación.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Capa de Integración y Persistencia: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Módulo firestoreService.ts que encapsula la API del SDK v12 de Firebase. Implementa listeners onSnapshot para sincronización reactiva bidireccional y escritura por lotes.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Capa de Seguridad y Auditoría: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Asegurada en la nube de Google mediante firestore.rules para rechazar transacciones inconsistentes y en el cliente con validaciones de interfaz.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6B1B09"/>
          <w:sz w:val="26"/>
          <w:szCs w:val="26"/>
        </w:rPr>
        <w:t xml:space="preserve">4. TOPOLOGÍA DE RED E INFRAESTRUCTURA DE DESPLIEGUE</w:t>
      </w:r>
    </w:p>
    <w:p>
      <w:pPr>
        <w:spacing w:after="100" w:before="80" w:line="276"/>
      </w:pPr>
      <w:r>
        <w:rPr>
          <w:rFonts w:ascii="Calibri" w:cs="Calibri" w:eastAsia="Calibri" w:hAnsi="Calibri"/>
          <w:b w:val="false"/>
          <w:bCs w:val="false"/>
          <w:color w:val="2D2422"/>
          <w:sz w:val="20"/>
          <w:szCs w:val="20"/>
        </w:rPr>
        <w:t xml:space="preserve">La plataforma está estructurada en una topología serverless de alta disponibilidad: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Terminales Clientes: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Navegadores modernos en modo SPA (Single Page Application) en terminales de caja, tablets de salón y celulares de supervisores.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Capa Edge &amp; Hosting: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Vercel Edge Network / Google Cloud Run con distribución CDN global, compresión Brotli y enrutamiento SPA configurado en vercel.json.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Base de Datos en la Nube: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Google Firebase Firestore multi-región gestionado en Google Cloud Platform (ID: gen-lang-client-0465390353). Proporciona sincronización por WebSockets/gRPC en tiempo real.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6B1B09"/>
          <w:sz w:val="26"/>
          <w:szCs w:val="26"/>
        </w:rPr>
        <w:t xml:space="preserve">5. MODELO DE DATOS Y ESTRUCTURA DE LA BASE DE DATOS (FIRESTORE)</w:t>
      </w:r>
    </w:p>
    <w:p>
      <w:pPr>
        <w:spacing w:after="100" w:before="80" w:line="276"/>
      </w:pPr>
      <w:r>
        <w:rPr>
          <w:rFonts w:ascii="Calibri" w:cs="Calibri" w:eastAsia="Calibri" w:hAnsi="Calibri"/>
          <w:b w:val="false"/>
          <w:bCs w:val="false"/>
          <w:color w:val="2D2422"/>
          <w:sz w:val="20"/>
          <w:szCs w:val="20"/>
        </w:rPr>
        <w:t xml:space="preserve">El almacenamiento utiliza colecciones NoSQL normalizadas en sus identificadores y denormalizadas eficientemente en datos de lectura rápida:</w:t>
      </w:r>
    </w:p>
    <w:tbl>
      <w:tblPr>
        <w:tblW w:type="pct" w:w="5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6B1B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Colección Firestore</w:t>
            </w:r>
          </w:p>
        </w:tc>
        <w:tc>
          <w:tcPr>
            <w:shd w:fill="6B1B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 Primaria</w:t>
            </w:r>
          </w:p>
        </w:tc>
        <w:tc>
          <w:tcPr>
            <w:shd w:fill="6B1B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Relevantes</w:t>
            </w:r>
          </w:p>
        </w:tc>
        <w:tc>
          <w:tcPr>
            <w:shd w:fill="6B1B0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 Operativo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products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id (prod-*)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sku, name, categoryId, salePrice, costPrice, stockCurrent, active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Catálogo maestro y control de existencias.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categories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id (cat-*)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name, slug, icon, active, order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Taxonomía de pasteles, porciones y bebidas.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sales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id (sale-*)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code (V-*), cashRegisterId, total, items[], payments[], status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Registro fiscal y detalle de transacciones POS.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cashRegisters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id (caja-*)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employeeId, openingAmount, expectedCash, countedCash, status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Turnos de caja y arqueos con diferencias.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cashMovements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id (mov-*)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cashRegisterId, type (INGRESO, EGRESO, VENTA), amount, reason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Kárdex de flujo de efectivo en mostrador.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inventoryMovements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id (inv-*)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productId, type (VENTA, ENTRADA, MERMA), quantity, stockAfter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Kárdex físico de entradas y salidas de bodega.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employees &amp; shifts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id (emp-*, shf-*)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firstName, lastName, role, date, startTime, status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Gestión de personal y cuadrantes de turno.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auditLogs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id (aud-*)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userId, action, entity, entityId, details, createdAt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D2422"/>
                <w:sz w:val="19"/>
                <w:szCs w:val="19"/>
              </w:rPr>
              <w:t xml:space="preserve">Bitácora forense de seguridad inmutable.</w:t>
            </w:r>
          </w:p>
        </w:tc>
      </w:tr>
    </w:tbl>
    <w:p>
      <w:pPr>
        <w:spacing w:before="2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6B1B09"/>
          <w:sz w:val="26"/>
          <w:szCs w:val="26"/>
        </w:rPr>
        <w:t xml:space="preserve">6. TÉCNICAS DE PROGRAMACIÓN Y BUENAS PRÁCTICAS IMPLEMENTADAS</w:t>
      </w:r>
    </w:p>
    <w:p>
      <w:pPr>
        <w:spacing w:after="100" w:before="80" w:line="276"/>
      </w:pPr>
      <w:r>
        <w:rPr>
          <w:rFonts w:ascii="Calibri" w:cs="Calibri" w:eastAsia="Calibri" w:hAnsi="Calibri"/>
          <w:b w:val="false"/>
          <w:bCs w:val="false"/>
          <w:color w:val="2D2422"/>
          <w:sz w:val="20"/>
          <w:szCs w:val="20"/>
        </w:rPr>
        <w:t xml:space="preserve">El código fuente ha sido desarrollado bajo los estándares de ingeniería de software más rigurosos: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Tipado Estricto (TypeScript 5.7+):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Todo el dominio (ventas, cajas, productos) cuenta con interfaces y tipos estrictos en types/index.ts, previniendo errores de puntero nulo y cálculos monetarios erróneos.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Gestión de Estado Offline-First &amp; Cola Outbox: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Patrón Outbox persistente en localStorage ('dkiram_pending_sync_queue'). Las ventas realizadas sin internet se confirman de inmediato en el POS, imprimen tickets y descuentan stock local. Al volver la conectividad, un motor reactivo (listeners 'online' y heartbeat) vacía la cola secuencialmente en Google Firestore.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Reconciliación sin Pérdida de Datos: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Los observadores en tiempo real (onSnapshot) concilian las ventas remotas con la cola local pendiente, garantizando que ninguna venta offline sea sobreescrita o borrada por respuestas del servidor.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Precisión Monetaria Impecable: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El dinero no se trata con sumas flotantes descuidadas. Se aplican redondeos normalizados a 2 decimales (toFixed(2) y Math.round) para cuadrar centavo a centavo.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Idempotencia y Validación Cruzada: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Una venta no se considera cerrada si la suma de sus métodos de pago (ej. S/ 10 Efectivo + S/ 15 Yape) no coincide al 100% con el total del carrito.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6B1B09"/>
          <w:sz w:val="26"/>
          <w:szCs w:val="26"/>
        </w:rPr>
        <w:t xml:space="preserve">7. ESTADO DE LA BASE DE DATOS Y LISTA DE PRODUCCIÓN</w:t>
      </w:r>
    </w:p>
    <w:p>
      <w:pPr>
        <w:spacing w:after="100" w:before="80" w:line="276"/>
      </w:pPr>
      <w:r>
        <w:rPr>
          <w:rFonts w:ascii="Calibri" w:cs="Calibri" w:eastAsia="Calibri" w:hAnsi="Calibri"/>
          <w:b w:val="false"/>
          <w:bCs w:val="false"/>
          <w:color w:val="2D2422"/>
          <w:sz w:val="20"/>
          <w:szCs w:val="20"/>
        </w:rPr>
        <w:t xml:space="preserve">Actualmente, la infraestructura se encuentra plenamente operativa: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ID de Base de Datos Activa: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ai-studio-dkirampastelera-665e9d89-8a5f-4239-b603-233a5ae6e4e6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Reglas de Seguridad (firestore.rules):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Desplegadas y validadas contra accesos no autorizados e inyecciones.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Semillero de Datos (Seeding):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Catálogo de productos de mostrador y del cuaderno de notas sincronizados con SKU único.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Calibri" w:cs="Calibri" w:eastAsia="Calibri" w:hAnsi="Calibri"/>
          <w:b/>
          <w:bCs/>
          <w:color w:val="6B1B09"/>
          <w:sz w:val="20"/>
          <w:szCs w:val="20"/>
        </w:rPr>
        <w:t xml:space="preserve">Compatibilidad con Vercel: </w:t>
      </w:r>
      <w:r>
        <w:rPr>
          <w:rFonts w:ascii="Calibri" w:cs="Calibri" w:eastAsia="Calibri" w:hAnsi="Calibri"/>
          <w:color w:val="2D2422"/>
          <w:sz w:val="20"/>
          <w:szCs w:val="20"/>
        </w:rPr>
        <w:t xml:space="preserve">vercel.json configurado con soporte para rutas de Vite y variables de entorno documentadas en .env.example.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2026-10-04T05:18:30.239Z</dcterms:created>
  <dcterms:modified xsi:type="dcterms:W3CDTF">2026-10-04T05:18:30.239Z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