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Protocols to get from benchling: (the rest are in this folder as PDFs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Yeast transformation </w:t>
        <w:tab/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Bacterial transformation </w:t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coli competent cells </w:t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Restriction digest</w:t>
        <w:tab/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Yeast DNA prep</w:t>
        <w:tab/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Resuspending primers</w:t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Resuspending gBlocks</w:t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Electroporation</w:t>
        <w:tab/>
        <w:tab/>
        <w:tab/>
        <w:t xml:space="preserve">Hele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Minimal media preparation</w:t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Coomassie</w:t>
        <w:tab/>
        <w:tab/>
        <w:tab/>
        <w:tab/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Western blot protocols (edit?)</w:t>
        <w:tab/>
        <w:tab/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Catalase testing protocols</w:t>
        <w:tab/>
        <w:tab/>
        <w:t xml:space="preserve">Hele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 extraction</w:t>
        <w:tab/>
        <w:tab/>
        <w:tab/>
        <w:tab/>
      </w:r>
      <w:r w:rsidDel="00000000" w:rsidR="00000000" w:rsidRPr="00000000">
        <w:rPr>
          <w:rtl w:val="0"/>
        </w:rPr>
        <w:t xml:space="preserve">Hele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Protein production production protocols (MlrA project)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membrane purification (preparation of microsomes)</w:t>
        <w:tab/>
        <w:tab/>
      </w:r>
      <w:commentRangeStart w:id="0"/>
      <w:r w:rsidDel="00000000" w:rsidR="00000000" w:rsidRPr="00000000">
        <w:rPr>
          <w:rtl w:val="0"/>
        </w:rPr>
        <w:t xml:space="preserve">Laura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Re-folding of inclusion bodies</w:t>
        <w:tab/>
        <w:t xml:space="preserve">Laura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Magic Media culture</w:t>
        <w:tab/>
        <w:tab/>
        <w:tab/>
        <w:t xml:space="preserve">Laura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Magic Media cell lysis</w:t>
        <w:tab/>
        <w:tab/>
        <w:t xml:space="preserve">Laura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Yeast cell lysis</w:t>
        <w:tab/>
        <w:tab/>
        <w:tab/>
        <w:t xml:space="preserve">Laura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Transformation using One Shot cells</w:t>
        <w:tab/>
        <w:t xml:space="preserve">Laura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Yeast Galactose Induction</w:t>
        <w:tab/>
        <w:tab/>
        <w:t xml:space="preserve">Laura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Protein production in E. coli</w:t>
        <w:tab/>
        <w:tab/>
        <w:t xml:space="preserve">Laura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Enzyme activity samples</w:t>
        <w:tab/>
        <w:tab/>
        <w:t xml:space="preserve">Laura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we have basic sds-page and dna gel electrophoresis protocols also?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Miniprep and gel extraction protocols: choose the used pages from manuals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aura Laiho" w:id="0" w:date="2016-10-19T20:23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kaikki mis lukee laura ni oon laittanu protocols kansioo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