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Regulatory Compliance Guidelines</w:t>
      </w:r>
    </w:p>
    <w:p>
      <w:pPr>
        <w:pStyle w:val="Heading1"/>
      </w:pPr>
      <w:r>
        <w:t>1. Regulatory Overview</w:t>
      </w:r>
    </w:p>
    <w:p>
      <w:r>
        <w:t>Our organization operates in highly regulated sectors. It is imperative that all systems comply with SOX for financial reporting and HIPAA for health data.</w:t>
      </w:r>
    </w:p>
    <w:p>
      <w:pPr>
        <w:pStyle w:val="Heading1"/>
      </w:pPr>
      <w:r>
        <w:t>2. SOX Compliance</w:t>
      </w:r>
    </w:p>
    <w:p>
      <w:r>
        <w:t>Sarbanes-Oxley (SOX) requires strict access controls and audit trails for financial systems.</w:t>
      </w:r>
    </w:p>
    <w:p>
      <w:r>
        <w:t>All changes to production databases must be logged, reviewed, and approved via the Change Management process.</w:t>
      </w:r>
    </w:p>
    <w:p>
      <w:pPr>
        <w:pStyle w:val="Heading1"/>
      </w:pPr>
      <w:r>
        <w:t>3. HIPAA Basics</w:t>
      </w:r>
    </w:p>
    <w:p>
      <w:r>
        <w:t>The Health Insurance Portability and Accountability Act (HIPAA) mandates the protection of Protected Health Information (PHI).</w:t>
      </w:r>
    </w:p>
    <w:p>
      <w:r>
        <w:t>All PHI must be encrypted at rest and in transit. Access to PHI is restricted strictly on a need-to-know basis, and all access logs must be maintained for 6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