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Incident Response &amp; Escalation Plan</w:t>
      </w:r>
    </w:p>
    <w:p>
      <w:pPr>
        <w:pStyle w:val="Heading1"/>
      </w:pPr>
      <w:r>
        <w:t>1. Incident Classification</w:t>
      </w:r>
    </w:p>
    <w:p>
      <w:r>
        <w:t>Severity 1 (Critical): System-wide outage or active data breach. Requires immediate response 24/7.</w:t>
      </w:r>
    </w:p>
    <w:p>
      <w:r>
        <w:t>Severity 2 (High): Major feature degraded affecting multiple customers. Response within 1 hour.</w:t>
      </w:r>
    </w:p>
    <w:p>
      <w:r>
        <w:t>Severity 3 (Medium): Minor bug affecting a small subset of users. Response within next business day.</w:t>
      </w:r>
    </w:p>
    <w:p>
      <w:pPr>
        <w:pStyle w:val="Heading1"/>
      </w:pPr>
      <w:r>
        <w:t>2. Response Procedures for Sev 1</w:t>
      </w:r>
    </w:p>
    <w:p>
      <w:r>
        <w:t>1. The on-call engineer must acknowledge the alert within 15 minutes.</w:t>
      </w:r>
    </w:p>
    <w:p>
      <w:r>
        <w:t>2. Open a dedicated incident bridge (Zoom) and Slack channel (#incident-active).</w:t>
      </w:r>
    </w:p>
    <w:p>
      <w:r>
        <w:t>3. Notify the Incident Commander and VP of Engineering.</w:t>
      </w:r>
    </w:p>
    <w:p>
      <w:r>
        <w:t>4. Post initial status page update within 30 minutes.</w:t>
      </w:r>
    </w:p>
    <w:p>
      <w:pPr>
        <w:pStyle w:val="Heading1"/>
      </w:pPr>
      <w:r>
        <w:t>3. Escalation Matrix</w:t>
      </w:r>
    </w:p>
    <w:p>
      <w:r>
        <w:t>If the primary on-call does not respond, page the secondary. If neither responds, page the Engineering Manager, followed by the VP of Engineering, and finally the CTO.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