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Information Security Policy</w:t>
      </w:r>
    </w:p>
    <w:p>
      <w:pPr>
        <w:pStyle w:val="Heading1"/>
      </w:pPr>
      <w:r>
        <w:t>1. Information Security Overview</w:t>
      </w:r>
    </w:p>
    <w:p>
      <w:r>
        <w:t>This policy establishes the framework for protecting the organization's information assets. It applies to all employees, contractors, and third-party vendors who have access to our systems.</w:t>
      </w:r>
    </w:p>
    <w:p>
      <w:pPr>
        <w:pStyle w:val="Heading1"/>
      </w:pPr>
      <w:r>
        <w:t>2. Data Classification</w:t>
      </w:r>
    </w:p>
    <w:p>
      <w:r>
        <w:t>All data must be classified into one of four categories: Public, Internal, Confidential, or Restricted.</w:t>
      </w:r>
    </w:p>
    <w:p>
      <w:r>
        <w:t>Restricted data includes PII, financial records, and intellectual property. It requires the highest level of encryption and strict access controls.</w:t>
      </w:r>
    </w:p>
    <w:p>
      <w:pPr>
        <w:pStyle w:val="Heading1"/>
      </w:pPr>
      <w:r>
        <w:t>3. Access Control</w:t>
      </w:r>
    </w:p>
    <w:p>
      <w:r>
        <w:t>Access to company resources is granted based on the principle of least privilege (PoLP). Multi-Factor Authentication (MFA) is mandatory for all system access.</w:t>
      </w:r>
    </w:p>
    <w:p>
      <w:r>
        <w:t>Access rights must be reviewed quarterly. Upon termination or role change, access must be revoked or modified within 24 hours.</w:t>
      </w:r>
    </w:p>
    <w:p>
      <w:pPr>
        <w:pStyle w:val="Heading1"/>
      </w:pPr>
      <w:r>
        <w:t>4. Password Policy</w:t>
      </w:r>
    </w:p>
    <w:p>
      <w:r>
        <w:t>Passwords must be at least 14 characters long, containing a mix of upper and lower case letters, numbers, and special characters. Passwords must be rotated every 90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