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功能测试报告</w:t>
      </w:r>
    </w:p>
    <w:p>
      <w:pPr>
        <w:pStyle w:val="Heading1"/>
      </w:pPr>
      <w:r>
        <w:t>1. 软件需求 (Software Requirements)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</w:tr>
      <w:tr>
        <w:tc>
          <w:tcPr>
            <w:tcW w:type="dxa" w:w="2160"/>
          </w:tcPr>
          <w:p>
            <w:r>
              <w:t>FR-001</w:t>
            </w:r>
          </w:p>
        </w:tc>
        <w:tc>
          <w:tcPr>
            <w:tcW w:type="dxa" w:w="2160"/>
          </w:tcPr>
          <w:p>
            <w:r>
              <w:t>基本单位转换功能</w:t>
            </w:r>
          </w:p>
        </w:tc>
        <w:tc>
          <w:tcPr>
            <w:tcW w:type="dxa" w:w="2160"/>
          </w:tcPr>
          <w:p>
            <w:r>
              <w:t>系统应在主界面提供单位转换功能，支持用户输入数值并选择源单位与目标单位（如长度、重量、温度等），点击转换按钮后正确显示转换结果；若输入非法字符或为空，应提示用户输入有效数值。</w:t>
            </w:r>
          </w:p>
        </w:tc>
        <w:tc>
          <w:tcPr>
            <w:tcW w:type="dxa" w:w="2160"/>
          </w:tcPr>
          <w:p>
            <w:r>
              <w:t>功能性</w:t>
            </w:r>
          </w:p>
        </w:tc>
      </w:tr>
      <w:tr>
        <w:tc>
          <w:tcPr>
            <w:tcW w:type="dxa" w:w="2160"/>
          </w:tcPr>
          <w:p>
            <w:r>
              <w:t>FR-002</w:t>
            </w:r>
          </w:p>
        </w:tc>
        <w:tc>
          <w:tcPr>
            <w:tcW w:type="dxa" w:w="2160"/>
          </w:tcPr>
          <w:p>
            <w:r>
              <w:t>网页内容浏览功能</w:t>
            </w:r>
          </w:p>
        </w:tc>
        <w:tc>
          <w:tcPr>
            <w:tcW w:type="dxa" w:w="2160"/>
          </w:tcPr>
          <w:p>
            <w:r>
              <w:t>系统应能在应用内加载指定网页内容，支持JavaScript执行与DOM数据存储，确保用户可正常查看页面信息，并能与网页中的链接、表单等元素进行交互操作。</w:t>
            </w:r>
          </w:p>
        </w:tc>
        <w:tc>
          <w:tcPr>
            <w:tcW w:type="dxa" w:w="2160"/>
          </w:tcPr>
          <w:p>
            <w:r>
              <w:t>功能性</w:t>
            </w:r>
          </w:p>
        </w:tc>
      </w:tr>
      <w:tr>
        <w:tc>
          <w:tcPr>
            <w:tcW w:type="dxa" w:w="2160"/>
          </w:tcPr>
          <w:p>
            <w:r>
              <w:t>FR-003</w:t>
            </w:r>
          </w:p>
        </w:tc>
        <w:tc>
          <w:tcPr>
            <w:tcW w:type="dxa" w:w="2160"/>
          </w:tcPr>
          <w:p>
            <w:r>
              <w:t>输入合法性校验</w:t>
            </w:r>
          </w:p>
        </w:tc>
        <w:tc>
          <w:tcPr>
            <w:tcW w:type="dxa" w:w="2160"/>
          </w:tcPr>
          <w:p>
            <w:r>
              <w:t>系统应对用户在转换功能中输入的内容进行校验，当输入非数字字符、特殊符号或空值时，应阻止提交并给出明确提示，如‘请输入有效的数字’。</w:t>
            </w:r>
          </w:p>
        </w:tc>
        <w:tc>
          <w:tcPr>
            <w:tcW w:type="dxa" w:w="2160"/>
          </w:tcPr>
          <w:p>
            <w:r>
              <w:t>功能性</w:t>
            </w:r>
          </w:p>
        </w:tc>
      </w:tr>
      <w:tr>
        <w:tc>
          <w:tcPr>
            <w:tcW w:type="dxa" w:w="2160"/>
          </w:tcPr>
          <w:p>
            <w:r>
              <w:t>FR-004</w:t>
            </w:r>
          </w:p>
        </w:tc>
        <w:tc>
          <w:tcPr>
            <w:tcW w:type="dxa" w:w="2160"/>
          </w:tcPr>
          <w:p>
            <w:r>
              <w:t>网络异常情况处理</w:t>
            </w:r>
          </w:p>
        </w:tc>
        <w:tc>
          <w:tcPr>
            <w:tcW w:type="dxa" w:w="2160"/>
          </w:tcPr>
          <w:p>
            <w:r>
              <w:t>当设备无网络连接时，若尝试加载网页内容，系统应显示友好的错误提示，如‘网络不可用，请检查网络设置’，而不应崩溃或卡死。</w:t>
            </w:r>
          </w:p>
        </w:tc>
        <w:tc>
          <w:tcPr>
            <w:tcW w:type="dxa" w:w="2160"/>
          </w:tcPr>
          <w:p>
            <w:r>
              <w:t>异常处理</w:t>
            </w:r>
          </w:p>
        </w:tc>
      </w:tr>
      <w:tr>
        <w:tc>
          <w:tcPr>
            <w:tcW w:type="dxa" w:w="2160"/>
          </w:tcPr>
          <w:p>
            <w:r>
              <w:t>FR-005</w:t>
            </w:r>
          </w:p>
        </w:tc>
        <w:tc>
          <w:tcPr>
            <w:tcW w:type="dxa" w:w="2160"/>
          </w:tcPr>
          <w:p>
            <w:r>
              <w:t>界面信息清晰展示</w:t>
            </w:r>
          </w:p>
        </w:tc>
        <w:tc>
          <w:tcPr>
            <w:tcW w:type="dxa" w:w="2160"/>
          </w:tcPr>
          <w:p>
            <w:r>
              <w:t>系统应确保主界面布局合理，单位选项分类清晰，输入框、按钮和结果区域易于识别与操作，提升用户的可读性与操作效率。</w:t>
            </w:r>
          </w:p>
        </w:tc>
        <w:tc>
          <w:tcPr>
            <w:tcW w:type="dxa" w:w="2160"/>
          </w:tcPr>
          <w:p>
            <w:r>
              <w:t>界面</w:t>
            </w:r>
          </w:p>
        </w:tc>
      </w:tr>
      <w:tr>
        <w:tc>
          <w:tcPr>
            <w:tcW w:type="dxa" w:w="2160"/>
          </w:tcPr>
          <w:p>
            <w:r>
              <w:t>FR-006</w:t>
            </w:r>
          </w:p>
        </w:tc>
        <w:tc>
          <w:tcPr>
            <w:tcW w:type="dxa" w:w="2160"/>
          </w:tcPr>
          <w:p>
            <w:r>
              <w:t>转换历史记录展示</w:t>
            </w:r>
          </w:p>
        </w:tc>
        <w:tc>
          <w:tcPr>
            <w:tcW w:type="dxa" w:w="2160"/>
          </w:tcPr>
          <w:p>
            <w:r>
              <w:t>系统应在主界面保留最近的转换记录，供用户查看，每条记录应包含原始值、源单位、目标单位和结果，点击可复制或清除历史。</w:t>
            </w:r>
          </w:p>
        </w:tc>
        <w:tc>
          <w:tcPr>
            <w:tcW w:type="dxa" w:w="2160"/>
          </w:tcPr>
          <w:p>
            <w:r>
              <w:t>功能性</w:t>
            </w:r>
          </w:p>
        </w:tc>
      </w:tr>
      <w:tr>
        <w:tc>
          <w:tcPr>
            <w:tcW w:type="dxa" w:w="2160"/>
          </w:tcPr>
          <w:p>
            <w:r>
              <w:t>FR-007</w:t>
            </w:r>
          </w:p>
        </w:tc>
        <w:tc>
          <w:tcPr>
            <w:tcW w:type="dxa" w:w="2160"/>
          </w:tcPr>
          <w:p>
            <w:r>
              <w:t>批量单位切换操作</w:t>
            </w:r>
          </w:p>
        </w:tc>
        <w:tc>
          <w:tcPr>
            <w:tcW w:type="dxa" w:w="2160"/>
          </w:tcPr>
          <w:p>
            <w:r>
              <w:t>系统应支持用户在主界面快速切换不同的单位类别（如从长度切换到体积），切换后输入内容清空且单位选择器重置为默认状态。</w:t>
            </w:r>
          </w:p>
        </w:tc>
        <w:tc>
          <w:tcPr>
            <w:tcW w:type="dxa" w:w="2160"/>
          </w:tcPr>
          <w:p>
            <w:r>
              <w:t>功能性</w:t>
            </w:r>
          </w:p>
        </w:tc>
      </w:tr>
      <w:tr>
        <w:tc>
          <w:tcPr>
            <w:tcW w:type="dxa" w:w="2160"/>
          </w:tcPr>
          <w:p>
            <w:r>
              <w:t>FR-008</w:t>
            </w:r>
          </w:p>
        </w:tc>
        <w:tc>
          <w:tcPr>
            <w:tcW w:type="dxa" w:w="2160"/>
          </w:tcPr>
          <w:p>
            <w:r>
              <w:t>网页加载进度反馈</w:t>
            </w:r>
          </w:p>
        </w:tc>
        <w:tc>
          <w:tcPr>
            <w:tcW w:type="dxa" w:w="2160"/>
          </w:tcPr>
          <w:p>
            <w:r>
              <w:t>系统在加载网页时应显示加载进度条或转圈提示，让用户知晓当前页面正在加载，避免误认为功能无响应。</w:t>
            </w:r>
          </w:p>
        </w:tc>
        <w:tc>
          <w:tcPr>
            <w:tcW w:type="dxa" w:w="2160"/>
          </w:tcPr>
          <w:p>
            <w:r>
              <w:t>界面</w:t>
            </w:r>
          </w:p>
        </w:tc>
      </w:tr>
    </w:tbl>
    <w:p>
      <w:r>
        <w:br w:type="page"/>
      </w:r>
    </w:p>
    <w:p>
      <w:pPr>
        <w:pStyle w:val="Heading1"/>
      </w:pPr>
      <w:r>
        <w:t>2. 测试需求 (Test Requirements)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Name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Description/Objective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Test Data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Expected Result</w:t>
            </w:r>
          </w:p>
        </w:tc>
      </w:tr>
      <w:tr>
        <w:tc>
          <w:tcPr>
            <w:tcW w:type="dxa" w:w="1728"/>
          </w:tcPr>
          <w:p>
            <w:r>
              <w:t>TC-01-01</w:t>
            </w:r>
          </w:p>
        </w:tc>
        <w:tc>
          <w:tcPr>
            <w:tcW w:type="dxa" w:w="1728"/>
          </w:tcPr>
          <w:p>
            <w:r>
              <w:t>验证长度单位转换功能</w:t>
            </w:r>
          </w:p>
        </w:tc>
        <w:tc>
          <w:tcPr>
            <w:tcW w:type="dxa" w:w="1728"/>
          </w:tcPr>
          <w:p>
            <w:r>
              <w:t>Desc: 用户在主界面选择长度类别，输入数值并选择源单位和目标单位，点击转换按钮后查看结果是否正确。</w:t>
              <w:br/>
              <w:t>Obj: 确认系统能正确执行长度单位之间的转换计算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转换结果显示正确，例如100厘米转换为1米</w:t>
            </w:r>
          </w:p>
        </w:tc>
      </w:tr>
      <w:tr>
        <w:tc>
          <w:tcPr>
            <w:tcW w:type="dxa" w:w="1728"/>
          </w:tcPr>
          <w:p>
            <w:r>
              <w:t>TC-01-02</w:t>
            </w:r>
          </w:p>
        </w:tc>
        <w:tc>
          <w:tcPr>
            <w:tcW w:type="dxa" w:w="1728"/>
          </w:tcPr>
          <w:p>
            <w:r>
              <w:t>验证重量单位转换功能</w:t>
            </w:r>
          </w:p>
        </w:tc>
        <w:tc>
          <w:tcPr>
            <w:tcW w:type="dxa" w:w="1728"/>
          </w:tcPr>
          <w:p>
            <w:r>
              <w:t>Desc: 用户在主界面选择重量类别，输入数值并选择源单位和目标单位，点击转换按钮后查看结果是否正确。</w:t>
              <w:br/>
              <w:t>Obj: 确认系统能正确执行重量单位之间的转换计算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转换结果显示正确，例如2千克转换为2000克</w:t>
            </w:r>
          </w:p>
        </w:tc>
      </w:tr>
      <w:tr>
        <w:tc>
          <w:tcPr>
            <w:tcW w:type="dxa" w:w="1728"/>
          </w:tcPr>
          <w:p>
            <w:r>
              <w:t>TC-01-03</w:t>
            </w:r>
          </w:p>
        </w:tc>
        <w:tc>
          <w:tcPr>
            <w:tcW w:type="dxa" w:w="1728"/>
          </w:tcPr>
          <w:p>
            <w:r>
              <w:t>验证温度单位转换功能</w:t>
            </w:r>
          </w:p>
        </w:tc>
        <w:tc>
          <w:tcPr>
            <w:tcW w:type="dxa" w:w="1728"/>
          </w:tcPr>
          <w:p>
            <w:r>
              <w:t>Desc: 用户在主界面选择温度类别，输入摄氏度数值，目标单位设为华氏度，点击转换按钮后查看结果是否正确。</w:t>
              <w:br/>
              <w:t>Obj: 确认系统能正确执行温度单位之间的转换计算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转换结果显示正确，例如0摄氏度转换为32华氏度</w:t>
            </w:r>
          </w:p>
        </w:tc>
      </w:tr>
      <w:tr>
        <w:tc>
          <w:tcPr>
            <w:tcW w:type="dxa" w:w="1728"/>
          </w:tcPr>
          <w:p>
            <w:r>
              <w:t>TC-01-04</w:t>
            </w:r>
          </w:p>
        </w:tc>
        <w:tc>
          <w:tcPr>
            <w:tcW w:type="dxa" w:w="1728"/>
          </w:tcPr>
          <w:p>
            <w:r>
              <w:t>输入非法字符时的错误提示</w:t>
            </w:r>
          </w:p>
        </w:tc>
        <w:tc>
          <w:tcPr>
            <w:tcW w:type="dxa" w:w="1728"/>
          </w:tcPr>
          <w:p>
            <w:r>
              <w:t>Desc: 用户在数值输入框中输入非数字字符（如字母或符号），点击转换按钮</w:t>
              <w:br/>
              <w:t>Obj: 验证系统对非法输入的处理能力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系统提示用户“请输入有效的数值”</w:t>
            </w:r>
          </w:p>
        </w:tc>
      </w:tr>
      <w:tr>
        <w:tc>
          <w:tcPr>
            <w:tcW w:type="dxa" w:w="1728"/>
          </w:tcPr>
          <w:p>
            <w:r>
              <w:t>TC-01-05</w:t>
            </w:r>
          </w:p>
        </w:tc>
        <w:tc>
          <w:tcPr>
            <w:tcW w:type="dxa" w:w="1728"/>
          </w:tcPr>
          <w:p>
            <w:r>
              <w:t>输入为空时的提示信息</w:t>
            </w:r>
          </w:p>
        </w:tc>
        <w:tc>
          <w:tcPr>
            <w:tcW w:type="dxa" w:w="1728"/>
          </w:tcPr>
          <w:p>
            <w:r>
              <w:t>Desc: 用户未在数值输入框中输入任何内容，直接点击转换按钮</w:t>
              <w:br/>
              <w:t>Obj: 验证系统对空输入的校验机制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系统提示用户“请输入一个数值”</w:t>
            </w:r>
          </w:p>
        </w:tc>
      </w:tr>
      <w:tr>
        <w:tc>
          <w:tcPr>
            <w:tcW w:type="dxa" w:w="1728"/>
          </w:tcPr>
          <w:p>
            <w:r>
              <w:t>TC-01-06</w:t>
            </w:r>
          </w:p>
        </w:tc>
        <w:tc>
          <w:tcPr>
            <w:tcW w:type="dxa" w:w="1728"/>
          </w:tcPr>
          <w:p>
            <w:r>
              <w:t>边界值测试 - 极大数值转换</w:t>
            </w:r>
          </w:p>
        </w:tc>
        <w:tc>
          <w:tcPr>
            <w:tcW w:type="dxa" w:w="1728"/>
          </w:tcPr>
          <w:p>
            <w:r>
              <w:t>Desc: 用户输入一个非常大的数值进行单位转换操作</w:t>
              <w:br/>
              <w:t>Obj: 验证系统在处理极大数值时的稳定性与准确性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系统正确显示转换结果，无崩溃或显示异常</w:t>
            </w:r>
          </w:p>
        </w:tc>
      </w:tr>
      <w:tr>
        <w:tc>
          <w:tcPr>
            <w:tcW w:type="dxa" w:w="1728"/>
          </w:tcPr>
          <w:p>
            <w:r>
              <w:t>TC-01-07</w:t>
            </w:r>
          </w:p>
        </w:tc>
        <w:tc>
          <w:tcPr>
            <w:tcW w:type="dxa" w:w="1728"/>
          </w:tcPr>
          <w:p>
            <w:r>
              <w:t>小数输入的转换准确性</w:t>
            </w:r>
          </w:p>
        </w:tc>
        <w:tc>
          <w:tcPr>
            <w:tcW w:type="dxa" w:w="1728"/>
          </w:tcPr>
          <w:p>
            <w:r>
              <w:t>Desc: 用户输入包含小数的数值进行单位转换</w:t>
              <w:br/>
              <w:t>Obj: 验证系统对小数运算的支持与精度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转换结果准确保留合理小数位，例如0.5千克转换为500克</w:t>
            </w:r>
          </w:p>
        </w:tc>
      </w:tr>
      <w:tr>
        <w:tc>
          <w:tcPr>
            <w:tcW w:type="dxa" w:w="1728"/>
          </w:tcPr>
          <w:p>
            <w:r>
              <w:t>TC-01-08</w:t>
            </w:r>
          </w:p>
        </w:tc>
        <w:tc>
          <w:tcPr>
            <w:tcW w:type="dxa" w:w="1728"/>
          </w:tcPr>
          <w:p>
            <w:r>
              <w:t>源单位与目标单位相同的情况</w:t>
            </w:r>
          </w:p>
        </w:tc>
        <w:tc>
          <w:tcPr>
            <w:tcW w:type="dxa" w:w="1728"/>
          </w:tcPr>
          <w:p>
            <w:r>
              <w:t>Desc: 用户选择相同的源单位和目标单位进行转换</w:t>
              <w:br/>
              <w:t>Obj: 验证系统在单位一致时的处理逻辑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转换结果显示原输入值，例如10升转为10升</w:t>
            </w:r>
          </w:p>
        </w:tc>
      </w:tr>
      <w:tr>
        <w:tc>
          <w:tcPr>
            <w:tcW w:type="dxa" w:w="1728"/>
          </w:tcPr>
          <w:p>
            <w:r>
              <w:t>TC-02-01</w:t>
            </w:r>
          </w:p>
        </w:tc>
        <w:tc>
          <w:tcPr>
            <w:tcW w:type="dxa" w:w="1728"/>
          </w:tcPr>
          <w:p>
            <w:r>
              <w:t>输入有效数字进行转换</w:t>
            </w:r>
          </w:p>
        </w:tc>
        <w:tc>
          <w:tcPr>
            <w:tcW w:type="dxa" w:w="1728"/>
          </w:tcPr>
          <w:p>
            <w:r>
              <w:t>Desc: 在转换功能页面输入合法的数字，验证是否正常执行转换操作</w:t>
              <w:br/>
              <w:t>Obj: 验证系统对合法输入的处理能力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系统成功执行单位转换，并显示正确的结果</w:t>
            </w:r>
          </w:p>
        </w:tc>
      </w:tr>
      <w:tr>
        <w:tc>
          <w:tcPr>
            <w:tcW w:type="dxa" w:w="1728"/>
          </w:tcPr>
          <w:p>
            <w:r>
              <w:t>TC-02-02</w:t>
            </w:r>
          </w:p>
        </w:tc>
        <w:tc>
          <w:tcPr>
            <w:tcW w:type="dxa" w:w="1728"/>
          </w:tcPr>
          <w:p>
            <w:r>
              <w:t>输入包含字母的字符串</w:t>
            </w:r>
          </w:p>
        </w:tc>
        <w:tc>
          <w:tcPr>
            <w:tcW w:type="dxa" w:w="1728"/>
          </w:tcPr>
          <w:p>
            <w:r>
              <w:t>Desc: 在数值输入框中输入包含英文字母的内容，尝试提交转换请求</w:t>
              <w:br/>
              <w:t>Obj: 验证系统是否阻止含字母的非法输入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系统阻止提交，并提示‘请输入有效的数字’</w:t>
            </w:r>
          </w:p>
        </w:tc>
      </w:tr>
      <w:tr>
        <w:tc>
          <w:tcPr>
            <w:tcW w:type="dxa" w:w="1728"/>
          </w:tcPr>
          <w:p>
            <w:r>
              <w:t>TC-02-03</w:t>
            </w:r>
          </w:p>
        </w:tc>
        <w:tc>
          <w:tcPr>
            <w:tcW w:type="dxa" w:w="1728"/>
          </w:tcPr>
          <w:p>
            <w:r>
              <w:t>输入特殊符号</w:t>
            </w:r>
          </w:p>
        </w:tc>
        <w:tc>
          <w:tcPr>
            <w:tcW w:type="dxa" w:w="1728"/>
          </w:tcPr>
          <w:p>
            <w:r>
              <w:t>Desc: 在输入框中输入特殊符号（如@、#、$等），检查系统的响应</w:t>
              <w:br/>
              <w:t>Obj: 验证系统对特殊字符的校验机制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系统阻止提交，并提示‘请输入有效的数字’</w:t>
            </w:r>
          </w:p>
        </w:tc>
      </w:tr>
      <w:tr>
        <w:tc>
          <w:tcPr>
            <w:tcW w:type="dxa" w:w="1728"/>
          </w:tcPr>
          <w:p>
            <w:r>
              <w:t>TC-02-04</w:t>
            </w:r>
          </w:p>
        </w:tc>
        <w:tc>
          <w:tcPr>
            <w:tcW w:type="dxa" w:w="1728"/>
          </w:tcPr>
          <w:p>
            <w:r>
              <w:t>输入空值</w:t>
            </w:r>
          </w:p>
        </w:tc>
        <w:tc>
          <w:tcPr>
            <w:tcW w:type="dxa" w:w="1728"/>
          </w:tcPr>
          <w:p>
            <w:r>
              <w:t>Desc: 不输入任何内容，直接尝试提交转换操作</w:t>
              <w:br/>
              <w:t>Obj: 验证系统对空输入的校验逻辑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系统阻止提交，并提示‘请输入有效的数字’</w:t>
            </w:r>
          </w:p>
        </w:tc>
      </w:tr>
      <w:tr>
        <w:tc>
          <w:tcPr>
            <w:tcW w:type="dxa" w:w="1728"/>
          </w:tcPr>
          <w:p>
            <w:r>
              <w:t>TC-02-05</w:t>
            </w:r>
          </w:p>
        </w:tc>
        <w:tc>
          <w:tcPr>
            <w:tcW w:type="dxa" w:w="1728"/>
          </w:tcPr>
          <w:p>
            <w:r>
              <w:t>输入仅包含空格的字符串</w:t>
            </w:r>
          </w:p>
        </w:tc>
        <w:tc>
          <w:tcPr>
            <w:tcW w:type="dxa" w:w="1728"/>
          </w:tcPr>
          <w:p>
            <w:r>
              <w:t>Desc: 在输入框中输入多个空格，测试系统是否识别为非法输入</w:t>
              <w:br/>
              <w:t>Obj: 验证系统对空白字符输入的处理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系统阻止提交，并提示‘请输入有效的数字’</w:t>
            </w:r>
          </w:p>
        </w:tc>
      </w:tr>
      <w:tr>
        <w:tc>
          <w:tcPr>
            <w:tcW w:type="dxa" w:w="1728"/>
          </w:tcPr>
          <w:p>
            <w:r>
              <w:t>TC-02-06</w:t>
            </w:r>
          </w:p>
        </w:tc>
        <w:tc>
          <w:tcPr>
            <w:tcW w:type="dxa" w:w="1728"/>
          </w:tcPr>
          <w:p>
            <w:r>
              <w:t>输入超长数字字符串</w:t>
            </w:r>
          </w:p>
        </w:tc>
        <w:tc>
          <w:tcPr>
            <w:tcW w:type="dxa" w:w="1728"/>
          </w:tcPr>
          <w:p>
            <w:r>
              <w:t>Desc: 输入一个远超常规范围的数字（如超过30位），测试系统边界处理</w:t>
              <w:br/>
              <w:t>Obj: 验证系统对极端长度数字的处理能力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系统应提示‘请输入有效的数字’或自动截断并校验，若截断后仍无效则提示错误</w:t>
            </w:r>
          </w:p>
        </w:tc>
      </w:tr>
      <w:tr>
        <w:tc>
          <w:tcPr>
            <w:tcW w:type="dxa" w:w="1728"/>
          </w:tcPr>
          <w:p>
            <w:r>
              <w:t>TC-03-01</w:t>
            </w:r>
          </w:p>
        </w:tc>
        <w:tc>
          <w:tcPr>
            <w:tcW w:type="dxa" w:w="1728"/>
          </w:tcPr>
          <w:p>
            <w:r>
              <w:t>验证主界面单位分类显示</w:t>
            </w:r>
          </w:p>
        </w:tc>
        <w:tc>
          <w:tcPr>
            <w:tcW w:type="dxa" w:w="1728"/>
          </w:tcPr>
          <w:p>
            <w:r>
              <w:t>Desc: 检查主界面中单位分类是否按类别清晰展示，如长度、重量、温度等。</w:t>
              <w:br/>
              <w:t>Obj: 确认单位分类标签清晰可见且排列有序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所有单位分类（如长度、面积、体积、温度、速度等）均以按钮或标签形式整齐显示，文字清晰可读</w:t>
            </w:r>
          </w:p>
        </w:tc>
      </w:tr>
      <w:tr>
        <w:tc>
          <w:tcPr>
            <w:tcW w:type="dxa" w:w="1728"/>
          </w:tcPr>
          <w:p>
            <w:r>
              <w:t>TC-03-02</w:t>
            </w:r>
          </w:p>
        </w:tc>
        <w:tc>
          <w:tcPr>
            <w:tcW w:type="dxa" w:w="1728"/>
          </w:tcPr>
          <w:p>
            <w:r>
              <w:t>验证输入框默认状态</w:t>
            </w:r>
          </w:p>
        </w:tc>
        <w:tc>
          <w:tcPr>
            <w:tcW w:type="dxa" w:w="1728"/>
          </w:tcPr>
          <w:p>
            <w:r>
              <w:t>Desc: 进入主界面后，检查数值输入框的初始状态是否为空并具有提示文本</w:t>
              <w:br/>
              <w:t>Obj: 确认用户能明确知道应在何处输入数值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输入框显示提示文字如'请输入数值'，光标可正常点击激活</w:t>
            </w:r>
          </w:p>
        </w:tc>
      </w:tr>
      <w:tr>
        <w:tc>
          <w:tcPr>
            <w:tcW w:type="dxa" w:w="1728"/>
          </w:tcPr>
          <w:p>
            <w:r>
              <w:t>TC-03-03</w:t>
            </w:r>
          </w:p>
        </w:tc>
        <w:tc>
          <w:tcPr>
            <w:tcW w:type="dxa" w:w="1728"/>
          </w:tcPr>
          <w:p>
            <w:r>
              <w:t>验证转换结果区域初始化</w:t>
            </w:r>
          </w:p>
        </w:tc>
        <w:tc>
          <w:tcPr>
            <w:tcW w:type="dxa" w:w="1728"/>
          </w:tcPr>
          <w:p>
            <w:r>
              <w:t>Desc: 打开应用时，结果区域应处于待命状态，不显示无效或残留数据</w:t>
              <w:br/>
              <w:t>Obj: 确保结果展示区在未输入前不误导用户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结果区域显示默认提示如'结果将在此显示'或为空白，无乱码或历史数据残留</w:t>
            </w:r>
          </w:p>
        </w:tc>
      </w:tr>
      <w:tr>
        <w:tc>
          <w:tcPr>
            <w:tcW w:type="dxa" w:w="1728"/>
          </w:tcPr>
          <w:p>
            <w:r>
              <w:t>TC-03-04</w:t>
            </w:r>
          </w:p>
        </w:tc>
        <w:tc>
          <w:tcPr>
            <w:tcW w:type="dxa" w:w="1728"/>
          </w:tcPr>
          <w:p>
            <w:r>
              <w:t>验证单位选择控件可操作性</w:t>
            </w:r>
          </w:p>
        </w:tc>
        <w:tc>
          <w:tcPr>
            <w:tcW w:type="dxa" w:w="1728"/>
          </w:tcPr>
          <w:p>
            <w:r>
              <w:t>Desc: 点击某一单位分类后，源单位和目标单位选择器应正常展开并列出对应单位</w:t>
              <w:br/>
              <w:t>Obj: 确认用户可以顺利选择要转换的单位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点击分类后，源和目标单位下拉框显示正确的单位列表（如米、千米、厘米），可滚动选择</w:t>
            </w:r>
          </w:p>
        </w:tc>
      </w:tr>
      <w:tr>
        <w:tc>
          <w:tcPr>
            <w:tcW w:type="dxa" w:w="1728"/>
          </w:tcPr>
          <w:p>
            <w:r>
              <w:t>TC-03-05</w:t>
            </w:r>
          </w:p>
        </w:tc>
        <w:tc>
          <w:tcPr>
            <w:tcW w:type="dxa" w:w="1728"/>
          </w:tcPr>
          <w:p>
            <w:r>
              <w:t>验证界面元素对齐与布局合理性</w:t>
            </w:r>
          </w:p>
        </w:tc>
        <w:tc>
          <w:tcPr>
            <w:tcW w:type="dxa" w:w="1728"/>
          </w:tcPr>
          <w:p>
            <w:r>
              <w:t>Desc: 检查主界面各组件（标题、输入框、按钮、结果）是否对齐、间距合理</w:t>
              <w:br/>
              <w:t>Obj: 提升视觉可读性和操作效率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所有界面元素布局整齐，无重叠、错位或文字截断现象，适配屏幕尺寸</w:t>
            </w:r>
          </w:p>
        </w:tc>
      </w:tr>
      <w:tr>
        <w:tc>
          <w:tcPr>
            <w:tcW w:type="dxa" w:w="1728"/>
          </w:tcPr>
          <w:p>
            <w:r>
              <w:t>TC-03-06</w:t>
            </w:r>
          </w:p>
        </w:tc>
        <w:tc>
          <w:tcPr>
            <w:tcW w:type="dxa" w:w="1728"/>
          </w:tcPr>
          <w:p>
            <w:r>
              <w:t>验证转换按钮状态与标识</w:t>
            </w:r>
          </w:p>
        </w:tc>
        <w:tc>
          <w:tcPr>
            <w:tcW w:type="dxa" w:w="1728"/>
          </w:tcPr>
          <w:p>
            <w:r>
              <w:t>Desc: 检查转换功能按钮是否带有明确文字标识且初始状态可用</w:t>
              <w:br/>
              <w:t>Obj: 确保用户能识别并正确触发转换操作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按钮显示'转换'或类似明确文字，默认启用状态，点击有反馈效果</w:t>
            </w:r>
          </w:p>
        </w:tc>
      </w:tr>
      <w:tr>
        <w:tc>
          <w:tcPr>
            <w:tcW w:type="dxa" w:w="1728"/>
          </w:tcPr>
          <w:p>
            <w:r>
              <w:t>TC-04-01</w:t>
            </w:r>
          </w:p>
        </w:tc>
        <w:tc>
          <w:tcPr>
            <w:tcW w:type="dxa" w:w="1728"/>
          </w:tcPr>
          <w:p>
            <w:r>
              <w:t>查看默认转换历史记录</w:t>
            </w:r>
          </w:p>
        </w:tc>
        <w:tc>
          <w:tcPr>
            <w:tcW w:type="dxa" w:w="1728"/>
          </w:tcPr>
          <w:p>
            <w:r>
              <w:t>Desc: 用户打开应用后，主界面应显示最近的转换记录列表</w:t>
              <w:br/>
              <w:t>Obj: 验证转换历史是否在主界面正确展示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主界面显示至少一条历史记录，包含原始值、源单位、目标单位和转换结果</w:t>
            </w:r>
          </w:p>
        </w:tc>
      </w:tr>
      <w:tr>
        <w:tc>
          <w:tcPr>
            <w:tcW w:type="dxa" w:w="1728"/>
          </w:tcPr>
          <w:p>
            <w:r>
              <w:t>TC-04-02</w:t>
            </w:r>
          </w:p>
        </w:tc>
        <w:tc>
          <w:tcPr>
            <w:tcW w:type="dxa" w:w="1728"/>
          </w:tcPr>
          <w:p>
            <w:r>
              <w:t>执行长度单位转换后查看历史记录</w:t>
            </w:r>
          </w:p>
        </w:tc>
        <w:tc>
          <w:tcPr>
            <w:tcW w:type="dxa" w:w="1728"/>
          </w:tcPr>
          <w:p>
            <w:r>
              <w:t>Desc: 用户进行一次米到英尺的转换操作后，检查该记录是否被添加至历史列表</w:t>
              <w:br/>
              <w:t>Obj: 验证新转换操作是否成功加入历史记录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历史记录中新增一条数据，显示原始值为5、源单位为米、目标单位为英尺、结果约为16.4</w:t>
            </w:r>
          </w:p>
        </w:tc>
      </w:tr>
      <w:tr>
        <w:tc>
          <w:tcPr>
            <w:tcW w:type="dxa" w:w="1728"/>
          </w:tcPr>
          <w:p>
            <w:r>
              <w:t>TC-04-03</w:t>
            </w:r>
          </w:p>
        </w:tc>
        <w:tc>
          <w:tcPr>
            <w:tcW w:type="dxa" w:w="1728"/>
          </w:tcPr>
          <w:p>
            <w:r>
              <w:t>点击复制历史记录内容</w:t>
            </w:r>
          </w:p>
        </w:tc>
        <w:tc>
          <w:tcPr>
            <w:tcW w:type="dxa" w:w="1728"/>
          </w:tcPr>
          <w:p>
            <w:r>
              <w:t>Desc: 用户点击某条历史记录，系统应将其转换结果复制到剪贴板</w:t>
              <w:br/>
              <w:t>Obj: 验证点击历史记录可触发复制功能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点击后弹出提示'已复制'，且剪贴板内容为转换结果数值</w:t>
            </w:r>
          </w:p>
        </w:tc>
      </w:tr>
      <w:tr>
        <w:tc>
          <w:tcPr>
            <w:tcW w:type="dxa" w:w="1728"/>
          </w:tcPr>
          <w:p>
            <w:r>
              <w:t>TC-04-04</w:t>
            </w:r>
          </w:p>
        </w:tc>
        <w:tc>
          <w:tcPr>
            <w:tcW w:type="dxa" w:w="1728"/>
          </w:tcPr>
          <w:p>
            <w:r>
              <w:t>清除单条历史记录</w:t>
            </w:r>
          </w:p>
        </w:tc>
        <w:tc>
          <w:tcPr>
            <w:tcW w:type="dxa" w:w="1728"/>
          </w:tcPr>
          <w:p>
            <w:r>
              <w:t>Desc: 用户长按某条历史记录并选择删除，该条目应从列表中移除</w:t>
              <w:br/>
              <w:t>Obj: 验证用户可手动删除指定的历史记录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被长按的记录从历史列表中消失，其余记录保持不变</w:t>
            </w:r>
          </w:p>
        </w:tc>
      </w:tr>
      <w:tr>
        <w:tc>
          <w:tcPr>
            <w:tcW w:type="dxa" w:w="1728"/>
          </w:tcPr>
          <w:p>
            <w:r>
              <w:t>TC-04-05</w:t>
            </w:r>
          </w:p>
        </w:tc>
        <w:tc>
          <w:tcPr>
            <w:tcW w:type="dxa" w:w="1728"/>
          </w:tcPr>
          <w:p>
            <w:r>
              <w:t>验证空历史记录状态</w:t>
            </w:r>
          </w:p>
        </w:tc>
        <w:tc>
          <w:tcPr>
            <w:tcW w:type="dxa" w:w="1728"/>
          </w:tcPr>
          <w:p>
            <w:r>
              <w:t>Desc: 当用户清空所有记录后，主界面应显示无历史记录的提示</w:t>
              <w:br/>
              <w:t>Obj: 验证无数据时界面友好提示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历史记录区域显示'暂无历史记录'或类似提示信息</w:t>
            </w:r>
          </w:p>
        </w:tc>
      </w:tr>
      <w:tr>
        <w:tc>
          <w:tcPr>
            <w:tcW w:type="dxa" w:w="1728"/>
          </w:tcPr>
          <w:p>
            <w:r>
              <w:t>TC-04-06</w:t>
            </w:r>
          </w:p>
        </w:tc>
        <w:tc>
          <w:tcPr>
            <w:tcW w:type="dxa" w:w="1728"/>
          </w:tcPr>
          <w:p>
            <w:r>
              <w:t>验证历史记录数量上限</w:t>
            </w:r>
          </w:p>
        </w:tc>
        <w:tc>
          <w:tcPr>
            <w:tcW w:type="dxa" w:w="1728"/>
          </w:tcPr>
          <w:p>
            <w:r>
              <w:t>Desc: 连续执行超过20次不同转换，检查系统是否仅保留最近20条记录</w:t>
              <w:br/>
              <w:t>Obj: 验证历史记录存储数量限制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历史记录最多显示20条，最老的一条自动被移除</w:t>
            </w:r>
          </w:p>
        </w:tc>
      </w:tr>
      <w:tr>
        <w:tc>
          <w:tcPr>
            <w:tcW w:type="dxa" w:w="1728"/>
          </w:tcPr>
          <w:p>
            <w:r>
              <w:t>TC-05-01</w:t>
            </w:r>
          </w:p>
        </w:tc>
        <w:tc>
          <w:tcPr>
            <w:tcW w:type="dxa" w:w="1728"/>
          </w:tcPr>
          <w:p>
            <w:r>
              <w:t>切换单位类别为主长度</w:t>
            </w:r>
          </w:p>
        </w:tc>
        <w:tc>
          <w:tcPr>
            <w:tcW w:type="dxa" w:w="1728"/>
          </w:tcPr>
          <w:p>
            <w:r>
              <w:t>Desc: 用户在主界面将单位类别切换为长度，验证输入框是否清空且单位选择器重置为默认单位</w:t>
              <w:br/>
              <w:t>Obj: 验证切换到长度单位时系统正确重置输入与单位选择状态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单位类别成功切换至长度，输入框内容为空，源单位和目标单位自动设置为默认值（如米）</w:t>
            </w:r>
          </w:p>
        </w:tc>
      </w:tr>
      <w:tr>
        <w:tc>
          <w:tcPr>
            <w:tcW w:type="dxa" w:w="1728"/>
          </w:tcPr>
          <w:p>
            <w:r>
              <w:t>TC-05-02</w:t>
            </w:r>
          </w:p>
        </w:tc>
        <w:tc>
          <w:tcPr>
            <w:tcW w:type="dxa" w:w="1728"/>
          </w:tcPr>
          <w:p>
            <w:r>
              <w:t>从长度切换至体积单位</w:t>
            </w:r>
          </w:p>
        </w:tc>
        <w:tc>
          <w:tcPr>
            <w:tcW w:type="dxa" w:w="1728"/>
          </w:tcPr>
          <w:p>
            <w:r>
              <w:t>Desc: 用户先选择长度单位，输入数值后切换至体积单位，检查输入是否清空且单位重置</w:t>
              <w:br/>
              <w:t>Obj: 验证不同单位类别间切换时的输入与单位状态重置行为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成功切换至体积单位，原输入内容被清除，源和目标单位变为体积默认单位（如升）</w:t>
            </w:r>
          </w:p>
        </w:tc>
      </w:tr>
      <w:tr>
        <w:tc>
          <w:tcPr>
            <w:tcW w:type="dxa" w:w="1728"/>
          </w:tcPr>
          <w:p>
            <w:r>
              <w:t>TC-05-03</w:t>
            </w:r>
          </w:p>
        </w:tc>
        <w:tc>
          <w:tcPr>
            <w:tcW w:type="dxa" w:w="1728"/>
          </w:tcPr>
          <w:p>
            <w:r>
              <w:t>连续快速切换多种单位类别</w:t>
            </w:r>
          </w:p>
        </w:tc>
        <w:tc>
          <w:tcPr>
            <w:tcW w:type="dxa" w:w="1728"/>
          </w:tcPr>
          <w:p>
            <w:r>
              <w:t>Desc: 用户在短时间内依次切换长度、重量、温度、体积等单位类别</w:t>
              <w:br/>
              <w:t>Obj: 验证频繁切换单位类别时系统的响应稳定性与状态重置正确性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每次切换均成功，每次切换后输入框清空，单位选择器始终重置为对应类别的默认单位</w:t>
            </w:r>
          </w:p>
        </w:tc>
      </w:tr>
      <w:tr>
        <w:tc>
          <w:tcPr>
            <w:tcW w:type="dxa" w:w="1728"/>
          </w:tcPr>
          <w:p>
            <w:r>
              <w:t>TC-05-04</w:t>
            </w:r>
          </w:p>
        </w:tc>
        <w:tc>
          <w:tcPr>
            <w:tcW w:type="dxa" w:w="1728"/>
          </w:tcPr>
          <w:p>
            <w:r>
              <w:t>切换至无历史记录的单位类别</w:t>
            </w:r>
          </w:p>
        </w:tc>
        <w:tc>
          <w:tcPr>
            <w:tcW w:type="dxa" w:w="1728"/>
          </w:tcPr>
          <w:p>
            <w:r>
              <w:t>Desc: 用户首次切换到某个未使用过的单位类别（如面积）</w:t>
              <w:br/>
              <w:t>Obj: 验证首次进入新单位类别时系统是否正确初始化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成功切换至面积单位，输入框为空，源和目标单位设为默认（如平方米）</w:t>
            </w:r>
          </w:p>
        </w:tc>
      </w:tr>
      <w:tr>
        <w:tc>
          <w:tcPr>
            <w:tcW w:type="dxa" w:w="1728"/>
          </w:tcPr>
          <w:p>
            <w:r>
              <w:t>TC-05-05</w:t>
            </w:r>
          </w:p>
        </w:tc>
        <w:tc>
          <w:tcPr>
            <w:tcW w:type="dxa" w:w="1728"/>
          </w:tcPr>
          <w:p>
            <w:r>
              <w:t>切换单位类别时保持界面响应</w:t>
            </w:r>
          </w:p>
        </w:tc>
        <w:tc>
          <w:tcPr>
            <w:tcW w:type="dxa" w:w="1728"/>
          </w:tcPr>
          <w:p>
            <w:r>
              <w:t>Desc: 用户点击单位下拉菜单并切换类别，观察界面是否卡顿或无响应</w:t>
              <w:br/>
              <w:t>Obj: 验证切换操作的流畅性与界面可用性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界面正常响应，无卡顿或崩溃，单位切换动画或刷新正常完成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