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mbria" w:cs="Cambria" w:eastAsia="Cambria" w:hAnsi="Cambria"/>
          <w:b/>
          <w:bCs/>
          <w:color w:val="0B3D24"/>
          <w:sz w:val="20"/>
          <w:szCs w:val="20"/>
        </w:rPr>
        <w:t xml:space="preserve">CENTRAL iGREEN · COBRANÇA &amp; QUALIDADE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POP — Procedimento Operacional Padrão</w:t>
      </w:r>
    </w:p>
    <w:p>
      <w:pPr>
        <w:pBdr>
          <w:bottom w:val="single" w:color="0B3D24" w:sz="12" w:space="6"/>
        </w:pBdr>
        <w:spacing w:after="300"/>
        <w:jc w:val="center"/>
      </w:pPr>
      <w:r>
        <w:rPr>
          <w:rFonts w:ascii="Cambria" w:cs="Cambria" w:eastAsia="Cambria" w:hAnsi="Cambria"/>
          <w:b/>
          <w:bCs/>
          <w:color w:val="0B3D24"/>
          <w:sz w:val="34"/>
          <w:szCs w:val="34"/>
        </w:rPr>
        <w:t xml:space="preserve">DISPARO 3C — PLANILHA DO DAVI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7"/>
          <w:szCs w:val="17"/>
        </w:rPr>
        <w:t xml:space="preserve">Créditos: Jennifer Silveira — jennifer.silveira@igreenenergy.com.br —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98"/>
      </w:tblGrid>
      <w:tr>
        <w:tc>
          <w:tcPr>
            <w:tcW w:type="dxa" w:w="3000"/>
            <w:shd w:fill="E8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24"/>
                <w:sz w:val="19"/>
                <w:szCs w:val="19"/>
              </w:rPr>
              <w:t xml:space="preserve">Processo</w:t>
            </w:r>
          </w:p>
        </w:tc>
        <w:tc>
          <w:tcPr>
            <w:tcW w:type="dxa" w:w="6398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Disparo de segunda via de boleto ao final do dia, para clientes que deram Promessa de Pagamento ou Segunda Via no dia</w:t>
            </w:r>
          </w:p>
        </w:tc>
      </w:tr>
      <w:tr>
        <w:tc>
          <w:tcPr>
            <w:tcW w:type="dxa" w:w="3000"/>
            <w:shd w:fill="E8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24"/>
                <w:sz w:val="19"/>
                <w:szCs w:val="19"/>
              </w:rPr>
              <w:t xml:space="preserve">Área responsável</w:t>
            </w:r>
          </w:p>
        </w:tc>
        <w:tc>
          <w:tcPr>
            <w:tcW w:type="dxa" w:w="6398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Cobrança &amp; Qualidade — Gestão de Inadimplência</w:t>
            </w:r>
          </w:p>
        </w:tc>
      </w:tr>
      <w:tr>
        <w:tc>
          <w:tcPr>
            <w:tcW w:type="dxa" w:w="3000"/>
            <w:shd w:fill="E8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24"/>
                <w:sz w:val="19"/>
                <w:szCs w:val="19"/>
              </w:rPr>
              <w:t xml:space="preserve">Sistemas utilizados</w:t>
            </w:r>
          </w:p>
        </w:tc>
        <w:tc>
          <w:tcPr>
            <w:tcW w:type="dxa" w:w="6398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3C Plus, Central Operacional iGreen, Planilha do Davi (Google Sheets)</w:t>
            </w:r>
          </w:p>
        </w:tc>
      </w:tr>
      <w:tr>
        <w:tc>
          <w:tcPr>
            <w:tcW w:type="dxa" w:w="3000"/>
            <w:shd w:fill="E8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24"/>
                <w:sz w:val="19"/>
                <w:szCs w:val="19"/>
              </w:rPr>
              <w:t xml:space="preserve">Frequência</w:t>
            </w:r>
          </w:p>
        </w:tc>
        <w:tc>
          <w:tcPr>
            <w:tcW w:type="dxa" w:w="6398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Diária — ao final do expediente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0B3D24" w:sz="8" w:space="4"/>
        </w:pBdr>
        <w:spacing w:after="150" w:before="300"/>
      </w:pPr>
      <w:r>
        <w:rPr>
          <w:rFonts w:ascii="Cambria" w:cs="Cambria" w:eastAsia="Cambria" w:hAnsi="Cambria"/>
          <w:b/>
          <w:bCs/>
          <w:color w:val="0B3D24"/>
          <w:sz w:val="30"/>
          <w:szCs w:val="30"/>
        </w:rPr>
        <w:t xml:space="preserve">Visão geral do processo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Este POP descreve o processo de Disparo 3C, feito todo final de dia — depois que o time de ligação já foi embora, por volta das 17h30/18h. Depois desse horário, é separada a base de ligações do próprio dia, filtrando os clientes que deram retorno de Promessa de Pagamento ou Segunda Via, e o disparo de segunda via do boleto é feito para esses clientes na planilha do Davi (base de disparo em Google Sheets).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Esse processo é semelhante ao de Subida de Lista de Ligação, mas com uma diferença importante: aqui o relatório do 3C Plus é de apenas 1 dia (o próprio dia em que o disparo está sendo feito), e não de 3 ou 4 dias úteis como na subida de lista.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0B84C" w:sz="4"/>
              <w:left w:val="single" w:color="E0B84C" w:sz="4"/>
              <w:bottom w:val="single" w:color="E0B84C" w:sz="4"/>
              <w:right w:val="single" w:color="E0B84C" w:sz="4"/>
            </w:tcBorders>
            <w:shd w:fill="FFF6E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⚠ Diferença-chave em relação à Subida de Lista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Subida de Lista de Ligação → relatório do 3C Plus de 3 ou 4 dias úteis (conforme o horário).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Disparo 3C → relatório do 3C Plus de apenas 1 dia: o próprio dia do disparo.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0B3D24" w:sz="8" w:space="4"/>
        </w:pBdr>
        <w:spacing w:after="150" w:before="300"/>
      </w:pPr>
      <w:r>
        <w:rPr>
          <w:rFonts w:ascii="Cambria" w:cs="Cambria" w:eastAsia="Cambria" w:hAnsi="Cambria"/>
          <w:b/>
          <w:bCs/>
          <w:color w:val="0B3D24"/>
          <w:sz w:val="30"/>
          <w:szCs w:val="30"/>
        </w:rPr>
        <w:t xml:space="preserve">Passo a passo detalhado</w:t>
      </w:r>
    </w:p>
    <w:p>
      <w:pPr>
        <w:shd w:fill="E8F0EB" w:val="clear"/>
        <w:spacing w:after="100" w:before="200"/>
      </w:pPr>
      <w:r>
        <w:rPr>
          <w:rFonts w:ascii="Cambria" w:cs="Cambria" w:eastAsia="Cambria" w:hAnsi="Cambria"/>
          <w:b/>
          <w:bCs/>
          <w:color w:val="0B3D24"/>
          <w:sz w:val="23"/>
          <w:szCs w:val="23"/>
        </w:rPr>
        <w:t xml:space="preserve">  ETAPA 1 — </w:t>
      </w:r>
      <w:r>
        <w:rPr>
          <w:rFonts w:ascii="Cambria" w:cs="Cambria" w:eastAsia="Cambria" w:hAnsi="Cambria"/>
          <w:b/>
          <w:bCs/>
          <w:color w:val="0B3D24"/>
          <w:sz w:val="23"/>
          <w:szCs w:val="23"/>
        </w:rPr>
        <w:t xml:space="preserve">Acessar o 3C Plus e gerar o relatório do dia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Acesse: https://igreenenergy.3c.plus/login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Vá em Relatórios → Ligações.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Selecione apenas o dia atual (o dia em que o disparo está sendo feito) — não é necessário selecionar 3 ou 4 dias, como na subida de lista.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Selecione todos os colaboradores.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Escolha o modelo de relatório: Simplificado.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Clique em Gerar CSV.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O arquivo será enviado por e-mail.</w:t>
      </w:r>
    </w:p>
    <w:p>
      <w:pPr>
        <w:shd w:fill="E8F0EB" w:val="clear"/>
        <w:spacing w:after="100" w:before="200"/>
      </w:pPr>
      <w:r>
        <w:rPr>
          <w:rFonts w:ascii="Cambria" w:cs="Cambria" w:eastAsia="Cambria" w:hAnsi="Cambria"/>
          <w:b/>
          <w:bCs/>
          <w:color w:val="0B3D24"/>
          <w:sz w:val="23"/>
          <w:szCs w:val="23"/>
        </w:rPr>
        <w:t xml:space="preserve">  ETAPA 2 — </w:t>
      </w:r>
      <w:r>
        <w:rPr>
          <w:rFonts w:ascii="Cambria" w:cs="Cambria" w:eastAsia="Cambria" w:hAnsi="Cambria"/>
          <w:b/>
          <w:bCs/>
          <w:color w:val="0B3D24"/>
          <w:sz w:val="23"/>
          <w:szCs w:val="23"/>
        </w:rPr>
        <w:t xml:space="preserve">Subir o relatório na Central Operacional iGreen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Acesse a Central Operacional iGreen, na aba Ferramentas.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Clique na caixinha Disparo 3C.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Arraste o relatório recebido por e-mail para a caixinha CSV Ligações 3C+.</w:t>
      </w:r>
    </w:p>
    <w:p>
      <w:pPr>
        <w:shd w:fill="E8F0EB" w:val="clear"/>
        <w:spacing w:after="100" w:before="200"/>
      </w:pPr>
      <w:r>
        <w:rPr>
          <w:rFonts w:ascii="Cambria" w:cs="Cambria" w:eastAsia="Cambria" w:hAnsi="Cambria"/>
          <w:b/>
          <w:bCs/>
          <w:color w:val="0B3D24"/>
          <w:sz w:val="23"/>
          <w:szCs w:val="23"/>
        </w:rPr>
        <w:t xml:space="preserve">  ETAPA 3 — </w:t>
      </w:r>
      <w:r>
        <w:rPr>
          <w:rFonts w:ascii="Cambria" w:cs="Cambria" w:eastAsia="Cambria" w:hAnsi="Cambria"/>
          <w:b/>
          <w:bCs/>
          <w:color w:val="0B3D24"/>
          <w:sz w:val="23"/>
          <w:szCs w:val="23"/>
        </w:rPr>
        <w:t xml:space="preserve">Filtrar e gerar o Excel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Clique no botão Filtrar.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Clique em Gerar Excel.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Será gerado um arquivo Excel com telefone e PDF do boleto já organizados.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Copie o telefone e o PDF gerados — esses dados serão usados na próxima etapa.</w:t>
      </w:r>
    </w:p>
    <w:p>
      <w:pPr>
        <w:shd w:fill="E8F0EB" w:val="clear"/>
        <w:spacing w:after="100" w:before="200"/>
      </w:pPr>
      <w:r>
        <w:rPr>
          <w:rFonts w:ascii="Cambria" w:cs="Cambria" w:eastAsia="Cambria" w:hAnsi="Cambria"/>
          <w:b/>
          <w:bCs/>
          <w:color w:val="0B3D24"/>
          <w:sz w:val="23"/>
          <w:szCs w:val="23"/>
        </w:rPr>
        <w:t xml:space="preserve">  ETAPA 4 — </w:t>
      </w:r>
      <w:r>
        <w:rPr>
          <w:rFonts w:ascii="Cambria" w:cs="Cambria" w:eastAsia="Cambria" w:hAnsi="Cambria"/>
          <w:b/>
          <w:bCs/>
          <w:color w:val="0B3D24"/>
          <w:sz w:val="23"/>
          <w:szCs w:val="23"/>
        </w:rPr>
        <w:t xml:space="preserve">Sinalizar os clientes de Segunda Via na planilha do Davi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Acesse a planilha do Davi (Google Sheets): https://docs.google.com/spreadsheets/d/15co9rVkqw6IRlXoZDPbNhJLqXAm4kSDG7EL7hqjctJM/edit?gid=0#gid=0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Cole o telefone e o CPF do cliente na planilha.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Sinalize todos os clientes filtrados como Segunda Via na coluna C (Solicitação).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Na coluna D (Status do envio), marque como Pendente.</w:t>
      </w:r>
    </w:p>
    <w:p>
      <w:pPr>
        <w:shd w:fill="E8F0EB" w:val="clear"/>
        <w:spacing w:after="100" w:before="200"/>
      </w:pPr>
      <w:r>
        <w:rPr>
          <w:rFonts w:ascii="Cambria" w:cs="Cambria" w:eastAsia="Cambria" w:hAnsi="Cambria"/>
          <w:b/>
          <w:bCs/>
          <w:color w:val="0B3D24"/>
          <w:sz w:val="23"/>
          <w:szCs w:val="23"/>
        </w:rPr>
        <w:t xml:space="preserve">  ETAPA 5 — </w:t>
      </w:r>
      <w:r>
        <w:rPr>
          <w:rFonts w:ascii="Cambria" w:cs="Cambria" w:eastAsia="Cambria" w:hAnsi="Cambria"/>
          <w:b/>
          <w:bCs/>
          <w:color w:val="0B3D24"/>
          <w:sz w:val="23"/>
          <w:szCs w:val="23"/>
        </w:rPr>
        <w:t xml:space="preserve">Atualizar o status dos disparos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Todos os clientes que estiverem com status de envio Erro → mude o status para Pendente.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Todos os clientes que estiverem com status Enviado → exclua da planilha.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Ao final, a planilha deve conter apenas os clientes com status Pendente.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0B3D24" w:sz="8" w:space="4"/>
        </w:pBdr>
        <w:spacing w:after="150" w:before="300"/>
      </w:pPr>
      <w:r>
        <w:rPr>
          <w:rFonts w:ascii="Cambria" w:cs="Cambria" w:eastAsia="Cambria" w:hAnsi="Cambria"/>
          <w:b/>
          <w:bCs/>
          <w:color w:val="0B3D24"/>
          <w:sz w:val="30"/>
          <w:szCs w:val="30"/>
        </w:rPr>
        <w:t xml:space="preserve">Checklist rápido de conferência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[ ] Gerei o relatório do 3C Plus somente do dia atual (não 3 ou 4 dias)?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[ ] Selecionei todos os colaboradores e o modelo Simplificado?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[ ] Subi o CSV na caixinha Disparo 3C da Central iGreen?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[ ] Cliquei em Filtrar e depois em Gerar Excel?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[ ] Copiei telefone e PDF gerados?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[ ] Colei telefone e CPF na planilha do Davi?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[ ] Sinalizei Segunda Via na coluna C e Pendente na coluna D?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[ ] Atualizei status Erro → Pendente?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[ ] Excluí da planilha os clientes com status Enviado?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[ ] A planilha ficou apenas com os status Pendente?</w:t>
      </w:r>
    </w:p>
    <w:p>
      <w:pPr>
        <w:spacing w:after="100"/>
      </w:pPr>
      <w:r>
        <w:t xml:space="preserve"/>
      </w:r>
    </w:p>
    <w:p>
      <w:pPr>
        <w:pBdr>
          <w:top w:val="single" w:color="CCCCCC" w:sz="4" w:space="4"/>
        </w:pBdr>
        <w:spacing w:after="40" w:before="300"/>
      </w:pPr>
      <w:r>
        <w:rPr>
          <w:rFonts w:ascii="Calibri" w:cs="Calibri" w:eastAsia="Calibri" w:hAnsi="Calibri"/>
          <w:i/>
          <w:iCs/>
          <w:color w:val="666666"/>
          <w:sz w:val="16"/>
          <w:szCs w:val="16"/>
        </w:rPr>
        <w:t xml:space="preserve">Documento de uso interno — Cobrança &amp; Qualidade iGreen Energy</w:t>
      </w:r>
    </w:p>
    <w:p>
      <w:r>
        <w:rPr>
          <w:rFonts w:ascii="Calibri" w:cs="Calibri" w:eastAsia="Calibri" w:hAnsi="Calibri"/>
          <w:i/>
          <w:iCs/>
          <w:color w:val="666666"/>
          <w:sz w:val="16"/>
          <w:szCs w:val="16"/>
        </w:rPr>
        <w:t xml:space="preserve">Créditos: Jennifer Silveira — jennifer.silveira@igreenenergy.com.br — 2026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2026-07-13T19:38:18.707Z</dcterms:created>
  <dcterms:modified xsi:type="dcterms:W3CDTF">2026-07-13T19:38:18.724Z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