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0B3D24"/>
          <w:sz w:val="20"/>
          <w:szCs w:val="20"/>
        </w:rPr>
        <w:t xml:space="preserve">CENTRAL iGREEN · COBRANÇA &amp; QUALIDADE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POP — Procedimento Operacional Padrão</w:t>
      </w:r>
    </w:p>
    <w:p>
      <w:pPr>
        <w:pBdr>
          <w:bottom w:val="single" w:color="0B3D24" w:sz="12" w:space="6"/>
        </w:pBdr>
        <w:spacing w:after="300"/>
        <w:jc w:val="center"/>
      </w:pPr>
      <w:r>
        <w:rPr>
          <w:rFonts w:ascii="Cambria" w:cs="Cambria" w:eastAsia="Cambria" w:hAnsi="Cambria"/>
          <w:b/>
          <w:bCs/>
          <w:color w:val="0B3D24"/>
          <w:sz w:val="34"/>
          <w:szCs w:val="34"/>
        </w:rPr>
        <w:t xml:space="preserve">DISPARO DE BOLETOS — CHATWOOT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Créditos: Jennifer Silveira — jennifer.silveira@igreenenergy.com.br —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98"/>
      </w:tblGrid>
      <w:tr>
        <w:tc>
          <w:tcPr>
            <w:tcW w:type="dxa" w:w="3000"/>
            <w:shd w:fill="E8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24"/>
                <w:sz w:val="19"/>
                <w:szCs w:val="19"/>
              </w:rPr>
              <w:t xml:space="preserve">Processo</w:t>
            </w:r>
          </w:p>
        </w:tc>
        <w:tc>
          <w:tcPr>
            <w:tcW w:type="dxa" w:w="6398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Geração da base de disparo de boletos e envio via Chatwoot</w:t>
            </w:r>
          </w:p>
        </w:tc>
      </w:tr>
      <w:tr>
        <w:tc>
          <w:tcPr>
            <w:tcW w:type="dxa" w:w="3000"/>
            <w:shd w:fill="E8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24"/>
                <w:sz w:val="19"/>
                <w:szCs w:val="19"/>
              </w:rPr>
              <w:t xml:space="preserve">Área responsável</w:t>
            </w:r>
          </w:p>
        </w:tc>
        <w:tc>
          <w:tcPr>
            <w:tcW w:type="dxa" w:w="6398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Cobrança &amp; Qualidade — Gestão de Inadimplência</w:t>
            </w:r>
          </w:p>
        </w:tc>
      </w:tr>
      <w:tr>
        <w:tc>
          <w:tcPr>
            <w:tcW w:type="dxa" w:w="3000"/>
            <w:shd w:fill="E8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24"/>
                <w:sz w:val="19"/>
                <w:szCs w:val="19"/>
              </w:rPr>
              <w:t xml:space="preserve">Sistemas utilizados</w:t>
            </w:r>
          </w:p>
        </w:tc>
        <w:tc>
          <w:tcPr>
            <w:tcW w:type="dxa" w:w="6398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Central Operacional iGreen, Chatwoot</w:t>
            </w:r>
          </w:p>
        </w:tc>
      </w:tr>
      <w:tr>
        <w:tc>
          <w:tcPr>
            <w:tcW w:type="dxa" w:w="3000"/>
            <w:shd w:fill="E8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24"/>
                <w:sz w:val="19"/>
                <w:szCs w:val="19"/>
              </w:rPr>
              <w:t xml:space="preserve">Frequência</w:t>
            </w:r>
          </w:p>
        </w:tc>
        <w:tc>
          <w:tcPr>
            <w:tcW w:type="dxa" w:w="6398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Conforme estratégia de disparo definida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0B3D24" w:sz="8" w:space="4"/>
        </w:pBdr>
        <w:spacing w:after="150" w:before="300"/>
      </w:pPr>
      <w:r>
        <w:rPr>
          <w:rFonts w:ascii="Cambria" w:cs="Cambria" w:eastAsia="Cambria" w:hAnsi="Cambria"/>
          <w:b/>
          <w:bCs/>
          <w:color w:val="0B3D24"/>
          <w:sz w:val="30"/>
          <w:szCs w:val="30"/>
        </w:rPr>
        <w:t xml:space="preserve">Visão geral do processo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Este POP descreve como preparar a base de clientes para disparo de boletos via Chatwoot. Diferente do processo de subida de lista para ligação, o disparo de boletos NÃO utiliza o 3C Plus — o fluxo é feito direto na Central Operacional iGreen, usando apenas o filtro Personalizado.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Após gerar a base, é feito o cruzamento (PROCV) com a base da Meet Call para remover clientes que já estão em negociação, e também o cruzamento com os disparos já realizados na mesma semana — um mesmo cliente não pode receber mais de um disparo por semana. Só então o disparo é realizado usando o template correto conforme a faixa de dias vencidos e o perfil da estratégia daquela ação.</w:t>
      </w:r>
    </w:p>
    <w:p>
      <w:pPr>
        <w:pStyle w:val="Heading1"/>
        <w:pBdr>
          <w:bottom w:val="single" w:color="0B3D24" w:sz="8" w:space="4"/>
        </w:pBdr>
        <w:spacing w:after="150" w:before="300"/>
      </w:pPr>
      <w:r>
        <w:rPr>
          <w:rFonts w:ascii="Cambria" w:cs="Cambria" w:eastAsia="Cambria" w:hAnsi="Cambria"/>
          <w:b/>
          <w:bCs/>
          <w:color w:val="0B3D24"/>
          <w:sz w:val="30"/>
          <w:szCs w:val="30"/>
        </w:rPr>
        <w:t xml:space="preserve">Passo a passo detalhado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1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Preparar o arquivo de entrada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Separe a planilha de clientes em atraso (base de energizados).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Não é necessário nenhum relatório do 3C Plus para este processo.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2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Acessar a Central Operacional iGreen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Acesse: https://igreenenergy9.github.io/Central_Operacional/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Vá até a aba Ferramentas.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Clique na caixinha Ligação Energizados.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3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Subir o arquivo no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Na 1ª caixinha (Planilha Base Energizado) → arraste a planilha de clientes em atraso.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2ª caixinha (Relatório 3C+) NÃO é utilizada neste processo — deixe em branco.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4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Definir a estratégia do disparo (aba Personalizado)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Para disparo de boletos, utilize sempre a aba Personalizado, definindo a faixa de dias vencidos e o valor mínimo de acordo com a estratégia da campanha.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Exemplo de estratégia: clientes de 3 a 30 dias vencidos, com valor total mínimo de R$ 150,00. Preencha os campos de faixa de dias e valor mínimo na aba Personalizado e clique em Exportar CSV.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5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Cruzamento com a base Meet Call e com disparos já feitos na semana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 a lista já gerada e exportada, faça um PROCV (VLOOKUP) cruzando os dados da lista gerada com os dados da base da Meet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Identifique os clientes que já constam na base da Meet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Esses clientes não podem estar na lista gerada — remova-os.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Além disso, faça também o cruzamento com a(s) lista(s) de disparo já enviada(s) na mesma semana.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 o cliente já recebeu um disparo nesta semana (mesmo que em outro dia ou outra campanha), ele não pode receber um novo disparo até a semana seguinte — remova-o também da lista atual.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Regra: um mesmo cliente não pode receber mais de um disparo na mesma semana, mesmo que os disparos sejam de estratégias ou faixas diferentes. O cruzamento contra os disparos já feitos evita duplicidade de contato e desgaste com o cliente.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6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Escolher o template correto para o disparo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escolha do template segue obrigatoriamente a faixa de dias vencidos da estratégia do disparo. O tom da mensagem precisa condizer com o tempo de atraso: quanto mais recente o débito, mais leve o texto; quanto mais antigo, mais firme a abordagem.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Importante: atualmente, o time da Comerc atua apenas na faixa de 3 a 30 dias vencidos — esse é o padrão operacional vigente, mas pode haver mudanças no futuro, já que a inadimplência está em constante mudança. Os templates de faixas mais longas (31 dias vencidos em diante) existem no material de apoio, mas hoje quem atua nessa faixa é o time específico da Meet Call, responsável pelas cobranças e disparos para esses clientes.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00"/>
        <w:gridCol w:w="2698"/>
      </w:tblGrid>
      <w:tr>
        <w:trPr>
          <w:tblHeader/>
        </w:trPr>
        <w:tc>
          <w:tcPr>
            <w:tcW w:type="dxa" w:w="500"/>
            <w:shd w:fill="0B3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0B3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Faixa / critério</w:t>
            </w:r>
          </w:p>
        </w:tc>
        <w:tc>
          <w:tcPr>
            <w:tcW w:type="dxa" w:w="3000"/>
            <w:shd w:fill="0B3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Tom da mensagem</w:t>
            </w:r>
          </w:p>
        </w:tc>
        <w:tc>
          <w:tcPr>
            <w:tcW w:type="dxa" w:w="2698"/>
            <w:shd w:fill="0B3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 principal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Primeira fatura (menos de 8 dias)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Leve — aviso amistoso</w:t>
            </w:r>
          </w:p>
        </w:tc>
        <w:tc>
          <w:tcPr>
            <w:tcW w:type="dxa" w:w="269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Acessar boleto / Negociar</w:t>
            </w:r>
          </w:p>
        </w:tc>
      </w:tr>
      <w:tr>
        <w:trPr>
          <w:tblHeader w:val="false"/>
        </w:trPr>
        <w:tc>
          <w:tcPr>
            <w:tcW w:type="dxa" w:w="500"/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3 a 30 dias — 1 a 3 boletos</w:t>
            </w:r>
          </w:p>
        </w:tc>
        <w:tc>
          <w:tcPr>
            <w:tcW w:type="dxa" w:w="3000"/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Leve/moderado — regularização</w:t>
            </w:r>
          </w:p>
        </w:tc>
        <w:tc>
          <w:tcPr>
            <w:tcW w:type="dxa" w:w="2698"/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Segunda via / Negociar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3 a 30 dias — 1 boleto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Leve — aviso simples</w:t>
            </w:r>
          </w:p>
        </w:tc>
        <w:tc>
          <w:tcPr>
            <w:tcW w:type="dxa" w:w="269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Somente informativo</w:t>
            </w:r>
          </w:p>
        </w:tc>
      </w:tr>
      <w:tr>
        <w:trPr>
          <w:tblHeader w:val="false"/>
        </w:trPr>
        <w:tc>
          <w:tcPr>
            <w:tcW w:type="dxa" w:w="500"/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8 a 31 dias</w:t>
            </w:r>
          </w:p>
        </w:tc>
        <w:tc>
          <w:tcPr>
            <w:tcW w:type="dxa" w:w="3000"/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Moderado — alerta de encargos</w:t>
            </w:r>
          </w:p>
        </w:tc>
        <w:tc>
          <w:tcPr>
            <w:tcW w:type="dxa" w:w="2698"/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Segunda via / Negociar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31 a 60 dias (ver PDF)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Moderado/firme</w:t>
            </w:r>
          </w:p>
        </w:tc>
        <w:tc>
          <w:tcPr>
            <w:tcW w:type="dxa" w:w="269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Segunda via / Negociar</w:t>
            </w:r>
          </w:p>
        </w:tc>
      </w:tr>
      <w:tr>
        <w:trPr>
          <w:tblHeader w:val="false"/>
        </w:trPr>
        <w:tc>
          <w:tcPr>
            <w:tcW w:type="dxa" w:w="500"/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61 a 90 dias</w:t>
            </w:r>
          </w:p>
        </w:tc>
        <w:tc>
          <w:tcPr>
            <w:tcW w:type="dxa" w:w="3000"/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Firme — risco de cancelamento do desconto</w:t>
            </w:r>
          </w:p>
        </w:tc>
        <w:tc>
          <w:tcPr>
            <w:tcW w:type="dxa" w:w="2698"/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Acessar boleto / Negociar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91 a 119 dias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Mais firme — notificação final</w:t>
            </w:r>
          </w:p>
        </w:tc>
        <w:tc>
          <w:tcPr>
            <w:tcW w:type="dxa" w:w="269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Acessar boleto / Negociar</w:t>
            </w:r>
          </w:p>
        </w:tc>
      </w:tr>
      <w:tr>
        <w:trPr>
          <w:tblHeader w:val="false"/>
        </w:trPr>
        <w:tc>
          <w:tcPr>
            <w:tcW w:type="dxa" w:w="500"/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Múltiplas faturas (2 ou mais)</w:t>
            </w:r>
          </w:p>
        </w:tc>
        <w:tc>
          <w:tcPr>
            <w:tcW w:type="dxa" w:w="3000"/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Moderado — regularização em lote</w:t>
            </w:r>
          </w:p>
        </w:tc>
        <w:tc>
          <w:tcPr>
            <w:tcW w:type="dxa" w:w="2698"/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Segunda via / Negociar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1 a 10 boletos — 3 a 120 dias vencidos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Adaptável conforme a faixa</w:t>
            </w:r>
          </w:p>
        </w:tc>
        <w:tc>
          <w:tcPr>
            <w:tcW w:type="dxa" w:w="269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Segunda via / Negociar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Consulte o PDF/HTML de templates para o texto completo, os botões de ação (Acessar boleto, Solicitar segunda via, Interesse em Negociar) e os placeholders a substituir ({{URL_DO_BOLETO}}, {{LINK_SEGUNDA_VIA}}, {{LINK_NEGOCIACAO}}) antes de cada disparo.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7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Realizar o disparo no Chatwoot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 a lista final validada (já sem os clientes da Meet Call) e o template correto selecionado, realize o disparo pelo Chatwoot.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Substitua todos os placeholders do template pelos links reais antes de enviar.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 o cliente clicar em "Interesse em Negociar", a conversa cai automaticamente para o time da Inadimplência Energizados.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B3D24" w:sz="8" w:space="4"/>
        </w:pBdr>
        <w:spacing w:after="150" w:before="300"/>
      </w:pPr>
      <w:r>
        <w:rPr>
          <w:rFonts w:ascii="Cambria" w:cs="Cambria" w:eastAsia="Cambria" w:hAnsi="Cambria"/>
          <w:b/>
          <w:bCs/>
          <w:color w:val="0B3D24"/>
          <w:sz w:val="30"/>
          <w:szCs w:val="30"/>
        </w:rPr>
        <w:t xml:space="preserve">Checklist rápido de conferência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Separei a planilha de clientes em atraso (sem necessidade de relatório do 3C Plus)?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Subi a planilha na 1ª caixinha da Central iGreen (Ligação Energizados)?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Deixei a 2ª caixinha (Relatório 3C+) em branco?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Usei a aba Personalizado com a faixa de dias e valor mínimo da estratégia?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Fiz o PROCV com a base da Meet Call e removi os clientes já em negociação?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Fiz o cruzamento com os disparos já enviados na mesma semana e removi os clientes repetidos?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Escolhi o template correto de acordo com a faixa de dias vencidos da estratégia?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Substitui todos os placeholders (boleto, segunda via, negociação) pelos links reais?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Realizei o disparo pelo Chatwoot?</w:t>
      </w:r>
    </w:p>
    <w:p>
      <w:pPr>
        <w:spacing w:after="100"/>
      </w:pPr>
      <w:r>
        <w:t xml:space="preserve"/>
      </w:r>
    </w:p>
    <w:p>
      <w:pPr>
        <w:pBdr>
          <w:top w:val="single" w:color="CCCCCC" w:sz="4" w:space="4"/>
        </w:pBdr>
        <w:spacing w:after="40" w:before="300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Documento de uso interno — Cobrança &amp; Qualidade iGreen Energy</w:t>
      </w:r>
    </w:p>
    <w:p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Créditos: Jennifer Silveira — jennifer.silveira@igreenenergy.com.br —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2026-07-13T19:19:25.943Z</dcterms:created>
  <dcterms:modified xsi:type="dcterms:W3CDTF">2026-07-13T19:19:25.943Z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