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自建plc通讯工具开发规划对标hslcommunication.dll"/>
    <w:p>
      <w:pPr>
        <w:pStyle w:val="1"/>
      </w:pPr>
      <w:r>
        <w:t xml:space="preserve">自建PLC通讯工具开发规划——对标HslCommunication.dll</w:t>
      </w:r>
    </w:p>
    <w:bookmarkStart w:id="31" w:name="核心架构设计"/>
    <w:p>
      <w:pPr>
        <w:pStyle w:val="2"/>
      </w:pPr>
      <w:r>
        <w:t xml:space="preserve">1. 核心架构设计</w:t>
      </w:r>
    </w:p>
    <w:bookmarkStart w:id="23" w:name="整体架构模式"/>
    <w:p>
      <w:pPr>
        <w:pStyle w:val="3"/>
      </w:pPr>
      <w:r>
        <w:t xml:space="preserve">1.1 整体架构模式</w:t>
      </w:r>
    </w:p>
    <w:bookmarkStart w:id="20" w:name="分层架构协议层传输层应用层"/>
    <w:p>
      <w:pPr>
        <w:pStyle w:val="4"/>
      </w:pPr>
      <w:r>
        <w:t xml:space="preserve">1.1.1 分层架构：协议层、传输层、应用层</w:t>
      </w:r>
    </w:p>
    <w:p>
      <w:pPr>
        <w:pStyle w:val="FirstParagraph"/>
      </w:pPr>
      <w:r>
        <w:t xml:space="preserve">工业通信库的可靠性高度依赖于清晰的分层架构。传输层作为最底层，封装TCP/IP或串口通信的全部细节，包括连接建立、数据收发、超时控制、连接状态监控等通用功能。在.NET环境下，这一层主要基于</w:t>
      </w:r>
      <w:r>
        <w:rPr>
          <w:rStyle w:val="VerbatimChar"/>
        </w:rPr>
        <w:t xml:space="preserve">TcpClient</w:t>
      </w:r>
      <w:r>
        <w:t xml:space="preserve">和</w:t>
      </w:r>
      <w:r>
        <w:rPr>
          <w:rStyle w:val="VerbatimChar"/>
        </w:rPr>
        <w:t xml:space="preserve">NetworkStream</w:t>
      </w:r>
      <w:r>
        <w:t xml:space="preserve">实现，采用异步模式（</w:t>
      </w:r>
      <w:r>
        <w:rPr>
          <w:rStyle w:val="VerbatimChar"/>
        </w:rPr>
        <w:t xml:space="preserve">ConnectAsync</w:t>
      </w:r>
      <w:r>
        <w:t xml:space="preserve">、</w:t>
      </w:r>
      <w:r>
        <w:rPr>
          <w:rStyle w:val="VerbatimChar"/>
        </w:rPr>
        <w:t xml:space="preserve">ReadAsync</w:t>
      </w:r>
      <w:r>
        <w:t xml:space="preserve">、</w:t>
      </w:r>
      <w:r>
        <w:rPr>
          <w:rStyle w:val="VerbatimChar"/>
        </w:rPr>
        <w:t xml:space="preserve">WriteAsync</w:t>
      </w:r>
      <w:r>
        <w:t xml:space="preserve">）避免阻塞UI线程，确保上位机程序的响应性。传输层的设计目标是协议无关性——无论是西门子S7、三菱MC还是欧姆龙FINS，都复用同一套网络基础设施，仅通过配置参数区分端口和超时策略。</w:t>
      </w:r>
    </w:p>
    <w:p>
      <w:pPr>
        <w:pStyle w:val="a0"/>
      </w:pPr>
      <w:r>
        <w:t xml:space="preserve">协议层是整个架构的技术核心，承担各品牌PLC私有协议的帧构造、解析与状态管理。这一层的复杂度最高，因为每个品牌的协议体系差异显著：</w:t>
      </w:r>
      <w:r>
        <w:rPr>
          <w:b/>
          <w:bCs/>
        </w:rPr>
        <w:t xml:space="preserve">西门子S7协议</w:t>
      </w:r>
      <w:r>
        <w:t xml:space="preserve">采用TPKT→COTP→S7Comm的三层嵌套结构，基于OSI模型简化实现，包含复杂的连接握手和PDU协商机制；</w:t>
      </w:r>
      <w:r>
        <w:rPr>
          <w:b/>
          <w:bCs/>
        </w:rPr>
        <w:t xml:space="preserve">三菱MC协议</w:t>
      </w:r>
      <w:r>
        <w:t xml:space="preserve">（MELSEC Communication Protocol）采用扁平的帧结构，3E帧（SLMP）副头部仅7字节，支持二进制和ASCII两种编码模式；</w:t>
      </w:r>
      <w:r>
        <w:rPr>
          <w:b/>
          <w:bCs/>
        </w:rPr>
        <w:t xml:space="preserve">欧姆龙FINS协议</w:t>
      </w:r>
      <w:r>
        <w:t xml:space="preserve">则在TCP连接后需要额外的节点地址握手，采用三维网络-节点-单元寻址体系。协议层需要为每种协议实现独立的帧组装器（Frame Builder）和响应解析器（Response Parser），同时提供统一的抽象接口供应用层调用。</w:t>
      </w:r>
    </w:p>
    <w:p>
      <w:pPr>
        <w:pStyle w:val="a0"/>
      </w:pPr>
      <w:r>
        <w:t xml:space="preserve">应用层面向最终开发者，提供简洁直观的API设计。这一层的核心目标是</w:t>
      </w:r>
      <w:r>
        <w:rPr>
          <w:b/>
          <w:bCs/>
        </w:rPr>
        <w:t xml:space="preserve">隐藏底层协议的复杂性</w:t>
      </w:r>
      <w:r>
        <w:t xml:space="preserve">，使开发者无需了解MC协议的3E帧结构或S7协议的COTP握手细节，即可完成PLC数据的读写操作。应用层应实现设备对象的生命周期管理、批量操作的优化调度、连接状态的实时通知机制，以及与其他工业软件（如MES、SCADA）的集成接口。HslCommunication的成功很大程度上源于其应用层API的易用性——几行代码即可完成连接和数据访问，这种设计理念值得借鉴。</w:t>
      </w:r>
    </w:p>
    <w:p>
      <w:pPr>
        <w:pStyle w:val="a0"/>
      </w:pPr>
      <w:r>
        <w:t xml:space="preserve">分层架构的优势在于各层职责明确、耦合度低，便于独立测试和迭代优化。当需要支持新的PLC品牌时，只需在协议层添加新的实现类；当网络通信技术演进时（如从TCP向TLS加密通信升级），也只需在传输层进行改造，对上层的协议实现保持透明。</w:t>
      </w:r>
    </w:p>
    <w:bookmarkEnd w:id="20"/>
    <w:bookmarkStart w:id="21" w:name="抽象基类设计plcbaseclient统一接口"/>
    <w:p>
      <w:pPr>
        <w:pStyle w:val="4"/>
      </w:pPr>
      <w:r>
        <w:t xml:space="preserve">1.1.2 抽象基类设计：PlcBaseClient统一接口</w:t>
      </w:r>
    </w:p>
    <w:p>
      <w:pPr>
        <w:pStyle w:val="FirstParagraph"/>
      </w:pPr>
      <w:r>
        <w:t xml:space="preserve">抽象基类</w:t>
      </w:r>
      <w:r>
        <w:rPr>
          <w:rStyle w:val="VerbatimChar"/>
        </w:rPr>
        <w:t xml:space="preserve">PlcBaseClient</w:t>
      </w:r>
      <w:r>
        <w:t xml:space="preserve">的设计质量直接决定了整个通讯库的易用性和扩展性。该基类需要提炼所有PLC品牌的共性特征，同时预留足够的扩展点以容纳各品牌的特殊需求。</w:t>
      </w:r>
    </w:p>
    <w:p>
      <w:pPr>
        <w:pStyle w:val="a0"/>
      </w:pPr>
      <w:r>
        <w:rPr>
          <w:b/>
          <w:bCs/>
        </w:rPr>
        <w:t xml:space="preserve">连接属性体系</w:t>
      </w:r>
      <w:r>
        <w:t xml:space="preserve">应包含：</w:t>
      </w:r>
    </w:p>
    <w:p>
      <w:pPr>
        <w:numPr>
          <w:ilvl w:val="0"/>
          <w:numId w:val="1001"/>
        </w:numPr>
      </w:pPr>
      <w:r>
        <w:rPr>
          <w:rStyle w:val="VerbatimChar"/>
        </w:rPr>
        <w:t xml:space="preserve">IpAddress</w:t>
      </w:r>
      <w:r>
        <w:t xml:space="preserve">：IP地址，字符串类型，支持IPv4和IPv6，在连接时解析为</w:t>
      </w:r>
      <w:r>
        <w:rPr>
          <w:rStyle w:val="VerbatimChar"/>
        </w:rPr>
        <w:t xml:space="preserve">IPAddress</w:t>
      </w:r>
      <w:r>
        <w:t xml:space="preserve">对象</w:t>
      </w:r>
    </w:p>
    <w:p>
      <w:pPr>
        <w:numPr>
          <w:ilvl w:val="0"/>
          <w:numId w:val="1001"/>
        </w:numPr>
      </w:pPr>
      <w:r>
        <w:rPr>
          <w:rStyle w:val="VerbatimChar"/>
        </w:rPr>
        <w:t xml:space="preserve">Port</w:t>
      </w:r>
      <w:r>
        <w:t xml:space="preserve">：端口号，整型，带品牌默认值（西门子102、三菱5002/8192、欧姆龙9600），允许显式覆盖</w:t>
      </w:r>
    </w:p>
    <w:p>
      <w:pPr>
        <w:numPr>
          <w:ilvl w:val="0"/>
          <w:numId w:val="1001"/>
        </w:numPr>
      </w:pPr>
      <w:r>
        <w:rPr>
          <w:rStyle w:val="VerbatimChar"/>
        </w:rPr>
        <w:t xml:space="preserve">ConnectTimeout</w:t>
      </w:r>
      <w:r>
        <w:t xml:space="preserve">/</w:t>
      </w:r>
      <w:r>
        <w:rPr>
          <w:rStyle w:val="VerbatimChar"/>
        </w:rPr>
        <w:t xml:space="preserve">ReadTimeout</w:t>
      </w:r>
      <w:r>
        <w:t xml:space="preserve">/</w:t>
      </w:r>
      <w:r>
        <w:rPr>
          <w:rStyle w:val="VerbatimChar"/>
        </w:rPr>
        <w:t xml:space="preserve">WriteTimeout</w:t>
      </w:r>
      <w:r>
        <w:t xml:space="preserve">：三级超时控制，单位毫秒，默认值5000ms</w:t>
      </w:r>
    </w:p>
    <w:p>
      <w:pPr>
        <w:numPr>
          <w:ilvl w:val="0"/>
          <w:numId w:val="1001"/>
        </w:numPr>
      </w:pPr>
      <w:r>
        <w:rPr>
          <w:rStyle w:val="VerbatimChar"/>
        </w:rPr>
        <w:t xml:space="preserve">IsConnected</w:t>
      </w:r>
      <w:r>
        <w:t xml:space="preserve">：连接状态，只读计算属性，结合TCP状态、最后通信时间戳和心跳检测综合判断</w:t>
      </w:r>
    </w:p>
    <w:p>
      <w:pPr>
        <w:pStyle w:val="FirstParagraph"/>
      </w:pPr>
      <w:r>
        <w:t xml:space="preserve">这些属性在三大品牌中均有对应需求，但默认值各不相同。基类设计应采用</w:t>
      </w:r>
      <w:r>
        <w:rPr>
          <w:b/>
          <w:bCs/>
        </w:rPr>
        <w:t xml:space="preserve">虚属性（virtual property）机制</w:t>
      </w:r>
      <w:r>
        <w:t xml:space="preserve">，允许派生类重写默认值，同时保持接口的一致性。</w:t>
      </w:r>
    </w:p>
    <w:p>
      <w:pPr>
        <w:pStyle w:val="a0"/>
      </w:pPr>
      <w:r>
        <w:rPr>
          <w:b/>
          <w:bCs/>
        </w:rPr>
        <w:t xml:space="preserve">核心操作方法</w:t>
      </w:r>
      <w:r>
        <w:t xml:space="preserve">必须包含同步和异步两套API：</w:t>
      </w:r>
    </w:p>
    <w:tbl>
      <w:tblPr>
        <w:tblStyle w:val="Table"/>
        <w:tblW w:type="pct" w:w="5000"/>
        <w:jc w:val="left"/>
        <w:tblLayout w:type="fixed"/>
        <w:tblLook w:firstRow="1" w:lastRow="0" w:firstColumn="0" w:lastColumn="0" w:noHBand="0" w:noVBand="0" w:val="0020"/>
      </w:tblPr>
      <w:tblGrid>
        <w:gridCol w:w="2160"/>
        <w:gridCol w:w="2160"/>
        <w:gridCol w:w="2160"/>
        <w:gridCol w:w="1440"/>
      </w:tblGrid>
      <w:tr>
        <w:trPr>
          <w:tblHeader w:val="on"/>
        </w:trPr>
        <w:tc>
          <w:tcPr/>
          <w:p>
            <w:pPr>
              <w:pStyle w:val="Compact"/>
              <w:jc w:val="left"/>
            </w:pPr>
            <w:r>
              <w:t xml:space="preserve">方法类型</w:t>
            </w:r>
          </w:p>
        </w:tc>
        <w:tc>
          <w:tcPr/>
          <w:p>
            <w:pPr>
              <w:pStyle w:val="Compact"/>
              <w:jc w:val="left"/>
            </w:pPr>
            <w:r>
              <w:t xml:space="preserve">同步签名</w:t>
            </w:r>
          </w:p>
        </w:tc>
        <w:tc>
          <w:tcPr/>
          <w:p>
            <w:pPr>
              <w:pStyle w:val="Compact"/>
              <w:jc w:val="left"/>
            </w:pPr>
            <w:r>
              <w:t xml:space="preserve">异步签名</w:t>
            </w:r>
          </w:p>
        </w:tc>
        <w:tc>
          <w:tcPr/>
          <w:p>
            <w:pPr>
              <w:pStyle w:val="Compact"/>
              <w:jc w:val="left"/>
            </w:pPr>
            <w:r>
              <w:t xml:space="preserve">说明</w:t>
            </w:r>
          </w:p>
        </w:tc>
      </w:tr>
      <w:tr>
        <w:tc>
          <w:tcPr/>
          <w:p>
            <w:pPr>
              <w:pStyle w:val="Compact"/>
              <w:jc w:val="left"/>
            </w:pPr>
            <w:r>
              <w:t xml:space="preserve">连接管理</w:t>
            </w:r>
          </w:p>
        </w:tc>
        <w:tc>
          <w:tcPr/>
          <w:p>
            <w:pPr>
              <w:pStyle w:val="Compact"/>
              <w:jc w:val="left"/>
            </w:pPr>
            <w:r>
              <w:rPr>
                <w:rStyle w:val="VerbatimChar"/>
              </w:rPr>
              <w:t xml:space="preserve">bool Connect()</w:t>
            </w:r>
          </w:p>
        </w:tc>
        <w:tc>
          <w:tcPr/>
          <w:p>
            <w:pPr>
              <w:pStyle w:val="Compact"/>
              <w:jc w:val="left"/>
            </w:pPr>
            <w:r>
              <w:rPr>
                <w:rStyle w:val="VerbatimChar"/>
              </w:rPr>
              <w:t xml:space="preserve">Task&lt;bool&gt; ConnectAsync()</w:t>
            </w:r>
          </w:p>
        </w:tc>
        <w:tc>
          <w:tcPr/>
          <w:p>
            <w:pPr>
              <w:pStyle w:val="Compact"/>
              <w:jc w:val="left"/>
            </w:pPr>
            <w:r>
              <w:t xml:space="preserve">建立完整协议连接</w:t>
            </w:r>
          </w:p>
        </w:tc>
      </w:tr>
      <w:tr>
        <w:tc>
          <w:tcPr/>
          <w:p>
            <w:pPr>
              <w:pStyle w:val="Compact"/>
              <w:jc w:val="left"/>
            </w:pPr>
            <w:r>
              <w:t xml:space="preserve">断开连接</w:t>
            </w:r>
          </w:p>
        </w:tc>
        <w:tc>
          <w:tcPr/>
          <w:p>
            <w:pPr>
              <w:pStyle w:val="Compact"/>
              <w:jc w:val="left"/>
            </w:pPr>
            <w:r>
              <w:rPr>
                <w:rStyle w:val="VerbatimChar"/>
              </w:rPr>
              <w:t xml:space="preserve">void Disconnect()</w:t>
            </w:r>
          </w:p>
        </w:tc>
        <w:tc>
          <w:tcPr/>
          <w:p>
            <w:pPr>
              <w:pStyle w:val="Compact"/>
              <w:jc w:val="left"/>
            </w:pPr>
            <w:r>
              <w:rPr>
                <w:rStyle w:val="VerbatimChar"/>
              </w:rPr>
              <w:t xml:space="preserve">Task DisconnectAsync()</w:t>
            </w:r>
          </w:p>
        </w:tc>
        <w:tc>
          <w:tcPr/>
          <w:p>
            <w:pPr>
              <w:pStyle w:val="Compact"/>
              <w:jc w:val="left"/>
            </w:pPr>
            <w:r>
              <w:t xml:space="preserve">优雅关闭连接</w:t>
            </w:r>
          </w:p>
        </w:tc>
      </w:tr>
      <w:tr>
        <w:tc>
          <w:tcPr/>
          <w:p>
            <w:pPr>
              <w:pStyle w:val="Compact"/>
              <w:jc w:val="left"/>
            </w:pPr>
            <w:r>
              <w:t xml:space="preserve">字节读取</w:t>
            </w:r>
          </w:p>
        </w:tc>
        <w:tc>
          <w:tcPr/>
          <w:p>
            <w:pPr>
              <w:pStyle w:val="Compact"/>
              <w:jc w:val="left"/>
            </w:pPr>
            <w:r>
              <w:rPr>
                <w:rStyle w:val="VerbatimChar"/>
              </w:rPr>
              <w:t xml:space="preserve">OperateResult&lt;byte[]&gt; ReadBytes(string address, ushort length)</w:t>
            </w:r>
          </w:p>
        </w:tc>
        <w:tc>
          <w:tcPr/>
          <w:p>
            <w:pPr>
              <w:pStyle w:val="Compact"/>
              <w:jc w:val="left"/>
            </w:pPr>
            <w:r>
              <w:rPr>
                <w:rStyle w:val="VerbatimChar"/>
              </w:rPr>
              <w:t xml:space="preserve">Task&lt;OperateResult&lt;byte[]&gt;&gt; ReadBytesAsync(...)</w:t>
            </w:r>
          </w:p>
        </w:tc>
        <w:tc>
          <w:tcPr/>
          <w:p>
            <w:pPr>
              <w:pStyle w:val="Compact"/>
              <w:jc w:val="left"/>
            </w:pPr>
            <w:r>
              <w:t xml:space="preserve">原始字节访问</w:t>
            </w:r>
          </w:p>
        </w:tc>
      </w:tr>
      <w:tr>
        <w:tc>
          <w:tcPr/>
          <w:p>
            <w:pPr>
              <w:pStyle w:val="Compact"/>
              <w:jc w:val="left"/>
            </w:pPr>
            <w:r>
              <w:t xml:space="preserve">类型化读取</w:t>
            </w:r>
          </w:p>
        </w:tc>
        <w:tc>
          <w:tcPr/>
          <w:p>
            <w:pPr>
              <w:pStyle w:val="Compact"/>
              <w:jc w:val="left"/>
            </w:pPr>
            <w:r>
              <w:rPr>
                <w:rStyle w:val="VerbatimChar"/>
              </w:rPr>
              <w:t xml:space="preserve">OperateResult&lt;T&gt; Read&lt;T&gt;(string address)</w:t>
            </w:r>
          </w:p>
        </w:tc>
        <w:tc>
          <w:tcPr/>
          <w:p>
            <w:pPr>
              <w:pStyle w:val="Compact"/>
              <w:jc w:val="left"/>
            </w:pPr>
            <w:r>
              <w:rPr>
                <w:rStyle w:val="VerbatimChar"/>
              </w:rPr>
              <w:t xml:space="preserve">Task&lt;OperateResult&lt;T&gt;&gt; ReadAsync&lt;T&gt;(...)</w:t>
            </w:r>
          </w:p>
        </w:tc>
        <w:tc>
          <w:tcPr/>
          <w:p>
            <w:pPr>
              <w:pStyle w:val="Compact"/>
              <w:jc w:val="left"/>
            </w:pPr>
            <w:r>
              <w:t xml:space="preserve">泛型自动转换</w:t>
            </w:r>
          </w:p>
        </w:tc>
      </w:tr>
      <w:tr>
        <w:tc>
          <w:tcPr/>
          <w:p>
            <w:pPr>
              <w:pStyle w:val="Compact"/>
              <w:jc w:val="left"/>
            </w:pPr>
            <w:r>
              <w:t xml:space="preserve">批量读取</w:t>
            </w:r>
          </w:p>
        </w:tc>
        <w:tc>
          <w:tcPr/>
          <w:p>
            <w:pPr>
              <w:pStyle w:val="Compact"/>
              <w:jc w:val="left"/>
            </w:pPr>
            <w:r>
              <w:rPr>
                <w:rStyle w:val="VerbatimChar"/>
              </w:rPr>
              <w:t xml:space="preserve">OperateResult&lt;T[]&gt; Read&lt;T&gt;(string address, ushort count)</w:t>
            </w:r>
          </w:p>
        </w:tc>
        <w:tc>
          <w:tcPr/>
          <w:p>
            <w:pPr>
              <w:pStyle w:val="Compact"/>
              <w:jc w:val="left"/>
            </w:pPr>
            <w:r>
              <w:rPr>
                <w:rStyle w:val="VerbatimChar"/>
              </w:rPr>
              <w:t xml:space="preserve">Task&lt;OperateResult&lt;T[]&gt;&gt; ReadBatchAsync&lt;T&gt;(...)</w:t>
            </w:r>
          </w:p>
        </w:tc>
        <w:tc>
          <w:tcPr/>
          <w:p>
            <w:pPr>
              <w:pStyle w:val="Compact"/>
              <w:jc w:val="left"/>
            </w:pPr>
            <w:r>
              <w:t xml:space="preserve">连续地址优化</w:t>
            </w:r>
          </w:p>
        </w:tc>
      </w:tr>
      <w:tr>
        <w:tc>
          <w:tcPr/>
          <w:p>
            <w:pPr>
              <w:pStyle w:val="Compact"/>
              <w:jc w:val="left"/>
            </w:pPr>
            <w:r>
              <w:t xml:space="preserve">写入操作</w:t>
            </w:r>
          </w:p>
        </w:tc>
        <w:tc>
          <w:tcPr/>
          <w:p>
            <w:pPr>
              <w:pStyle w:val="Compact"/>
              <w:jc w:val="left"/>
            </w:pPr>
            <w:r>
              <w:rPr>
                <w:rStyle w:val="VerbatimChar"/>
              </w:rPr>
              <w:t xml:space="preserve">OperateResult Write&lt;T&gt;(string address, T value)</w:t>
            </w:r>
          </w:p>
        </w:tc>
        <w:tc>
          <w:tcPr/>
          <w:p>
            <w:pPr>
              <w:pStyle w:val="Compact"/>
              <w:jc w:val="left"/>
            </w:pPr>
            <w:r>
              <w:rPr>
                <w:rStyle w:val="VerbatimChar"/>
              </w:rPr>
              <w:t xml:space="preserve">Task&lt;OperateResult&gt; WriteAsync&lt;T&gt;(...)</w:t>
            </w:r>
          </w:p>
        </w:tc>
        <w:tc>
          <w:tcPr/>
          <w:p>
            <w:pPr>
              <w:pStyle w:val="Compact"/>
              <w:jc w:val="left"/>
            </w:pPr>
            <w:r>
              <w:t xml:space="preserve">对称设计</w:t>
            </w:r>
          </w:p>
        </w:tc>
      </w:tr>
    </w:tbl>
    <w:p>
      <w:pPr>
        <w:pStyle w:val="a0"/>
      </w:pPr>
      <w:r>
        <w:t xml:space="preserve">泛型读写方法是提升开发效率的关键设计。工业现场的数据类型多样，包括布尔量（线圈状态）、16位整数（温度设定值）、32位浮点数（压力测量值）、字符串（产品批次号）等。基类应提供</w:t>
      </w:r>
      <w:r>
        <w:rPr>
          <w:rStyle w:val="VerbatimChar"/>
        </w:rPr>
        <w:t xml:space="preserve">Read&lt;T&gt;()</w:t>
      </w:r>
      <w:r>
        <w:t xml:space="preserve">和</w:t>
      </w:r>
      <w:r>
        <w:rPr>
          <w:rStyle w:val="VerbatimChar"/>
        </w:rPr>
        <w:t xml:space="preserve">Write&lt;T&gt;()</w:t>
      </w:r>
      <w:r>
        <w:t xml:space="preserve">泛型方法，通过类型参数自动处理字节长度计算、字节序转换和位操作。例如，</w:t>
      </w:r>
      <w:r>
        <w:rPr>
          <w:rStyle w:val="VerbatimChar"/>
        </w:rPr>
        <w:t xml:space="preserve">Read&lt;short&gt;("D100")</w:t>
      </w:r>
      <w:r>
        <w:t xml:space="preserve">应自动解析为从D寄存器100地址读取2字节并按Little-Endian转换为Int16。</w:t>
      </w:r>
    </w:p>
    <w:p>
      <w:pPr>
        <w:pStyle w:val="a0"/>
      </w:pPr>
      <w:r>
        <w:rPr>
          <w:b/>
          <w:bCs/>
        </w:rPr>
        <w:t xml:space="preserve">事件通知机制</w:t>
      </w:r>
      <w:r>
        <w:t xml:space="preserve">对于工业应用的实时监控至关重要。基类应定义以下事件：</w:t>
      </w:r>
    </w:p>
    <w:p>
      <w:pPr>
        <w:numPr>
          <w:ilvl w:val="0"/>
          <w:numId w:val="1002"/>
        </w:numPr>
      </w:pPr>
      <w:r>
        <w:rPr>
          <w:rStyle w:val="VerbatimChar"/>
        </w:rPr>
        <w:t xml:space="preserve">Connected</w:t>
      </w:r>
      <w:r>
        <w:t xml:space="preserve">：连接成功，包含协议版本、PLC型号等信息</w:t>
      </w:r>
    </w:p>
    <w:p>
      <w:pPr>
        <w:numPr>
          <w:ilvl w:val="0"/>
          <w:numId w:val="1002"/>
        </w:numPr>
      </w:pPr>
      <w:r>
        <w:rPr>
          <w:rStyle w:val="VerbatimChar"/>
        </w:rPr>
        <w:t xml:space="preserve">Disconnected</w:t>
      </w:r>
      <w:r>
        <w:t xml:space="preserve">：连接断开，需区分正常关闭与异常断开，包含断开原因和建议恢复策略</w:t>
      </w:r>
    </w:p>
    <w:p>
      <w:pPr>
        <w:numPr>
          <w:ilvl w:val="0"/>
          <w:numId w:val="1002"/>
        </w:numPr>
      </w:pPr>
      <w:r>
        <w:rPr>
          <w:rStyle w:val="VerbatimChar"/>
        </w:rPr>
        <w:t xml:space="preserve">DataReceived</w:t>
      </w:r>
      <w:r>
        <w:t xml:space="preserve">：数据接收通知，包含原始字节、解析后的值、地址信息和时间戳</w:t>
      </w:r>
    </w:p>
    <w:p>
      <w:pPr>
        <w:numPr>
          <w:ilvl w:val="0"/>
          <w:numId w:val="1002"/>
        </w:numPr>
      </w:pPr>
      <w:r>
        <w:rPr>
          <w:rStyle w:val="VerbatimChar"/>
        </w:rPr>
        <w:t xml:space="preserve">ErrorOccurred</w:t>
      </w:r>
      <w:r>
        <w:t xml:space="preserve">：错误发生，包含错误码、描述信息、操作类型和原始异常对象</w:t>
      </w:r>
    </w:p>
    <w:p>
      <w:pPr>
        <w:pStyle w:val="FirstParagraph"/>
      </w:pPr>
      <w:r>
        <w:t xml:space="preserve">这些事件采用.NET标准的事件模式实现（</w:t>
      </w:r>
      <w:r>
        <w:rPr>
          <w:rStyle w:val="VerbatimChar"/>
        </w:rPr>
        <w:t xml:space="preserve">EventHandler&lt;TEventArgs&gt;</w:t>
      </w:r>
      <w:r>
        <w:t xml:space="preserve">），确保与WPF、WinForms等UI框架的数据绑定机制兼容。事件处理器的执行需要注意线程安全——网络回调通常发生在后台线程，而UI更新需要在UI线程执行，因此事件参数的构造应当在线程安全的环境下完成，或者提供在特定同步上下文中触发事件的选项。</w:t>
      </w:r>
    </w:p>
    <w:bookmarkEnd w:id="21"/>
    <w:bookmarkStart w:id="22" w:name="品牌专属实现类继承体系"/>
    <w:p>
      <w:pPr>
        <w:pStyle w:val="4"/>
      </w:pPr>
      <w:r>
        <w:t xml:space="preserve">1.1.3 品牌专属实现类继承体系</w:t>
      </w:r>
    </w:p>
    <w:p>
      <w:pPr>
        <w:pStyle w:val="FirstParagraph"/>
      </w:pPr>
      <w:r>
        <w:t xml:space="preserve">在</w:t>
      </w:r>
      <w:r>
        <w:rPr>
          <w:rStyle w:val="VerbatimChar"/>
        </w:rPr>
        <w:t xml:space="preserve">PlcBaseClient</w:t>
      </w:r>
      <w:r>
        <w:t xml:space="preserve">基类之下，需要为每个PLC品牌建立专门的实现类层次。这种继承体系既要保证品牌间的API一致性，又要容纳各品牌的特殊功能。</w:t>
      </w:r>
    </w:p>
    <w:tbl>
      <w:tblPr>
        <w:tblStyle w:val="Table"/>
        <w:tblW w:type="pct" w:w="5000"/>
        <w:jc w:val="left"/>
        <w:tblLayout w:type="fixed"/>
        <w:tblLook w:firstRow="1" w:lastRow="0" w:firstColumn="0" w:lastColumn="0" w:noHBand="0" w:noVBand="0" w:val="0020"/>
      </w:tblPr>
      <w:tblGrid>
        <w:gridCol w:w="1540"/>
        <w:gridCol w:w="2420"/>
        <w:gridCol w:w="1980"/>
        <w:gridCol w:w="1980"/>
      </w:tblGrid>
      <w:tr>
        <w:trPr>
          <w:tblHeader w:val="on"/>
        </w:trPr>
        <w:tc>
          <w:tcPr/>
          <w:p>
            <w:pPr>
              <w:pStyle w:val="Compact"/>
              <w:jc w:val="left"/>
            </w:pPr>
            <w:r>
              <w:t xml:space="preserve">实现类</w:t>
            </w:r>
          </w:p>
        </w:tc>
        <w:tc>
          <w:tcPr/>
          <w:p>
            <w:pPr>
              <w:pStyle w:val="Compact"/>
              <w:jc w:val="left"/>
            </w:pPr>
            <w:r>
              <w:t xml:space="preserve">目标PLC系列</w:t>
            </w:r>
          </w:p>
        </w:tc>
        <w:tc>
          <w:tcPr/>
          <w:p>
            <w:pPr>
              <w:pStyle w:val="Compact"/>
              <w:jc w:val="left"/>
            </w:pPr>
            <w:r>
              <w:t xml:space="preserve">核心特性</w:t>
            </w:r>
          </w:p>
        </w:tc>
        <w:tc>
          <w:tcPr/>
          <w:p>
            <w:pPr>
              <w:pStyle w:val="Compact"/>
              <w:jc w:val="left"/>
            </w:pPr>
            <w:r>
              <w:t xml:space="preserve">协议变体</w:t>
            </w:r>
          </w:p>
        </w:tc>
      </w:tr>
      <w:tr>
        <w:tc>
          <w:tcPr/>
          <w:p>
            <w:pPr>
              <w:pStyle w:val="Compact"/>
              <w:jc w:val="left"/>
            </w:pPr>
            <w:r>
              <w:rPr>
                <w:rStyle w:val="VerbatimChar"/>
              </w:rPr>
              <w:t xml:space="preserve">SiemensS7Client</w:t>
            </w:r>
          </w:p>
        </w:tc>
        <w:tc>
          <w:tcPr/>
          <w:p>
            <w:pPr>
              <w:pStyle w:val="Compact"/>
              <w:jc w:val="left"/>
            </w:pPr>
            <w:r>
              <w:t xml:space="preserve">S7-200/300/400/1200/1500</w:t>
            </w:r>
          </w:p>
        </w:tc>
        <w:tc>
          <w:tcPr/>
          <w:p>
            <w:pPr>
              <w:pStyle w:val="Compact"/>
              <w:jc w:val="left"/>
            </w:pPr>
            <w:r>
              <w:t xml:space="preserve">CPU类型枚举、机架/插槽配置、PDU大小协商</w:t>
            </w:r>
          </w:p>
        </w:tc>
        <w:tc>
          <w:tcPr/>
          <w:p>
            <w:pPr>
              <w:pStyle w:val="Compact"/>
              <w:jc w:val="left"/>
            </w:pPr>
            <w:r>
              <w:t xml:space="preserve">经典S7Comm、S7Comm-Plus</w:t>
            </w:r>
          </w:p>
        </w:tc>
      </w:tr>
      <w:tr>
        <w:tc>
          <w:tcPr/>
          <w:p>
            <w:pPr>
              <w:pStyle w:val="Compact"/>
              <w:jc w:val="left"/>
            </w:pPr>
            <w:r>
              <w:rPr>
                <w:rStyle w:val="VerbatimChar"/>
              </w:rPr>
              <w:t xml:space="preserve">MitsubishiMcClient</w:t>
            </w:r>
          </w:p>
        </w:tc>
        <w:tc>
          <w:tcPr/>
          <w:p>
            <w:pPr>
              <w:pStyle w:val="Compact"/>
              <w:jc w:val="left"/>
            </w:pPr>
            <w:r>
              <w:t xml:space="preserve">FX5U、Q、L、iQ-R、iQ-F</w:t>
            </w:r>
          </w:p>
        </w:tc>
        <w:tc>
          <w:tcPr/>
          <w:p>
            <w:pPr>
              <w:pStyle w:val="Compact"/>
              <w:jc w:val="left"/>
            </w:pPr>
            <w:r>
              <w:t xml:space="preserve">3E/4E帧选择、软元件代码映射、监视定时器</w:t>
            </w:r>
          </w:p>
        </w:tc>
        <w:tc>
          <w:tcPr/>
          <w:p>
            <w:pPr>
              <w:pStyle w:val="Compact"/>
              <w:jc w:val="left"/>
            </w:pPr>
            <w:r>
              <w:t xml:space="preserve">SLMP、MC协议</w:t>
            </w:r>
          </w:p>
        </w:tc>
      </w:tr>
      <w:tr>
        <w:tc>
          <w:tcPr/>
          <w:p>
            <w:pPr>
              <w:pStyle w:val="Compact"/>
              <w:jc w:val="left"/>
            </w:pPr>
            <w:r>
              <w:rPr>
                <w:rStyle w:val="VerbatimChar"/>
              </w:rPr>
              <w:t xml:space="preserve">OmronFinsClient</w:t>
            </w:r>
          </w:p>
        </w:tc>
        <w:tc>
          <w:tcPr/>
          <w:p>
            <w:pPr>
              <w:pStyle w:val="Compact"/>
              <w:jc w:val="left"/>
            </w:pPr>
            <w:r>
              <w:t xml:space="preserve">CP1H、CJ2M、CS1G、NJ</w:t>
            </w:r>
          </w:p>
        </w:tc>
        <w:tc>
          <w:tcPr/>
          <w:p>
            <w:pPr>
              <w:pStyle w:val="Compact"/>
              <w:jc w:val="left"/>
            </w:pPr>
            <w:r>
              <w:t xml:space="preserve">FINS头处理、节点号交换、内存区代码支持</w:t>
            </w:r>
          </w:p>
        </w:tc>
        <w:tc>
          <w:tcPr/>
          <w:p>
            <w:pPr>
              <w:pStyle w:val="Compact"/>
              <w:jc w:val="left"/>
            </w:pPr>
            <w:r>
              <w:t xml:space="preserve">FINS/TCP、FINS/UDP</w:t>
            </w:r>
          </w:p>
        </w:tc>
      </w:tr>
    </w:tbl>
    <w:p>
      <w:pPr>
        <w:pStyle w:val="a0"/>
      </w:pPr>
      <w:r>
        <w:rPr>
          <w:b/>
          <w:bCs/>
        </w:rPr>
        <w:t xml:space="preserve">西门子S7系列</w:t>
      </w:r>
      <w:r>
        <w:t xml:space="preserve">的实现类</w:t>
      </w:r>
      <w:r>
        <w:rPr>
          <w:rStyle w:val="VerbatimChar"/>
        </w:rPr>
        <w:t xml:space="preserve">SiemensS7Client</w:t>
      </w:r>
      <w:r>
        <w:t xml:space="preserve">需要处理：CPU类型枚举（S7-200、S7-300、S7-400、S7-1200、S7-1500），不同型号的机架号（Rack）和插槽号（Slot）配置差异；连接建立时的TPKT+COTP+S7Comm三层握手序列；数据块（DB）访问的优化支持，包括DB号的显式指定和隐式解析；以及S7-1200/1500特有的访问级别和安全设置处理。该实现类还需要处理西门子协议中的PDU大小协商机制，根据PLC型号动态调整单次读写的最大数据长度。</w:t>
      </w:r>
    </w:p>
    <w:p>
      <w:pPr>
        <w:pStyle w:val="a0"/>
      </w:pPr>
      <w:r>
        <w:rPr>
          <w:b/>
          <w:bCs/>
        </w:rPr>
        <w:t xml:space="preserve">三菱MELSEC系列</w:t>
      </w:r>
      <w:r>
        <w:t xml:space="preserve">的实现类</w:t>
      </w:r>
      <w:r>
        <w:rPr>
          <w:rStyle w:val="VerbatimChar"/>
        </w:rPr>
        <w:t xml:space="preserve">MitsubishiMcClient</w:t>
      </w:r>
      <w:r>
        <w:t xml:space="preserve">专注于MC协议（MELSEC Communication Protocol）的实现，支持3E帧（SLMP/3E帧）用于iQ-F/iQ-R系列，4E帧用于Q系列，4C帧用于串口通信。其核心特征包括：软元件代码的完整映射表（D寄存器0xA8、M继电器0x90、X输入0x9C、Y输出0x9D等）；以及监视定时器（Watchdog Timer）的灵活配置。三菱协议的地址表示具有独特性，如”D100”表示D寄存器100号，而”X0F”表示X输入的第15位，实现类需要提供健壮的地址解析器来处理这些变体格式。</w:t>
      </w:r>
    </w:p>
    <w:p>
      <w:pPr>
        <w:pStyle w:val="a0"/>
      </w:pPr>
      <w:r>
        <w:rPr>
          <w:b/>
          <w:bCs/>
        </w:rPr>
        <w:t xml:space="preserve">欧姆龙FINS系列</w:t>
      </w:r>
      <w:r>
        <w:t xml:space="preserve">的实现类</w:t>
      </w:r>
      <w:r>
        <w:rPr>
          <w:rStyle w:val="VerbatimChar"/>
        </w:rPr>
        <w:t xml:space="preserve">OmronFinsClient</w:t>
      </w:r>
      <w:r>
        <w:t xml:space="preserve">负责FINS（Factory Interface Network Service）协议的处理，其技术要点包括：FINS头（</w:t>
      </w:r>
      <w:r>
        <w:t xml:space="preserve">“</w:t>
      </w:r>
      <w:r>
        <w:t xml:space="preserve">FINS</w:t>
      </w:r>
      <w:r>
        <w:t xml:space="preserve">”</w:t>
      </w:r>
      <w:r>
        <w:t xml:space="preserve">四字魔数）的自动添加；握手过程中的客户端节点号与服务器节点号交换；内存区域代码的完整支持（CIO 0x30、DM 0x82、HR 0x32、AR 0x33、TIM 0x09、CNT 0x09等）；以及路由表配置以支持跨网络通信。欧姆龙协议的特殊之处在于其节点寻址机制，实现类需要维护本地节点号和PLC节点号的状态，并在每个FINS命令帧中正确填充这些字段。</w:t>
      </w:r>
    </w:p>
    <w:p>
      <w:pPr>
        <w:pStyle w:val="a0"/>
      </w:pPr>
      <w:r>
        <w:t xml:space="preserve">继承体系的设计还应考虑同一品牌内不同系列的兼容性。例如，三菱的FX5U（iQ-F系列）与Q03UDECPU（Q系列）在MC协议细节上存在差异，可以通过在</w:t>
      </w:r>
      <w:r>
        <w:rPr>
          <w:rStyle w:val="VerbatimChar"/>
        </w:rPr>
        <w:t xml:space="preserve">MitsubishiMcClient</w:t>
      </w:r>
      <w:r>
        <w:t xml:space="preserve">下再派生</w:t>
      </w:r>
      <w:r>
        <w:rPr>
          <w:rStyle w:val="VerbatimChar"/>
        </w:rPr>
        <w:t xml:space="preserve">MitsubishiMcNetClient</w:t>
      </w:r>
      <w:r>
        <w:t xml:space="preserve">（以太网）和</w:t>
      </w:r>
      <w:r>
        <w:rPr>
          <w:rStyle w:val="VerbatimChar"/>
        </w:rPr>
        <w:t xml:space="preserve">MitsubishiMcSerialClient</w:t>
      </w:r>
      <w:r>
        <w:t xml:space="preserve">（串口），或通过构造函数参数配置帧格式版本，来灵活应对这些变化。这种设计避免了类爆炸问题，同时保持了代码的复用性。</w:t>
      </w:r>
    </w:p>
    <w:bookmarkEnd w:id="22"/>
    <w:bookmarkEnd w:id="23"/>
    <w:bookmarkStart w:id="27" w:name="关键抽象成员定义"/>
    <w:p>
      <w:pPr>
        <w:pStyle w:val="3"/>
      </w:pPr>
      <w:r>
        <w:t xml:space="preserve">1.2 关键抽象成员定义</w:t>
      </w:r>
    </w:p>
    <w:bookmarkStart w:id="24" w:name="连接属性ipaddressporttimeoutisconnected"/>
    <w:p>
      <w:pPr>
        <w:pStyle w:val="4"/>
      </w:pPr>
      <w:r>
        <w:t xml:space="preserve">1.2.1 连接属性：IpAddress、Port、Timeout、IsConnected</w:t>
      </w:r>
    </w:p>
    <w:p>
      <w:pPr>
        <w:pStyle w:val="FirstParagraph"/>
      </w:pPr>
      <w:r>
        <w:t xml:space="preserve">连接属性的设计需要兼顾功能完整性和使用便捷性。</w:t>
      </w:r>
      <w:r>
        <w:rPr>
          <w:rStyle w:val="VerbatimChar"/>
        </w:rPr>
        <w:t xml:space="preserve">IpAddress</w:t>
      </w:r>
      <w:r>
        <w:t xml:space="preserve">属性作为字符串类型实现，接受标准点分十进制IPv4地址格式，在对象构造时设置，连接建立后变为只读状态，防止运行时的非法修改导致连接异常。属性设置器应包含正则表达式验证，确保输入符合IPv4地址规范，对于需要支持IPv6的场景可扩展为同时接受IPv6格式。在工业现场应用中，PLC的IP地址通常由网络管理员统一规划，该属性的设计应支持从配置文件或数据库的动态加载。</w:t>
      </w:r>
    </w:p>
    <w:p>
      <w:pPr>
        <w:pStyle w:val="a0"/>
      </w:pPr>
      <w:r>
        <w:rPr>
          <w:rStyle w:val="VerbatimChar"/>
        </w:rPr>
        <w:t xml:space="preserve">Port</w:t>
      </w:r>
      <w:r>
        <w:t xml:space="preserve">属性为16位无符号整数（ushort），默认值为0表示”使用品牌默认端口”。这一设计避免了用户在简单场景下必须记忆各品牌默认端口的负担——当Port保持为0时，</w:t>
      </w:r>
      <w:r>
        <w:rPr>
          <w:rStyle w:val="VerbatimChar"/>
        </w:rPr>
        <w:t xml:space="preserve">Connect()</w:t>
      </w:r>
      <w:r>
        <w:t xml:space="preserve">方法会根据实现类类型自动选择适当默认值（西门子102、三菱5002、欧姆龙9600）。用户显式设置Port值时，该值覆盖默认行为，满足非标准端口部署的需求。属性验证需确保值在1-65535的有效范围内，且避开系统保留端口（如低于1024的端口在Linux下需要特权）。</w:t>
      </w:r>
    </w:p>
    <w:p>
      <w:pPr>
        <w:pStyle w:val="a0"/>
      </w:pPr>
      <w:r>
        <w:t xml:space="preserve">超时属性组包含</w:t>
      </w:r>
      <w:r>
        <w:rPr>
          <w:rStyle w:val="VerbatimChar"/>
        </w:rPr>
        <w:t xml:space="preserve">ConnectTimeout</w:t>
      </w:r>
      <w:r>
        <w:t xml:space="preserve">、</w:t>
      </w:r>
      <w:r>
        <w:rPr>
          <w:rStyle w:val="VerbatimChar"/>
        </w:rPr>
        <w:t xml:space="preserve">ReadTimeout</w:t>
      </w:r>
      <w:r>
        <w:t xml:space="preserve">、</w:t>
      </w:r>
      <w:r>
        <w:rPr>
          <w:rStyle w:val="VerbatimChar"/>
        </w:rPr>
        <w:t xml:space="preserve">WriteTimeout</w:t>
      </w:r>
      <w:r>
        <w:t xml:space="preserve">三个独立设置，均以毫秒为单位，默认值为5000ms（5秒）。工业网络的延迟特性差异显著：本地局域网通常低于10ms，而跨厂区的VPN连接可能达到数百毫秒。独立的超时设置允许用户针对连接建立、数据读取、数据写入等不同阶段配置差异化的超时策略。例如，连接建立可以容忍较长等待（10秒），而高频数据采集的读取超时则应设置较短（1秒）以快速失败并重试。这些属性底层映射到</w:t>
      </w:r>
      <w:r>
        <w:rPr>
          <w:rStyle w:val="VerbatimChar"/>
        </w:rPr>
        <w:t xml:space="preserve">TcpClient</w:t>
      </w:r>
      <w:r>
        <w:t xml:space="preserve">和</w:t>
      </w:r>
      <w:r>
        <w:rPr>
          <w:rStyle w:val="VerbatimChar"/>
        </w:rPr>
        <w:t xml:space="preserve">NetworkStream</w:t>
      </w:r>
      <w:r>
        <w:t xml:space="preserve">的</w:t>
      </w:r>
      <w:r>
        <w:rPr>
          <w:rStyle w:val="VerbatimChar"/>
        </w:rPr>
        <w:t xml:space="preserve">ReceiveTimeout</w:t>
      </w:r>
      <w:r>
        <w:t xml:space="preserve">/</w:t>
      </w:r>
      <w:r>
        <w:rPr>
          <w:rStyle w:val="VerbatimChar"/>
        </w:rPr>
        <w:t xml:space="preserve">SendTimeout</w:t>
      </w:r>
      <w:r>
        <w:t xml:space="preserve">设置，确保超时行为的一致性。</w:t>
      </w:r>
    </w:p>
    <w:p>
      <w:pPr>
        <w:pStyle w:val="a0"/>
      </w:pPr>
      <w:r>
        <w:rPr>
          <w:rStyle w:val="VerbatimChar"/>
        </w:rPr>
        <w:t xml:space="preserve">IsConnected</w:t>
      </w:r>
      <w:r>
        <w:t xml:space="preserve">属性为计算属性（computed property），其实现依赖于对底层</w:t>
      </w:r>
      <w:r>
        <w:rPr>
          <w:rStyle w:val="VerbatimChar"/>
        </w:rPr>
        <w:t xml:space="preserve">TcpClient.Connected</w:t>
      </w:r>
      <w:r>
        <w:t xml:space="preserve">状态的实时查询，并结合协议层的心跳检测机制。单纯的TCP连接状态并不能完全反映PLC通信的健康状况——TCP连接可能保持但PLC已进入STOP模式或响应异常。因此，</w:t>
      </w:r>
      <w:r>
        <w:rPr>
          <w:rStyle w:val="VerbatimChar"/>
        </w:rPr>
        <w:t xml:space="preserve">IsConnected</w:t>
      </w:r>
      <w:r>
        <w:t xml:space="preserve">的可靠实现需要综合以下因素：TCP套接字的连接状态、最近一次成功通信的时间戳、以及可选的心跳轮询结果。该属性的变更应触发</w:t>
      </w:r>
      <w:r>
        <w:rPr>
          <w:rStyle w:val="VerbatimChar"/>
        </w:rPr>
        <w:t xml:space="preserve">PropertyChanged</w:t>
      </w:r>
      <w:r>
        <w:t xml:space="preserve">事件（实现</w:t>
      </w:r>
      <w:r>
        <w:rPr>
          <w:rStyle w:val="VerbatimChar"/>
        </w:rPr>
        <w:t xml:space="preserve">INotifyPropertyChanged</w:t>
      </w:r>
      <w:r>
        <w:t xml:space="preserve">接口），以支持数据绑定场景下的UI自动更新。</w:t>
      </w:r>
    </w:p>
    <w:bookmarkEnd w:id="24"/>
    <w:bookmarkStart w:id="25" w:name="X4d0ca68e56959e2cb41a32d6786bf48e7674063"/>
    <w:p>
      <w:pPr>
        <w:pStyle w:val="4"/>
      </w:pPr>
      <w:r>
        <w:t xml:space="preserve">1.2.2 核心方法：Connect/Disconnect、Read/Write、ReadAsync/WriteAsync</w:t>
      </w:r>
    </w:p>
    <w:p>
      <w:pPr>
        <w:pStyle w:val="FirstParagraph"/>
      </w:pPr>
      <w:r>
        <w:t xml:space="preserve">核心方法的设计遵循”最小惊讶原则”，即方法的行为符合开发者的直觉预期，同时提供足够的灵活性以应对复杂场景。</w:t>
      </w:r>
    </w:p>
    <w:p>
      <w:pPr>
        <w:pStyle w:val="a0"/>
      </w:pPr>
      <w:r>
        <w:rPr>
          <w:rStyle w:val="VerbatimChar"/>
        </w:rPr>
        <w:t xml:space="preserve">Connect()</w:t>
      </w:r>
      <w:r>
        <w:t xml:space="preserve">方法为同步连接建立入口，返回布尔值表示成功或失败，失败时通过</w:t>
      </w:r>
      <w:r>
        <w:rPr>
          <w:rStyle w:val="VerbatimChar"/>
        </w:rPr>
        <w:t xml:space="preserve">LastError</w:t>
      </w:r>
      <w:r>
        <w:t xml:space="preserve">属性或异常提供详细信息。方法内部执行完整的连接序列：DNS解析（如需要）、TCP三次握手、协议特定的身份验证或参数协商（如S7的COTP连接请求、FINS的节点号交换）、以及最终的连接状态确认。对于需要多步协商的协议（如西门子S7），方法应实现为可中断的状态机，支持</w:t>
      </w:r>
      <w:r>
        <w:rPr>
          <w:rStyle w:val="VerbatimChar"/>
        </w:rPr>
        <w:t xml:space="preserve">CancellationToken</w:t>
      </w:r>
      <w:r>
        <w:t xml:space="preserve">的协作取消。连接成功后，方法触发</w:t>
      </w:r>
      <w:r>
        <w:rPr>
          <w:rStyle w:val="VerbatimChar"/>
        </w:rPr>
        <w:t xml:space="preserve">Connected</w:t>
      </w:r>
      <w:r>
        <w:t xml:space="preserve">事件，并启动后台的心跳检测线程（如配置启用）。</w:t>
      </w:r>
    </w:p>
    <w:p>
      <w:pPr>
        <w:pStyle w:val="a0"/>
      </w:pPr>
      <w:r>
        <w:rPr>
          <w:rStyle w:val="VerbatimChar"/>
        </w:rPr>
        <w:t xml:space="preserve">Disconnect()</w:t>
      </w:r>
      <w:r>
        <w:t xml:space="preserve">方法执行优雅的连接关闭，发送协议特定的断开通知（如支持），然后关闭TCP套接字。方法设计为幂等操作——多次调用不会产生异常，已断开状态下直接返回。断开原因分为用户主动调用、网络异常、协议错误等多种类型，这些信息通过</w:t>
      </w:r>
      <w:r>
        <w:rPr>
          <w:rStyle w:val="VerbatimChar"/>
        </w:rPr>
        <w:t xml:space="preserve">Disconnected</w:t>
      </w:r>
      <w:r>
        <w:t xml:space="preserve">事件的参数传递，便于上层应用进行差异化的处理（如用户主动断开不触发重连，而网络异常则启动自动恢复流程）。</w:t>
      </w:r>
    </w:p>
    <w:p>
      <w:pPr>
        <w:pStyle w:val="a0"/>
      </w:pPr>
      <w:r>
        <w:rPr>
          <w:rStyle w:val="VerbatimChar"/>
        </w:rPr>
        <w:t xml:space="preserve">Read</w:t>
      </w:r>
      <w:r>
        <w:t xml:space="preserve">/</w:t>
      </w:r>
      <w:r>
        <w:rPr>
          <w:rStyle w:val="VerbatimChar"/>
        </w:rPr>
        <w:t xml:space="preserve">Write</w:t>
      </w:r>
      <w:r>
        <w:t xml:space="preserve">方法族是通讯库的核心价值所在。基础形式</w:t>
      </w:r>
      <w:r>
        <w:rPr>
          <w:rStyle w:val="VerbatimChar"/>
        </w:rPr>
        <w:t xml:space="preserve">ReadBytes(string address, int length)</w:t>
      </w:r>
      <w:r>
        <w:t xml:space="preserve">和</w:t>
      </w:r>
      <w:r>
        <w:rPr>
          <w:rStyle w:val="VerbatimChar"/>
        </w:rPr>
        <w:t xml:space="preserve">WriteBytes(string address, byte[] data)</w:t>
      </w:r>
      <w:r>
        <w:t xml:space="preserve">以原始字节数组为操作单位，最大化灵活性但要求用户自行处理数据转换。为提升易用性，派生方法包括：</w:t>
      </w:r>
      <w:r>
        <w:rPr>
          <w:rStyle w:val="VerbatimChar"/>
        </w:rPr>
        <w:t xml:space="preserve">ReadBool</w:t>
      </w:r>
      <w:r>
        <w:t xml:space="preserve">/</w:t>
      </w:r>
      <w:r>
        <w:rPr>
          <w:rStyle w:val="VerbatimChar"/>
        </w:rPr>
        <w:t xml:space="preserve">WriteBool</w:t>
      </w:r>
      <w:r>
        <w:t xml:space="preserve">（单点读写）、</w:t>
      </w:r>
      <w:r>
        <w:rPr>
          <w:rStyle w:val="VerbatimChar"/>
        </w:rPr>
        <w:t xml:space="preserve">ReadInt16</w:t>
      </w:r>
      <w:r>
        <w:t xml:space="preserve">/</w:t>
      </w:r>
      <w:r>
        <w:rPr>
          <w:rStyle w:val="VerbatimChar"/>
        </w:rPr>
        <w:t xml:space="preserve">ReadUInt16</w:t>
      </w:r>
      <w:r>
        <w:t xml:space="preserve">/</w:t>
      </w:r>
      <w:r>
        <w:rPr>
          <w:rStyle w:val="VerbatimChar"/>
        </w:rPr>
        <w:t xml:space="preserve">WriteInt16</w:t>
      </w:r>
      <w:r>
        <w:t xml:space="preserve">（16位整数）、</w:t>
      </w:r>
      <w:r>
        <w:rPr>
          <w:rStyle w:val="VerbatimChar"/>
        </w:rPr>
        <w:t xml:space="preserve">ReadInt32</w:t>
      </w:r>
      <w:r>
        <w:t xml:space="preserve">/</w:t>
      </w:r>
      <w:r>
        <w:rPr>
          <w:rStyle w:val="VerbatimChar"/>
        </w:rPr>
        <w:t xml:space="preserve">ReadFloat</w:t>
      </w:r>
      <w:r>
        <w:t xml:space="preserve">/</w:t>
      </w:r>
      <w:r>
        <w:rPr>
          <w:rStyle w:val="VerbatimChar"/>
        </w:rPr>
        <w:t xml:space="preserve">WriteFloat</w:t>
      </w:r>
      <w:r>
        <w:t xml:space="preserve">（32位数据）、</w:t>
      </w:r>
      <w:r>
        <w:rPr>
          <w:rStyle w:val="VerbatimChar"/>
        </w:rPr>
        <w:t xml:space="preserve">ReadString</w:t>
      </w:r>
      <w:r>
        <w:t xml:space="preserve">/</w:t>
      </w:r>
      <w:r>
        <w:rPr>
          <w:rStyle w:val="VerbatimChar"/>
        </w:rPr>
        <w:t xml:space="preserve">WriteString</w:t>
      </w:r>
      <w:r>
        <w:t xml:space="preserve">（字符串，需指定编码和长度）。所有读写方法均提供批量版本，如</w:t>
      </w:r>
      <w:r>
        <w:rPr>
          <w:rStyle w:val="VerbatimChar"/>
        </w:rPr>
        <w:t xml:space="preserve">ReadInt16(string address, int count)</w:t>
      </w:r>
      <w:r>
        <w:t xml:space="preserve">一次性读取指定地址开始的多个连续寄存器，减少网络往返次数。</w:t>
      </w:r>
    </w:p>
    <w:p>
      <w:pPr>
        <w:pStyle w:val="a0"/>
      </w:pPr>
      <w:r>
        <w:t xml:space="preserve">异步方法的设计是真正的技术挑战。.NET的</w:t>
      </w:r>
      <w:r>
        <w:rPr>
          <w:rStyle w:val="VerbatimChar"/>
        </w:rPr>
        <w:t xml:space="preserve">async</w:t>
      </w:r>
      <w:r>
        <w:t xml:space="preserve">/</w:t>
      </w:r>
      <w:r>
        <w:rPr>
          <w:rStyle w:val="VerbatimChar"/>
        </w:rPr>
        <w:t xml:space="preserve">await</w:t>
      </w:r>
      <w:r>
        <w:t xml:space="preserve">模式要求异步操作从头到尾使用真正的异步I/O，而非简单的</w:t>
      </w:r>
      <w:r>
        <w:rPr>
          <w:rStyle w:val="VerbatimChar"/>
        </w:rPr>
        <w:t xml:space="preserve">Task.Run</w:t>
      </w:r>
      <w:r>
        <w:t xml:space="preserve">包装同步方法。对于基于</w:t>
      </w:r>
      <w:r>
        <w:rPr>
          <w:rStyle w:val="VerbatimChar"/>
        </w:rPr>
        <w:t xml:space="preserve">NetworkStream</w:t>
      </w:r>
      <w:r>
        <w:t xml:space="preserve">的实现，应使用</w:t>
      </w:r>
      <w:r>
        <w:rPr>
          <w:rStyle w:val="VerbatimChar"/>
        </w:rPr>
        <w:t xml:space="preserve">ReadAsync</w:t>
      </w:r>
      <w:r>
        <w:t xml:space="preserve">/</w:t>
      </w:r>
      <w:r>
        <w:rPr>
          <w:rStyle w:val="VerbatimChar"/>
        </w:rPr>
        <w:t xml:space="preserve">WriteAsync</w:t>
      </w:r>
      <w:r>
        <w:t xml:space="preserve">方法；对于需要精确超时的场景，需结合</w:t>
      </w:r>
      <w:r>
        <w:rPr>
          <w:rStyle w:val="VerbatimChar"/>
        </w:rPr>
        <w:t xml:space="preserve">CancellationTokenSource</w:t>
      </w:r>
      <w:r>
        <w:t xml:space="preserve">实现超时控制。异步方法的优势在高并发场景下尤为明显——单个线程可以同时管理数十个PLC连接，而同步模式则需要同等数量的线程，带来显著的上下文切换开销。</w:t>
      </w:r>
    </w:p>
    <w:bookmarkEnd w:id="25"/>
    <w:bookmarkStart w:id="26" w:name="事件机制连接状态变化数据接收通知错误处理"/>
    <w:p>
      <w:pPr>
        <w:pStyle w:val="4"/>
      </w:pPr>
      <w:r>
        <w:t xml:space="preserve">1.2.3 事件机制：连接状态变化、数据接收通知、错误处理</w:t>
      </w:r>
    </w:p>
    <w:p>
      <w:pPr>
        <w:pStyle w:val="FirstParagraph"/>
      </w:pPr>
      <w:r>
        <w:t xml:space="preserve">事件机制的设计目标是在保持API简洁的同时，提供足够的运行时可见性。工业应用的可靠性要求决定了事件通知的完整性和及时性至关重要。</w:t>
      </w:r>
    </w:p>
    <w:p>
      <w:pPr>
        <w:pStyle w:val="a0"/>
      </w:pPr>
      <w:r>
        <w:rPr>
          <w:rStyle w:val="VerbatimChar"/>
        </w:rPr>
        <w:t xml:space="preserve">Connected</w:t>
      </w:r>
      <w:r>
        <w:t xml:space="preserve">事件在成功完成协议握手后触发，事件参数包含连接建立的时间戳、使用的协议版本信息、以及PLC返回的标识信息（如支持）。该事件是应用层初始化数据订阅、启动定时采集任务的合适时机。对于需要认证的场景，事件参数还应包含安全相关的信息（如使用的证书指纹）。</w:t>
      </w:r>
    </w:p>
    <w:p>
      <w:pPr>
        <w:pStyle w:val="a0"/>
      </w:pPr>
      <w:r>
        <w:rPr>
          <w:rStyle w:val="VerbatimChar"/>
        </w:rPr>
        <w:t xml:space="preserve">Disconnected</w:t>
      </w:r>
      <w:r>
        <w:t xml:space="preserve">事件的触发场景更为复杂，需要区分以下类型：用户主动调用</w:t>
      </w:r>
      <w:r>
        <w:rPr>
          <w:rStyle w:val="VerbatimChar"/>
        </w:rPr>
        <w:t xml:space="preserve">Disconnect()</w:t>
      </w:r>
      <w:r>
        <w:t xml:space="preserve">、网络层TCP连接异常断开、协议层检测到致命错误（如校验失败、非法响应）、以及心跳超时判定。事件参数通过</w:t>
      </w:r>
      <w:r>
        <w:rPr>
          <w:rStyle w:val="VerbatimChar"/>
        </w:rPr>
        <w:t xml:space="preserve">DisconnectReason</w:t>
      </w:r>
      <w:r>
        <w:t xml:space="preserve">枚举明确标识断开原因，并包含最后一次成功通信的时间、错误码（如适用）、以及建议的恢复策略（立即重试/延迟重试/人工干预）。这种细粒度的信息支持智能的重连策略决策。</w:t>
      </w:r>
    </w:p>
    <w:p>
      <w:pPr>
        <w:pStyle w:val="a0"/>
      </w:pPr>
      <w:r>
        <w:rPr>
          <w:rStyle w:val="VerbatimChar"/>
        </w:rPr>
        <w:t xml:space="preserve">DataReceived</w:t>
      </w:r>
      <w:r>
        <w:t xml:space="preserve">事件在每次成功读取操作后触发，提供原始字节数据和解析后的强类型值。该事件的设计需要权衡性能与便利性——对于高频采集场景（如100ms周期），频繁的事件触发可能带来GC压力；因此应提供事件抑制的选项，或推荐用户在批量读取后自行处理数据分发。事件参数包含地址信息、数据类型、时间戳、以及质量标记（Quality，如Good/Uncertain/Bad）。</w:t>
      </w:r>
    </w:p>
    <w:p>
      <w:pPr>
        <w:pStyle w:val="a0"/>
      </w:pPr>
      <w:r>
        <w:rPr>
          <w:rStyle w:val="VerbatimChar"/>
        </w:rPr>
        <w:t xml:space="preserve">ErrorOccurred</w:t>
      </w:r>
      <w:r>
        <w:t xml:space="preserve">事件捕获所有未导致连接断落的异常情况，包括：单次读写超时（但重试成功）、数据校验警告、协议版本不匹配提示等。该事件与异常抛出机制并行工作——同步方法通常选择抛出异常以强制错误处理，而事件机制则支持日志记录、告警通知等旁路处理。事件参数包含错误码（统一设计的跨品牌错误码体系）、错误描述、建议的恢复操作、以及原始异常对象。</w:t>
      </w:r>
    </w:p>
    <w:bookmarkEnd w:id="26"/>
    <w:bookmarkEnd w:id="27"/>
    <w:bookmarkStart w:id="30" w:name="扩展性设计"/>
    <w:p>
      <w:pPr>
        <w:pStyle w:val="3"/>
      </w:pPr>
      <w:r>
        <w:t xml:space="preserve">1.3 扩展性设计</w:t>
      </w:r>
    </w:p>
    <w:bookmarkStart w:id="28" w:name="新品牌plc的快速接入机制"/>
    <w:p>
      <w:pPr>
        <w:pStyle w:val="4"/>
      </w:pPr>
      <w:r>
        <w:t xml:space="preserve">1.3.1 新品牌PLC的快速接入机制</w:t>
      </w:r>
    </w:p>
    <w:p>
      <w:pPr>
        <w:pStyle w:val="FirstParagraph"/>
      </w:pPr>
      <w:r>
        <w:t xml:space="preserve">工业自动化领域PLC品牌众多，除西门子、三菱、欧姆龙三大主流外，还有罗克韦尔（Allen-Bradley）、施耐德（Modicon）、松下、基恩士、台达等众多品牌。通讯库的扩展性设计必须支持新品牌的快速接入，而无需改动核心架构。</w:t>
      </w:r>
    </w:p>
    <w:p>
      <w:pPr>
        <w:pStyle w:val="a0"/>
      </w:pPr>
      <w:r>
        <w:rPr>
          <w:b/>
          <w:bCs/>
        </w:rPr>
        <w:t xml:space="preserve">协议插件机制</w:t>
      </w:r>
      <w:r>
        <w:t xml:space="preserve">是实现这一目标的有效方案。定义</w:t>
      </w:r>
      <w:r>
        <w:rPr>
          <w:rStyle w:val="VerbatimChar"/>
        </w:rPr>
        <w:t xml:space="preserve">IPlcProtocol</w:t>
      </w:r>
      <w:r>
        <w:t xml:space="preserve">接口，包含协议初始化、连接建立、帧构造、响应解析、连接释放等生命周期方法。新品牌实现该接口后，通过反射或依赖注入机制动态加载到通讯库中。接口设计应足够通用以容纳差异巨大的协议——例如，Modbus TCP的简单请求-响应模式与西门子S7的多层握手序列，在接口层面统一为</w:t>
      </w:r>
      <w:r>
        <w:rPr>
          <w:rStyle w:val="VerbatimChar"/>
        </w:rPr>
        <w:t xml:space="preserve">Initialize()</w:t>
      </w:r>
      <w:r>
        <w:t xml:space="preserve">、</w:t>
      </w:r>
      <w:r>
        <w:rPr>
          <w:rStyle w:val="VerbatimChar"/>
        </w:rPr>
        <w:t xml:space="preserve">Handshake()</w:t>
      </w:r>
      <w:r>
        <w:t xml:space="preserve">、</w:t>
      </w:r>
      <w:r>
        <w:rPr>
          <w:rStyle w:val="VerbatimChar"/>
        </w:rPr>
        <w:t xml:space="preserve">ExecuteCommand()</w:t>
      </w:r>
      <w:r>
        <w:t xml:space="preserve">等抽象操作，具体实现由插件完成。</w:t>
      </w:r>
    </w:p>
    <w:p>
      <w:pPr>
        <w:pStyle w:val="a0"/>
      </w:pPr>
      <w:r>
        <w:rPr>
          <w:b/>
          <w:bCs/>
        </w:rPr>
        <w:t xml:space="preserve">地址解析器的可插拔设计</w:t>
      </w:r>
      <w:r>
        <w:t xml:space="preserve">是另一关键扩展点。不同品牌的地址表示法差异显著：西门子使用”DB1.DBW100”表示DB1的数据字100，三菱使用”D100”或”K4M0”表示位组合，欧姆龙使用”D100”或”CIO100.01”。设计</w:t>
      </w:r>
      <w:r>
        <w:rPr>
          <w:rStyle w:val="VerbatimChar"/>
        </w:rPr>
        <w:t xml:space="preserve">IAddressParser</w:t>
      </w:r>
      <w:r>
        <w:t xml:space="preserve">接口，将地址字符串解析为统一的</w:t>
      </w:r>
      <w:r>
        <w:rPr>
          <w:rStyle w:val="VerbatimChar"/>
        </w:rPr>
        <w:t xml:space="preserve">PlcAddress</w:t>
      </w:r>
      <w:r>
        <w:t xml:space="preserve">结构（包含区域类型、起始地址、位偏移、数据长度），新品牌接入时只需实现对应的解析器。</w:t>
      </w:r>
    </w:p>
    <w:p>
      <w:pPr>
        <w:pStyle w:val="a0"/>
      </w:pPr>
      <w:r>
        <w:rPr>
          <w:b/>
          <w:bCs/>
        </w:rPr>
        <w:t xml:space="preserve">配置驱动的协议选择</w:t>
      </w:r>
      <w:r>
        <w:t xml:space="preserve">简化用户的使用复杂度。通过JSON或XML配置文件描述PLC连接参数，包括品牌类型、协议版本、网络参数、以及扩展选项。通讯库提供</w:t>
      </w:r>
      <w:r>
        <w:rPr>
          <w:rStyle w:val="VerbatimChar"/>
        </w:rPr>
        <w:t xml:space="preserve">PlcClientFactory</w:t>
      </w:r>
      <w:r>
        <w:t xml:space="preserve">，根据配置自动实例化适当的实现类。这种工厂模式隐藏了具体的类层次结构，用户代码与特定品牌解耦，便于后期的品牌替换或升级。</w:t>
      </w:r>
    </w:p>
    <w:bookmarkEnd w:id="28"/>
    <w:bookmarkStart w:id="29" w:name="协议版本适配策略如s7-20012001500差异"/>
    <w:p>
      <w:pPr>
        <w:pStyle w:val="4"/>
      </w:pPr>
      <w:r>
        <w:t xml:space="preserve">1.3.2 协议版本适配策略（如S7-200/1200/1500差异）</w:t>
      </w:r>
    </w:p>
    <w:p>
      <w:pPr>
        <w:pStyle w:val="FirstParagraph"/>
      </w:pPr>
      <w:r>
        <w:t xml:space="preserve">同一品牌的不同系列PLC，其协议实现往往存在细节差异。西门子S7系列是最典型的例子：S7-200使用简化的PPI/MP协议，S7-300/400采用经典的S7Comm，S7-1200/1500则在保持兼容的同时引入了优化的PDU格式和访问控制机制。通讯库必须妥善处理这些差异，对用户保持透明或提供明确的配置选项。</w:t>
      </w:r>
    </w:p>
    <w:p>
      <w:pPr>
        <w:pStyle w:val="a0"/>
      </w:pPr>
      <w:r>
        <w:rPr>
          <w:b/>
          <w:bCs/>
        </w:rPr>
        <w:t xml:space="preserve">版本检测与自动适配</w:t>
      </w:r>
      <w:r>
        <w:t xml:space="preserve">是最理想的用户体验。在连接建立阶段，通过协议特定的握手信息识别PLC型号和协议版本，自动选择适当的通信参数。例如，西门子S7的COTP连接响应中包含目标PLC的类型信息，可据此调整后续的PDU大小协商策略。三菱MC协议的3E帧和4E帧在副头部格式上存在差异，可通过尝试不同格式的探测请求确定PLC支持的版本。</w:t>
      </w:r>
    </w:p>
    <w:p>
      <w:pPr>
        <w:pStyle w:val="a0"/>
      </w:pPr>
      <w:r>
        <w:rPr>
          <w:b/>
          <w:bCs/>
        </w:rPr>
        <w:t xml:space="preserve">显式版本配置</w:t>
      </w:r>
      <w:r>
        <w:t xml:space="preserve">作为自动检测失败时的后备方案。在</w:t>
      </w:r>
      <w:r>
        <w:rPr>
          <w:rStyle w:val="VerbatimChar"/>
        </w:rPr>
        <w:t xml:space="preserve">SiemensS7Client</w:t>
      </w:r>
      <w:r>
        <w:t xml:space="preserve">的构造函数或配置对象中，提供</w:t>
      </w:r>
      <w:r>
        <w:rPr>
          <w:rStyle w:val="VerbatimChar"/>
        </w:rPr>
        <w:t xml:space="preserve">CpuType</w:t>
      </w:r>
      <w:r>
        <w:t xml:space="preserve">枚举参数（S7-200、S7-300、S7-400、S7-1200、S7-1500），用户明确指定后，库代码跳过自动检测，直接使用该型号对应的协议参数。这种设计也支持连接到非标准配置的场景（如使用通信处理器的特殊机架/插槽设置）。</w:t>
      </w:r>
    </w:p>
    <w:p>
      <w:pPr>
        <w:pStyle w:val="a0"/>
      </w:pPr>
      <w:r>
        <w:rPr>
          <w:b/>
          <w:bCs/>
        </w:rPr>
        <w:t xml:space="preserve">功能降级策略</w:t>
      </w:r>
      <w:r>
        <w:t xml:space="preserve">处理新旧版本的兼容性问题。当检测到较旧的PLC型号时，自动禁用该型号不支持的功能（如S7-1500的优化块访问），或采用兼容性模式执行操作。这种降级对用户透明，避免因功能不可用导致的连接失败，同时在日志中记录降级信息供排查。</w:t>
      </w:r>
    </w:p>
    <w:bookmarkEnd w:id="29"/>
    <w:bookmarkEnd w:id="30"/>
    <w:bookmarkEnd w:id="31"/>
    <w:bookmarkStart w:id="43" w:name="西门子s7协议实现"/>
    <w:p>
      <w:pPr>
        <w:pStyle w:val="2"/>
      </w:pPr>
      <w:r>
        <w:t xml:space="preserve">2. 西门子S7协议实现</w:t>
      </w:r>
    </w:p>
    <w:bookmarkStart w:id="35" w:name="s7协议技术基础"/>
    <w:p>
      <w:pPr>
        <w:pStyle w:val="3"/>
      </w:pPr>
      <w:r>
        <w:t xml:space="preserve">2.1 S7协议技术基础</w:t>
      </w:r>
    </w:p>
    <w:bookmarkStart w:id="32" w:name="协议栈结构tpktcotps7comm"/>
    <w:p>
      <w:pPr>
        <w:pStyle w:val="4"/>
      </w:pPr>
      <w:r>
        <w:t xml:space="preserve">2.1.1 协议栈结构：TPKT→COTP→S7Comm</w:t>
      </w:r>
    </w:p>
    <w:p>
      <w:pPr>
        <w:pStyle w:val="FirstParagraph"/>
      </w:pPr>
      <w:r>
        <w:t xml:space="preserve">西门子S7协议是工业以太网通信中最复杂、文档最稀缺的协议之一。其协议栈采用三层嵌套结构，每一层都承担特定的功能，共同构建可靠的面向连接通信通道。</w:t>
      </w:r>
    </w:p>
    <w:p>
      <w:pPr>
        <w:pStyle w:val="a0"/>
      </w:pPr>
      <w:r>
        <w:rPr>
          <w:b/>
          <w:bCs/>
        </w:rPr>
        <w:t xml:space="preserve">TPKT层（Transport Protocol Kernel Transport）</w:t>
      </w:r>
      <w:r>
        <w:t xml:space="preserve">是最外层封装，提供数据包的长度信息和基本完整性校验。TPKT头固定为4字节：第0字节为版本号（固定0x03），第1字节为保留字段（固定0x00），第2-3字节为整个TPKT包的长度（包括头部本身，Big-Endian编码）。这一层的设计使得S7协议可以运行在多种传输层之上（虽然实际几乎总是TCP），并为协议分析工具（如Wireshark）提供识别标记。TPKT层的存在也意味着每个S7数据包的最小开销为4字节。</w:t>
      </w:r>
    </w:p>
    <w:p>
      <w:pPr>
        <w:pStyle w:val="a0"/>
      </w:pPr>
      <w:r>
        <w:rPr>
          <w:b/>
          <w:bCs/>
        </w:rPr>
        <w:t xml:space="preserve">COTP层（Connection-Oriented Transport Protocol，ISO 8073）</w:t>
      </w:r>
      <w:r>
        <w:t xml:space="preserve">负责连接管理和数据分段。COTP头长度可变，最小为2字节（仅包含PDU类型和长度），连接建立阶段扩展至22字节以携带源/目标TSAP（Transport Service Access Point）信息。关键PDU类型包括：0x0E（连接请求CR）、0x0D（连接确认CC）、0x00（数据DT）、0x05（拒绝）。TSAP是COTP的核心概念，对于S7-1200/1500默认配置为源TSAP 0x0100、目标TSAP 0x0102，而S7-300/400则使用与机架/插槽相关的计算值（如机架0插槽2对应0x0102）。COTP连接建立是S7通信的必经步骤，直接发送S7Comm数据包会被PLC拒绝。</w:t>
      </w:r>
    </w:p>
    <w:p>
      <w:pPr>
        <w:pStyle w:val="a0"/>
      </w:pPr>
      <w:r>
        <w:rPr>
          <w:b/>
          <w:bCs/>
        </w:rPr>
        <w:t xml:space="preserve">S7Comm层</w:t>
      </w:r>
      <w:r>
        <w:t xml:space="preserve">是实际的应用层协议，包含作业请求（Job）、确认响应（Ack_Data）、推送通知（Userdata）等PDU类型。S7Comm头固定为10字节：第0字节为协议ID（固定0x32），第1字节为消息类型（0x01=Job，0x03=Ack_Data），第2-3字节为保留，第4-5字节为PDU参考（用于请求-响应匹配），第6-7字节为参数长度，第8-9字节为数据长度。参数部分包含功能码（如0x04=Read，0x05=Write）和地址描述，数据部分则承载实际的读写数据或错误信息。</w:t>
      </w:r>
    </w:p>
    <w:p>
      <w:pPr>
        <w:pStyle w:val="a0"/>
      </w:pPr>
      <w:r>
        <w:t xml:space="preserve">三层协议的嵌套关系可通过一个典型的读取请求说明：应用层构造S7Comm读取请求（约20字节），添加COTP数据头（2字节）后作为TPKT的载荷，最终形成TPKT头（4字节）+ COTP头（2字节）+ S7Comm头（10字节）+ S7Comm参数（~12字节）的完整数据包，总长度约30字节，封装在TCP报文中发送。响应数据包遵循相同的嵌套结构，但方向相反。</w:t>
      </w:r>
    </w:p>
    <w:bookmarkEnd w:id="32"/>
    <w:bookmarkStart w:id="33" w:name="关键pdu类型连接请求数据读写plc控制"/>
    <w:p>
      <w:pPr>
        <w:pStyle w:val="4"/>
      </w:pPr>
      <w:r>
        <w:t xml:space="preserve">2.1.2 关键PDU类型：连接请求、数据读写、PLC控制</w:t>
      </w:r>
    </w:p>
    <w:p>
      <w:pPr>
        <w:pStyle w:val="FirstParagraph"/>
      </w:pPr>
      <w:r>
        <w:t xml:space="preserve">S7协议的功能通过不同的PDU类型实现，每种类型有特定的格式和应用场景。掌握这些PDU的构造细节是实现完整功能的关键。</w:t>
      </w:r>
    </w:p>
    <w:p>
      <w:pPr>
        <w:pStyle w:val="a0"/>
      </w:pPr>
      <w:r>
        <w:rPr>
          <w:b/>
          <w:bCs/>
        </w:rPr>
        <w:t xml:space="preserve">COTP连接请求（CR）</w:t>
      </w:r>
      <w:r>
        <w:t xml:space="preserve">的构造是通信建立的第一步。完整格式为：TPKT头（4字节）+ COTP头（17字节参数）。COTP参数部分包含：PDU长度（1字节，固定0x11=17）、PDU类型（1字节，0x0E=CR）、目标引用（2字节，固定0x0000）、源引用（2字节，随机值如0x002E）、标志（1字节，固定0x00）、以及三个TLV格式的参数块——源TSAP（代码0xC1，长度2，值如0x0100）、目标TSAP（代码0xC2，长度2，值如0x0102）、TPDU大小（代码0xC0，长度1，值0x0A表示1024字节）。这些参数的默认值因PLC型号而异，S7-1200/1500的默认目标TSAP为0x0102，而S7-300/400需根据硬件配置计算。</w:t>
      </w:r>
    </w:p>
    <w:p>
      <w:pPr>
        <w:pStyle w:val="a0"/>
      </w:pPr>
      <w:r>
        <w:rPr>
          <w:b/>
          <w:bCs/>
        </w:rPr>
        <w:t xml:space="preserve">S7连接设置</w:t>
      </w:r>
      <w:r>
        <w:t xml:space="preserve">在COTP连接确认后执行，是进入S7Comm通信前的最后准备。该PDU的TPKT+COTP头与常规数据相同，S7Comm部分为固定内容：协议ID 0x32、消息类型0x01（Job）、PDU参考0x0000、参数长度0x0008、数据长度0x0000，参数内容为功能码0xF0（Setup Communication）、未知字节0x00、以及协商的PDU大小（如0x01F0=480字节，0x03C0=960字节）。PLC的响应包含实际接受的PDU大小，后续所有读写操作的数据块长度不得超过此限制。</w:t>
      </w:r>
    </w:p>
    <w:p>
      <w:pPr>
        <w:pStyle w:val="a0"/>
      </w:pPr>
      <w:r>
        <w:rPr>
          <w:b/>
          <w:bCs/>
        </w:rPr>
        <w:t xml:space="preserve">数据读取请求（Read）</w:t>
      </w:r>
      <w:r>
        <w:t xml:space="preserve">是最常用的功能PDU。参数部分包含：功能码0x04、项目计数（1字节）、以及每个项目的地址描述（12字节）。地址描述的结构为：规范类型（0x12=Variable Specification）、长度（0x0A=10）、语法ID（0x10=S7Any）、数据类型（0x01=BIT，0x02=BYTE，0x04=WORD，0x06=DWORD等）、访问计数（对于标量通常为1）、DB号（2字节，非DB访问时为0）、区域代码（0x81=I，0x82=Q，0x83=M，0x84=DB，0x85=DI，0x86=Local，0x87=V）、起始地址（3字节，Little-Endian的位地址）。例如，读取DB1.DBW100的地址描述为：0x12 0x0A 0x10 0x04 0x00 0x01 0x00 0x01 0x84 0x00 0x03 0x20（DB=1，区域=0x84，地址=100×8=800=0x0320位）。</w:t>
      </w:r>
    </w:p>
    <w:p>
      <w:pPr>
        <w:pStyle w:val="a0"/>
      </w:pPr>
      <w:r>
        <w:rPr>
          <w:b/>
          <w:bCs/>
        </w:rPr>
        <w:t xml:space="preserve">数据写入请求（Write）</w:t>
      </w:r>
      <w:r>
        <w:t xml:space="preserve">与读取结构相似，但包含额外的数据部分。参数部分功能码为0x05，地址描述格式相同；数据部分包含：返回码（0xFF=Success）、传输大小（0x00=Null，0x03=BIT，0x04=BYTE/WORD，0x05=INTEGER，0x06=DINT/REAL等）、数据长度（2字节），以及实际数据。对于多项目写入，数据部分需要为每个项目重复上述结构。</w:t>
      </w:r>
    </w:p>
    <w:p>
      <w:pPr>
        <w:pStyle w:val="a0"/>
      </w:pPr>
      <w:r>
        <w:rPr>
          <w:b/>
          <w:bCs/>
        </w:rPr>
        <w:t xml:space="preserve">PLC控制功能</w:t>
      </w:r>
      <w:r>
        <w:t xml:space="preserve">包括启动（Start）、停止（Stop）、复制RAM到ROM等，通过特定的功能码实现。这些功能通常需要较高的访问权限，在PLC的硬件配置中设置。启动/停止命令的构造涉及密码字段（如配置）和特定的参数编码，具体细节因PLC型号和固件版本而异。</w:t>
      </w:r>
    </w:p>
    <w:bookmarkEnd w:id="33"/>
    <w:bookmarkStart w:id="34" w:name="地址映射db块m区iq区的寻址方式"/>
    <w:p>
      <w:pPr>
        <w:pStyle w:val="4"/>
      </w:pPr>
      <w:r>
        <w:t xml:space="preserve">2.1.3 地址映射：DB块、M区、I/Q区的寻址方式</w:t>
      </w:r>
    </w:p>
    <w:p>
      <w:pPr>
        <w:pStyle w:val="FirstParagraph"/>
      </w:pPr>
      <w:r>
        <w:t xml:space="preserve">S7协议的地址空间设计反映了PLC的内存组织结构，理解这一结构对于正确构造读写请求至关重要。不同存储区域具有不同的特性和应用场景。</w:t>
      </w:r>
    </w:p>
    <w:p>
      <w:pPr>
        <w:pStyle w:val="a0"/>
      </w:pPr>
      <w:r>
        <w:rPr>
          <w:b/>
          <w:bCs/>
        </w:rPr>
        <w:t xml:space="preserve">数据块（DB，Data Block）</w:t>
      </w:r>
      <w:r>
        <w:t xml:space="preserve">是S7-1200/1500中最重要的数据组织单元，分为全局DB（共享数据）和背景DB（函数块实例数据）。DB访问的地址格式为”DB</w:t>
      </w:r>
      <w:r>
        <w:t xml:space="preserve">.</w:t>
      </w:r>
      <w:r>
        <w:t xml:space="preserve">“</w:t>
      </w:r>
      <w:r>
        <w:t xml:space="preserve">，如</w:t>
      </w:r>
      <w:r>
        <w:t xml:space="preserve">”</w:t>
      </w:r>
      <w:r>
        <w:t xml:space="preserve">DB1.DBW100”表示DB1的第100个字（Word）。区域标识符包括：DBX（位）、DBB（字节）、DBW（字，2字节）、DBD（双字，4字节）。在S7Comm协议中，DB访问的区域代码为0x84，DB号在地址描述中单独指定，起始地址以位为单位计算（DBW100 = 100×8 = 800位 = 0x0320）。S7-1500支持”优化块访问”模式，此时变量的物理地址由PLC自动管理，无法通过绝对地址访问，必须使用符号访问或DB编号结合偏移量的方式。</w:t>
      </w:r>
    </w:p>
    <w:p>
      <w:pPr>
        <w:pStyle w:val="a0"/>
      </w:pPr>
      <w:r>
        <w:rPr>
          <w:b/>
          <w:bCs/>
        </w:rPr>
        <w:t xml:space="preserve">位存储区（M，Merker/Memory）</w:t>
      </w:r>
      <w:r>
        <w:t xml:space="preserve">用于存储程序运行的中间状态，类似于传统PLC的辅助继电器。M区的地址格式为”M</w:t>
      </w:r>
      <w:r>
        <w:t xml:space="preserve">.</w:t>
      </w:r>
      <w:r>
        <w:t xml:space="preserve">“</w:t>
      </w:r>
      <w:r>
        <w:t xml:space="preserve">（如M100.3）或</w:t>
      </w:r>
      <w:r>
        <w:t xml:space="preserve">”</w:t>
      </w:r>
      <w:r>
        <w:t xml:space="preserve">M</w:t>
      </w:r>
      <w:r>
        <w:t xml:space="preserve">“（如MW100，表示M100-M101组成的字）。区域代码为0x83，寻址以位为单位。M区的特点是保持性可配置（Retentive），即在PLC断电重启后可以选择保留或清零。M区的大小因PLC型号而异，S7-1200通常为8KB，S7-1500可扩展至数MB。</w:t>
      </w:r>
    </w:p>
    <w:p>
      <w:pPr>
        <w:pStyle w:val="a0"/>
      </w:pPr>
      <w:r>
        <w:rPr>
          <w:b/>
          <w:bCs/>
        </w:rPr>
        <w:t xml:space="preserve">过程映像输入（I，Input）和输出（Q，Output）</w:t>
      </w:r>
      <w:r>
        <w:t xml:space="preserve">直接对应PLC的物理I/O模块。I区读取输入模块的状态，Q区写入输出模块的控制值。地址格式为”I</w:t>
      </w:r>
      <w:r>
        <w:t xml:space="preserve">.</w:t>
      </w:r>
      <w:r>
        <w:t xml:space="preserve">“</w:t>
      </w:r>
      <w:r>
        <w:t xml:space="preserve">或</w:t>
      </w:r>
      <w:r>
        <w:t xml:space="preserve">”</w:t>
      </w:r>
      <w:r>
        <w:t xml:space="preserve">Q</w:t>
      </w:r>
      <w:r>
        <w:t xml:space="preserve">.</w:t>
      </w:r>
      <w:r>
        <w:t xml:space="preserve">“，区域代码分别为0x81和0x82。需要注意的是，直接I/O访问（绕过过程映像）使用不同的区域代码（0x80=外设输入PI，0x81=外设输出PQ），这在需要实时响应的场景（如运动控制）中很重要。</w:t>
      </w:r>
    </w:p>
    <w:p>
      <w:pPr>
        <w:pStyle w:val="a0"/>
      </w:pPr>
      <w:r>
        <w:rPr>
          <w:b/>
          <w:bCs/>
        </w:rPr>
        <w:t xml:space="preserve">其他区域</w:t>
      </w:r>
      <w:r>
        <w:t xml:space="preserve">包括：定时器（T，区域代码0x1F）、计数器（C，0x1E）、本地数据（L，0x86，用于程序块的临时变量）、以及S7-1500引入的V区（0x87，用于保持性存储）。这些区域的使用频率较低，但在特定应用场景下不可或缺。</w:t>
      </w:r>
    </w:p>
    <w:p>
      <w:pPr>
        <w:pStyle w:val="a0"/>
      </w:pPr>
      <w:r>
        <w:t xml:space="preserve">地址解析的实现需要健壮的字符串处理逻辑，支持多种格式的灵活识别：带DB号的完整格式（DB1.DBX100.3）、简写的字访问（DB1.DBW100）、M区位访问（M100.3）、以及绝对地址的直接指定（如通过数值参数）。解析结果统一转换为S7Comm地址描述所需的结构：区域代码、DB号（如适用）、起始位地址、数据类型、元素数量。</w:t>
      </w:r>
    </w:p>
    <w:bookmarkEnd w:id="34"/>
    <w:bookmarkEnd w:id="35"/>
    <w:bookmarkStart w:id="38" w:name="plc端配置要求"/>
    <w:p>
      <w:pPr>
        <w:pStyle w:val="3"/>
      </w:pPr>
      <w:r>
        <w:t xml:space="preserve">2.2 PLC端配置要求</w:t>
      </w:r>
    </w:p>
    <w:bookmarkStart w:id="36" w:name="tia-portal设置允许远程通信访问级别"/>
    <w:p>
      <w:pPr>
        <w:pStyle w:val="4"/>
      </w:pPr>
      <w:r>
        <w:t xml:space="preserve">2.2.1 TIA Portal设置：允许远程通信、访问级别</w:t>
      </w:r>
    </w:p>
    <w:p>
      <w:pPr>
        <w:pStyle w:val="FirstParagraph"/>
      </w:pPr>
      <w:r>
        <w:t xml:space="preserve">西门子S7-1200/1500的通信功能需要在TIA Portal（Totally Integrated Automation Portal）中进行详细配置，这些设置直接影响上位机通信的成功与否。配置不当是导致连接失败的最常见原因，必须予以充分重视。</w:t>
      </w:r>
    </w:p>
    <w:p>
      <w:pPr>
        <w:pStyle w:val="a0"/>
      </w:pPr>
      <w:r>
        <w:rPr>
          <w:b/>
          <w:bCs/>
        </w:rPr>
        <w:t xml:space="preserve">设备组态中的以太网配置</w:t>
      </w:r>
      <w:r>
        <w:t xml:space="preserve">是基础步骤。在TIA Portal的项目树中，选择PLC设备，进入”设备组态”视图，配置CPU的以太网接口参数：IP地址、子网掩码、默认网关。这些参数必须与上位机处于同一网段，或通过路由可达。对于S7-1500，还需注意接口的”以太网地址”设置与”PROFINET接口”设置的区别——通信通常使用前者。配置完成后必须编译并下载到PLC，且某些参数更改需要PLC断电重启才能生效。</w:t>
      </w:r>
    </w:p>
    <w:p>
      <w:pPr>
        <w:pStyle w:val="a0"/>
      </w:pPr>
      <w:r>
        <w:rPr>
          <w:b/>
          <w:bCs/>
        </w:rPr>
        <w:t xml:space="preserve">防护与安全设置</w:t>
      </w:r>
      <w:r>
        <w:t xml:space="preserve">是S7-1200/1500通信的关键。在PLC属性的”防护与安全”→</w:t>
      </w:r>
      <w:r>
        <w:t xml:space="preserve">“</w:t>
      </w:r>
      <w:r>
        <w:t xml:space="preserve">访问级别</w:t>
      </w:r>
      <w:r>
        <w:t xml:space="preserve">”</w:t>
      </w:r>
      <w:r>
        <w:t xml:space="preserve">中，默认设置为”完全访问权限（无任何保护）</w:t>
      </w:r>
      <w:r>
        <w:t xml:space="preserve">“</w:t>
      </w:r>
      <w:r>
        <w:t xml:space="preserve">，此时允许无限制的通信访问。生产环境应提升安全级别至</w:t>
      </w:r>
      <w:r>
        <w:t xml:space="preserve">”</w:t>
      </w:r>
      <w:r>
        <w:t xml:space="preserve">读访问权限”或”HMI访问权限”，此时需要提供密码才能进行写操作或控制PLC运行状态。更高的”不能访问（完全保护）</w:t>
      </w:r>
      <w:r>
        <w:t xml:space="preserve">“</w:t>
      </w:r>
      <w:r>
        <w:t xml:space="preserve">级别会阻止所有外部通信，不适用于需要上位机访问的场景。访问级别的设置与通信功能直接相关——当设置为</w:t>
      </w:r>
      <w:r>
        <w:t xml:space="preserve">”</w:t>
      </w:r>
      <w:r>
        <w:t xml:space="preserve">HMI访问权限”时，上位机程序需要提供正确的密码才能建立S7连接，密码在COTP连接建立后的S7认证阶段传输。</w:t>
      </w:r>
    </w:p>
    <w:p>
      <w:pPr>
        <w:pStyle w:val="a0"/>
      </w:pPr>
      <w:r>
        <w:rPr>
          <w:b/>
          <w:bCs/>
        </w:rPr>
        <w:t xml:space="preserve">连接机制设置</w:t>
      </w:r>
      <w:r>
        <w:t xml:space="preserve">控制PLC对通信请求的响应行为。在”防护与安全”→</w:t>
      </w:r>
      <w:r>
        <w:t xml:space="preserve">“</w:t>
      </w:r>
      <w:r>
        <w:t xml:space="preserve">连接机制</w:t>
      </w:r>
      <w:r>
        <w:t xml:space="preserve">”</w:t>
      </w:r>
      <w:r>
        <w:t xml:space="preserve">中，必须勾选”允许来自远程对象的PUT/GET通信访问”，这是S7-1200/1500默认禁用的功能。该选项的关闭状态会导致上位机连接建立后，所有数据读写请求返回权限错误。这一设置是S7-1200/1500与S7-300/400的重要差异，后者默认允许PUT/GET访问。</w:t>
      </w:r>
    </w:p>
    <w:p>
      <w:pPr>
        <w:pStyle w:val="a0"/>
      </w:pPr>
      <w:r>
        <w:rPr>
          <w:b/>
          <w:bCs/>
        </w:rPr>
        <w:t xml:space="preserve">优化的块访问</w:t>
      </w:r>
      <w:r>
        <w:t xml:space="preserve">是S7-1500引入的高级特性，但会影响兼容性。在数据块属性中，</w:t>
      </w:r>
      <w:r>
        <w:t xml:space="preserve">“</w:t>
      </w:r>
      <w:r>
        <w:t xml:space="preserve">优化的块访问</w:t>
      </w:r>
      <w:r>
        <w:t xml:space="preserve">”</w:t>
      </w:r>
      <w:r>
        <w:t xml:space="preserve">选项默认启用，此时DB中的变量由PLC自动分配地址，不支持绝对地址访问。如需通过S7协议访问特定变量，必须：①关闭优化的块访问（恢复为”标准-兼容S7-300/400”模式），或②使用符号访问（需要PLC支持并配置相应的符号服务器），或③在DB中显式定义保持性变量的绝对地址。对于需要兼容传统S7协议实现的场景，关闭优化的块访问是最直接的解决方案。</w:t>
      </w:r>
    </w:p>
    <w:bookmarkEnd w:id="36"/>
    <w:bookmarkStart w:id="37" w:name="默认端口102及安全注意事项"/>
    <w:p>
      <w:pPr>
        <w:pStyle w:val="4"/>
      </w:pPr>
      <w:r>
        <w:t xml:space="preserve">2.2.2 默认端口102及安全注意事项</w:t>
      </w:r>
    </w:p>
    <w:p>
      <w:pPr>
        <w:pStyle w:val="FirstParagraph"/>
      </w:pPr>
      <w:r>
        <w:t xml:space="preserve">西门子S7协议使用TCP端口102作为默认通信端口，这一选择源于ISO-TSAP协议的传统分配。端口102的通信特性与安全考量需要特别关注。</w:t>
      </w:r>
    </w:p>
    <w:p>
      <w:pPr>
        <w:pStyle w:val="a0"/>
      </w:pPr>
      <w:r>
        <w:rPr>
          <w:b/>
          <w:bCs/>
        </w:rPr>
        <w:t xml:space="preserve">端口102的协议归属</w:t>
      </w:r>
      <w:r>
        <w:t xml:space="preserve">在IANA注册为”ISO-TSAP”（ISO Transport Service Access Point Class 0），这是OSI协议栈在TCP/IP上的映射。这一注册信息解释了为何S7协议选择102端口——它本质上是ISO协议族的一部分，而非西门子私有协议。这也意味着，网络防火墙对102端口的处理策略可能因厂商而异，某些严格的安全策略可能默认阻止该端口的通信。</w:t>
      </w:r>
    </w:p>
    <w:p>
      <w:pPr>
        <w:pStyle w:val="a0"/>
      </w:pPr>
      <w:r>
        <w:rPr>
          <w:b/>
          <w:bCs/>
        </w:rPr>
        <w:t xml:space="preserve">网络地址转换（NAT）与端口映射</w:t>
      </w:r>
      <w:r>
        <w:t xml:space="preserve">在跨网络通信时需要特别处理。当上位机与PLC处于不同网段，或通过NAT设备（如工业路由器）连接时，需要确保102端口的双向可达性。S7协议的部分实现（尤其是较老的库）可能将IP地址嵌入协议数据包中，导致NAT环境下的连接问题。现代实现（如S7.Net Plus）通常已解决此类问题，但在复杂网络拓扑中仍需验证。</w:t>
      </w:r>
    </w:p>
    <w:p>
      <w:pPr>
        <w:pStyle w:val="a0"/>
      </w:pPr>
      <w:r>
        <w:rPr>
          <w:b/>
          <w:bCs/>
        </w:rPr>
        <w:t xml:space="preserve">安全加固建议</w:t>
      </w:r>
      <w:r>
        <w:t xml:space="preserve">针对生产环境的实际部署：①在PLC侧启用访问级别保护，避免完全开放的通信权限；②在网络层通过VLAN或防火墙限制102端口的访问源，仅允许特定的上位机IP地址；③考虑使用VPN或专用网络通道隔离PLC通信流量；④定期审计PLC的通信日志（如支持），监控异常连接尝试。对于更高安全要求的场景，西门子提供S7-1500的TLS加密通信选项，但这需要相应的硬件支持和配置复杂度提升。</w:t>
      </w:r>
    </w:p>
    <w:bookmarkEnd w:id="37"/>
    <w:bookmarkEnd w:id="38"/>
    <w:bookmarkStart w:id="42" w:name="c实现方案"/>
    <w:p>
      <w:pPr>
        <w:pStyle w:val="3"/>
      </w:pPr>
      <w:r>
        <w:t xml:space="preserve">2.3 C#实现方案</w:t>
      </w:r>
    </w:p>
    <w:bookmarkStart w:id="39" w:name="基于sharp7库的二次封装"/>
    <w:p>
      <w:pPr>
        <w:pStyle w:val="4"/>
      </w:pPr>
      <w:r>
        <w:t xml:space="preserve">2.3.1 基于Sharp7库的二次封装</w:t>
      </w:r>
    </w:p>
    <w:p>
      <w:pPr>
        <w:pStyle w:val="FirstParagraph"/>
      </w:pPr>
      <w:r>
        <w:t xml:space="preserve">Sharp7是西门子S7协议的纯C#开源实现，由Davide Nardella开发，是S7.Net Plus项目的前身。基于Sharp7进行二次封装是快速实现稳定通信的有效途径，但需要理解其设计特点和局限性。</w:t>
      </w:r>
    </w:p>
    <w:p>
      <w:pPr>
        <w:pStyle w:val="a0"/>
      </w:pPr>
      <w:r>
        <w:rPr>
          <w:b/>
          <w:bCs/>
        </w:rPr>
        <w:t xml:space="preserve">Sharp7的核心架构</w:t>
      </w:r>
      <w:r>
        <w:t xml:space="preserve">围绕</w:t>
      </w:r>
      <w:r>
        <w:rPr>
          <w:rStyle w:val="VerbatimChar"/>
        </w:rPr>
        <w:t xml:space="preserve">S7Client</w:t>
      </w:r>
      <w:r>
        <w:t xml:space="preserve">类展开，提供同步的</w:t>
      </w:r>
      <w:r>
        <w:rPr>
          <w:rStyle w:val="VerbatimChar"/>
        </w:rPr>
        <w:t xml:space="preserve">Connect</w:t>
      </w:r>
      <w:r>
        <w:t xml:space="preserve">、</w:t>
      </w:r>
      <w:r>
        <w:rPr>
          <w:rStyle w:val="VerbatimChar"/>
        </w:rPr>
        <w:t xml:space="preserve">Disconnect</w:t>
      </w:r>
      <w:r>
        <w:t xml:space="preserve">、</w:t>
      </w:r>
      <w:r>
        <w:rPr>
          <w:rStyle w:val="VerbatimChar"/>
        </w:rPr>
        <w:t xml:space="preserve">ReadArea</w:t>
      </w:r>
      <w:r>
        <w:t xml:space="preserve">、</w:t>
      </w:r>
      <w:r>
        <w:rPr>
          <w:rStyle w:val="VerbatimChar"/>
        </w:rPr>
        <w:t xml:space="preserve">WriteArea</w:t>
      </w:r>
      <w:r>
        <w:t xml:space="preserve">等方法。协议栈实现完整，包括TPKT、COTP、S7Comm的所有关键功能，支持S7-200/300/400/1200/1500系列。数据读写以字节数组为操作单位，用户自行处理数据类型转换。Sharp7的设计偏向底层，API风格接近C语言，需要一定的封装才能融入现代.NET应用架构。</w:t>
      </w:r>
    </w:p>
    <w:p>
      <w:pPr>
        <w:pStyle w:val="a0"/>
      </w:pPr>
      <w:r>
        <w:rPr>
          <w:b/>
          <w:bCs/>
        </w:rPr>
        <w:t xml:space="preserve">二次封装的关键改进点</w:t>
      </w:r>
      <w:r>
        <w:t xml:space="preserve">包括：①异步API封装，将同步的Sharp7方法包装为</w:t>
      </w:r>
      <w:r>
        <w:rPr>
          <w:rStyle w:val="VerbatimChar"/>
        </w:rPr>
        <w:t xml:space="preserve">async/await</w:t>
      </w:r>
      <w:r>
        <w:t xml:space="preserve">模式，避免阻塞线程；②强类型读写方法，提供</w:t>
      </w:r>
      <w:r>
        <w:rPr>
          <w:rStyle w:val="VerbatimChar"/>
        </w:rPr>
        <w:t xml:space="preserve">ReadInt16</w:t>
      </w:r>
      <w:r>
        <w:t xml:space="preserve">、</w:t>
      </w:r>
      <w:r>
        <w:rPr>
          <w:rStyle w:val="VerbatimChar"/>
        </w:rPr>
        <w:t xml:space="preserve">ReadFloat</w:t>
      </w:r>
      <w:r>
        <w:t xml:space="preserve">等泛型方法，自动处理字节序转换；③连接状态管理，添加心跳检测、自动重连、连接池等高级功能；④异常处理增强，将Sharp7的错误码转换为.NET异常层次结构，提供更丰富的错误信息；⑤配置驱动化，支持从配置文件或依赖注入容器创建和配置客户端实例。</w:t>
      </w:r>
    </w:p>
    <w:p>
      <w:pPr>
        <w:pStyle w:val="a0"/>
      </w:pPr>
      <w:r>
        <w:rPr>
          <w:b/>
          <w:bCs/>
        </w:rPr>
        <w:t xml:space="preserve">封装示例：异步读取方法</w:t>
      </w:r>
      <w:r>
        <w:t xml:space="preserve">的实现模式：</w:t>
      </w:r>
    </w:p>
    <w:p>
      <w:pPr>
        <w:pStyle w:val="SourceCode"/>
      </w:pPr>
      <w:r>
        <w:br/>
      </w:r>
      <w:r>
        <w:rPr>
          <w:rStyle w:val="KeywordTok"/>
        </w:rPr>
        <w:t xml:space="preserve">public</w:t>
      </w:r>
      <w:r>
        <w:rPr>
          <w:rStyle w:val="NormalTok"/>
        </w:rPr>
        <w:t xml:space="preserve"> async Task</w:t>
      </w:r>
      <w:r>
        <w:rPr>
          <w:rStyle w:val="OperatorTok"/>
        </w:rPr>
        <w:t xml:space="preserve">&lt;</w:t>
      </w:r>
      <w:r>
        <w:rPr>
          <w:rStyle w:val="DataTypeTok"/>
        </w:rPr>
        <w:t xml:space="preserve">short</w:t>
      </w:r>
      <w:r>
        <w:rPr>
          <w:rStyle w:val="OperatorTok"/>
        </w:rPr>
        <w:t xml:space="preserve">&gt;</w:t>
      </w:r>
      <w:r>
        <w:rPr>
          <w:rStyle w:val="NormalTok"/>
        </w:rPr>
        <w:t xml:space="preserve"> </w:t>
      </w:r>
      <w:r>
        <w:rPr>
          <w:rStyle w:val="FunctionTok"/>
        </w:rPr>
        <w:t xml:space="preserve">ReadInt16Async</w:t>
      </w:r>
      <w:r>
        <w:rPr>
          <w:rStyle w:val="OperatorTok"/>
        </w:rPr>
        <w:t xml:space="preserve">(</w:t>
      </w:r>
      <w:r>
        <w:rPr>
          <w:rStyle w:val="DataTypeTok"/>
        </w:rPr>
        <w:t xml:space="preserve">int</w:t>
      </w:r>
      <w:r>
        <w:rPr>
          <w:rStyle w:val="NormalTok"/>
        </w:rPr>
        <w:t xml:space="preserve"> db</w:t>
      </w:r>
      <w:r>
        <w:rPr>
          <w:rStyle w:val="OperatorTok"/>
        </w:rPr>
        <w:t xml:space="preserve">,</w:t>
      </w:r>
      <w:r>
        <w:rPr>
          <w:rStyle w:val="NormalTok"/>
        </w:rPr>
        <w:t xml:space="preserve"> </w:t>
      </w:r>
      <w:r>
        <w:rPr>
          <w:rStyle w:val="DataTypeTok"/>
        </w:rPr>
        <w:t xml:space="preserve">int</w:t>
      </w:r>
      <w:r>
        <w:rPr>
          <w:rStyle w:val="NormalTok"/>
        </w:rPr>
        <w:t xml:space="preserve"> startByte</w:t>
      </w:r>
      <w:r>
        <w:rPr>
          <w:rStyle w:val="OperatorTok"/>
        </w:rPr>
        <w:t xml:space="preserve">)</w:t>
      </w:r>
      <w:r>
        <w:br/>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buffer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await Task</w:t>
      </w:r>
      <w:r>
        <w:rPr>
          <w:rStyle w:val="OperatorTok"/>
        </w:rPr>
        <w:t xml:space="preserve">.</w:t>
      </w:r>
      <w:r>
        <w:rPr>
          <w:rStyle w:val="FunctionTok"/>
        </w:rPr>
        <w:t xml:space="preserve">Run</w:t>
      </w:r>
      <w:r>
        <w:rPr>
          <w:rStyle w:val="OperatorTok"/>
        </w:rPr>
        <w:t xml:space="preserve">(()</w:t>
      </w:r>
      <w:r>
        <w:rPr>
          <w:rStyle w:val="NormalTok"/>
        </w:rPr>
        <w:t xml:space="preserve"> </w:t>
      </w:r>
      <w:r>
        <w:rPr>
          <w:rStyle w:val="OperatorTok"/>
        </w:rPr>
        <w:t xml:space="preserve">=&gt;</w:t>
      </w:r>
      <w:r>
        <w:rPr>
          <w:rStyle w:val="NormalTok"/>
        </w:rPr>
        <w:t xml:space="preserve"> </w:t>
      </w:r>
      <w:r>
        <w:br/>
      </w:r>
      <w:r>
        <w:rPr>
          <w:rStyle w:val="NormalTok"/>
        </w:rPr>
        <w:t xml:space="preserve">        client</w:t>
      </w:r>
      <w:r>
        <w:rPr>
          <w:rStyle w:val="OperatorTok"/>
        </w:rPr>
        <w:t xml:space="preserve">.</w:t>
      </w:r>
      <w:r>
        <w:rPr>
          <w:rStyle w:val="FunctionTok"/>
        </w:rPr>
        <w:t xml:space="preserve">ReadArea</w:t>
      </w:r>
      <w:r>
        <w:rPr>
          <w:rStyle w:val="OperatorTok"/>
        </w:rPr>
        <w:t xml:space="preserve">(</w:t>
      </w:r>
      <w:r>
        <w:rPr>
          <w:rStyle w:val="NormalTok"/>
        </w:rPr>
        <w:t xml:space="preserve">S7Area</w:t>
      </w:r>
      <w:r>
        <w:rPr>
          <w:rStyle w:val="OperatorTok"/>
        </w:rPr>
        <w:t xml:space="preserve">.</w:t>
      </w:r>
      <w:r>
        <w:rPr>
          <w:rStyle w:val="FunctionTok"/>
        </w:rPr>
        <w:t xml:space="preserve">DB</w:t>
      </w:r>
      <w:r>
        <w:rPr>
          <w:rStyle w:val="OperatorTok"/>
        </w:rPr>
        <w:t xml:space="preserve">,</w:t>
      </w:r>
      <w:r>
        <w:rPr>
          <w:rStyle w:val="NormalTok"/>
        </w:rPr>
        <w:t xml:space="preserve"> db</w:t>
      </w:r>
      <w:r>
        <w:rPr>
          <w:rStyle w:val="OperatorTok"/>
        </w:rPr>
        <w:t xml:space="preserve">,</w:t>
      </w:r>
      <w:r>
        <w:rPr>
          <w:rStyle w:val="NormalTok"/>
        </w:rPr>
        <w:t xml:space="preserve"> startByte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S7WordLength</w:t>
      </w:r>
      <w:r>
        <w:rPr>
          <w:rStyle w:val="OperatorTok"/>
        </w:rPr>
        <w:t xml:space="preserve">.</w:t>
      </w:r>
      <w:r>
        <w:rPr>
          <w:rStyle w:val="FunctionTok"/>
        </w:rPr>
        <w:t xml:space="preserve">Word</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S7Exception</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KeywordTok"/>
        </w:rPr>
        <w:t xml:space="preserve">return</w:t>
      </w:r>
      <w:r>
        <w:rPr>
          <w:rStyle w:val="NormalTok"/>
        </w:rPr>
        <w:t xml:space="preserve"> S7Client</w:t>
      </w:r>
      <w:r>
        <w:rPr>
          <w:rStyle w:val="OperatorTok"/>
        </w:rPr>
        <w:t xml:space="preserve">.</w:t>
      </w:r>
      <w:r>
        <w:rPr>
          <w:rStyle w:val="FunctionTok"/>
        </w:rPr>
        <w:t xml:space="preserve">WordFromArray</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Sharp7提供的字节序转换</w:t>
      </w:r>
      <w:r>
        <w:br/>
      </w:r>
      <w:r>
        <w:rPr>
          <w:rStyle w:val="OperatorTok"/>
        </w:rPr>
        <w:t xml:space="preserve">}</w:t>
      </w:r>
    </w:p>
    <w:p>
      <w:pPr>
        <w:pStyle w:val="FirstParagraph"/>
      </w:pPr>
      <w:r>
        <w:t xml:space="preserve">这种封装保持了Sharp7的可靠性，同时提供了更符合现代.NET开发习惯的API。</w:t>
      </w:r>
    </w:p>
    <w:bookmarkEnd w:id="39"/>
    <w:bookmarkStart w:id="40" w:name="原生socket实现s7协议栈"/>
    <w:p>
      <w:pPr>
        <w:pStyle w:val="4"/>
      </w:pPr>
      <w:r>
        <w:t xml:space="preserve">2.3.2 原生Socket实现S7协议栈</w:t>
      </w:r>
    </w:p>
    <w:p>
      <w:pPr>
        <w:pStyle w:val="FirstParagraph"/>
      </w:pPr>
      <w:r>
        <w:t xml:space="preserve">对于需要完全自主可控或Sharp7无法满足的特定场景，基于原生Socket实现S7协议栈是终极方案。这一路径工作量大，但能实现最深度的定制优化。</w:t>
      </w:r>
    </w:p>
    <w:p>
      <w:pPr>
        <w:pStyle w:val="a0"/>
      </w:pPr>
      <w:r>
        <w:rPr>
          <w:b/>
          <w:bCs/>
        </w:rPr>
        <w:t xml:space="preserve">实现阶段划分</w:t>
      </w:r>
      <w:r>
        <w:t xml:space="preserve">建议：第一阶段完成TPKT+COTP的基础连接建立，验证与PLC的TCP连接和COTP握手；第二阶段实现S7连接设置和基本的数据读取功能；第三阶段扩展写入功能和PLC控制命令；第四阶段优化性能，实现批量操作和异步I/O。每个阶段都需要与真实PLC或高质量仿真器（如PLCSIM Advanced）进行充分测试。</w:t>
      </w:r>
    </w:p>
    <w:p>
      <w:pPr>
        <w:pStyle w:val="a0"/>
      </w:pPr>
      <w:r>
        <w:rPr>
          <w:b/>
          <w:bCs/>
        </w:rPr>
        <w:t xml:space="preserve">关键实现细节</w:t>
      </w:r>
      <w:r>
        <w:t xml:space="preserve">：COTP连接请求中的TSAP计算需要特别注意——S7-300/400的TSAP与机架号、插槽号相关，公式为</w:t>
      </w:r>
      <w:r>
        <w:rPr>
          <w:rStyle w:val="VerbatimChar"/>
        </w:rPr>
        <w:t xml:space="preserve">目标TSAP = 0x0100 | (机架号 &lt;&lt; 5) | 插槽号</w:t>
      </w:r>
      <w:r>
        <w:t xml:space="preserve">，如机架0插槽2对应0x0102。S7-1200/1500通常使用固定的0x0100/0x0102，但也可配置为其他值。S7Comm的PDU大小协商在连接设置阶段完成，请求的PDU大小（如960字节）可能被PLC下调，实际值必须从响应中解析并记录，后续读写操作严格遵守。</w:t>
      </w:r>
    </w:p>
    <w:p>
      <w:pPr>
        <w:pStyle w:val="a0"/>
      </w:pPr>
      <w:r>
        <w:rPr>
          <w:b/>
          <w:bCs/>
        </w:rPr>
        <w:t xml:space="preserve">调试与验证工具</w:t>
      </w:r>
      <w:r>
        <w:t xml:space="preserve">：Wireshark是协议实现开发的必备工具，其内置的S7Comm解析器可以直观展示协议各层结构。通过对比Sharp7/S7.Net Plus的成功通信抓包与自定义实现的通信数据，可以快速定位帧构造错误。建议建立测试用例库，覆盖不同PLC型号、不同数据类型、不同数据长度的组合场景。</w:t>
      </w:r>
    </w:p>
    <w:bookmarkEnd w:id="40"/>
    <w:bookmarkStart w:id="41" w:name="读写优化批量读取异步操作"/>
    <w:p>
      <w:pPr>
        <w:pStyle w:val="4"/>
      </w:pPr>
      <w:r>
        <w:t xml:space="preserve">2.3.3 读写优化：批量读取、异步操作</w:t>
      </w:r>
    </w:p>
    <w:p>
      <w:pPr>
        <w:pStyle w:val="FirstParagraph"/>
      </w:pPr>
      <w:r>
        <w:t xml:space="preserve">工业应用的高性能需求驱动读写操作的深度优化。优化策略需要结合协议特性和.NET运行时特点综合设计。</w:t>
      </w:r>
    </w:p>
    <w:p>
      <w:pPr>
        <w:pStyle w:val="a0"/>
      </w:pPr>
      <w:r>
        <w:rPr>
          <w:b/>
          <w:bCs/>
        </w:rPr>
        <w:t xml:space="preserve">批量读取的核心价值</w:t>
      </w:r>
      <w:r>
        <w:t xml:space="preserve">在于减少网络往返次数。S7协议支持单次请求中包含多个读取项目（Item），理论上最多可达20个（受PDU大小限制）。对于分散的地址，批量读取可以将多个独立请求合并为单次网络交互，显著降低延迟。实现批量读取需要：①地址分析，识别可合并的连续或邻近地址；②请求打包，构造包含多个地址描述的S7Comm请求帧；③响应解析，从复合响应中提取各项目的数据。对于高度分散的地址，还需权衡批量打包的收益与请求复杂度带来的开销。</w:t>
      </w:r>
    </w:p>
    <w:p>
      <w:pPr>
        <w:pStyle w:val="a0"/>
      </w:pPr>
      <w:r>
        <w:rPr>
          <w:b/>
          <w:bCs/>
        </w:rPr>
        <w:t xml:space="preserve">连续地址优化</w:t>
      </w:r>
      <w:r>
        <w:t xml:space="preserve">是批量读取的特殊情况。当需要读取大量连续数据（如DB1的前1000字节）时，应使用单个读取项目指定大数据长度，而非拆分为多个小请求。S7协议对单次读取的数据长度有限制（协商的PDU大小减去协议开销，通常约200-400字节），超大连续数据需要分片处理。分片策略应考虑数据的一致性需求——对于需要原子性读取的数据块，可能需要通过PLC程序确保读操作期间的数值稳定。</w:t>
      </w:r>
    </w:p>
    <w:p>
      <w:pPr>
        <w:pStyle w:val="a0"/>
      </w:pPr>
      <w:r>
        <w:rPr>
          <w:b/>
          <w:bCs/>
        </w:rPr>
        <w:t xml:space="preserve">异步操作的真正实现</w:t>
      </w:r>
      <w:r>
        <w:t xml:space="preserve">需要超越</w:t>
      </w:r>
      <w:r>
        <w:rPr>
          <w:rStyle w:val="VerbatimChar"/>
        </w:rPr>
        <w:t xml:space="preserve">Task.Run</w:t>
      </w:r>
      <w:r>
        <w:t xml:space="preserve">包装。基于</w:t>
      </w:r>
      <w:r>
        <w:rPr>
          <w:rStyle w:val="VerbatimChar"/>
        </w:rPr>
        <w:t xml:space="preserve">Socket</w:t>
      </w:r>
      <w:r>
        <w:t xml:space="preserve">或</w:t>
      </w:r>
      <w:r>
        <w:rPr>
          <w:rStyle w:val="VerbatimChar"/>
        </w:rPr>
        <w:t xml:space="preserve">NetworkStream</w:t>
      </w:r>
      <w:r>
        <w:t xml:space="preserve">的</w:t>
      </w:r>
      <w:r>
        <w:rPr>
          <w:rStyle w:val="VerbatimChar"/>
        </w:rPr>
        <w:t xml:space="preserve">ReadAsync</w:t>
      </w:r>
      <w:r>
        <w:t xml:space="preserve">/</w:t>
      </w:r>
      <w:r>
        <w:rPr>
          <w:rStyle w:val="VerbatimChar"/>
        </w:rPr>
        <w:t xml:space="preserve">WriteAsync</w:t>
      </w:r>
      <w:r>
        <w:t xml:space="preserve">方法配合</w:t>
      </w:r>
      <w:r>
        <w:rPr>
          <w:rStyle w:val="VerbatimChar"/>
        </w:rPr>
        <w:t xml:space="preserve">async/await</w:t>
      </w:r>
      <w:r>
        <w:t xml:space="preserve">模式，可以实现真正的异步I/O，避免线程池资源的占用。关键实现点包括：使用</w:t>
      </w:r>
      <w:r>
        <w:rPr>
          <w:rStyle w:val="VerbatimChar"/>
        </w:rPr>
        <w:t xml:space="preserve">Memory&lt;byte&gt;</w:t>
      </w:r>
      <w:r>
        <w:t xml:space="preserve">或</w:t>
      </w:r>
      <w:r>
        <w:rPr>
          <w:rStyle w:val="VerbatimChar"/>
        </w:rPr>
        <w:t xml:space="preserve">ArraySegment&lt;byte&gt;</w:t>
      </w:r>
      <w:r>
        <w:t xml:space="preserve">减少缓冲区分配、通过</w:t>
      </w:r>
      <w:r>
        <w:rPr>
          <w:rStyle w:val="VerbatimChar"/>
        </w:rPr>
        <w:t xml:space="preserve">CancellationTokenSource</w:t>
      </w:r>
      <w:r>
        <w:t xml:space="preserve">实现精确的超时控制、以及使用</w:t>
      </w:r>
      <w:r>
        <w:rPr>
          <w:rStyle w:val="VerbatimChar"/>
        </w:rPr>
        <w:t xml:space="preserve">Channel</w:t>
      </w:r>
      <w:r>
        <w:t xml:space="preserve">或</w:t>
      </w:r>
      <w:r>
        <w:rPr>
          <w:rStyle w:val="VerbatimChar"/>
        </w:rPr>
        <w:t xml:space="preserve">BufferBlock</w:t>
      </w:r>
      <w:r>
        <w:t xml:space="preserve">实现生产者-消费者模式的数据流处理。对于高并发场景（单机上位机管理数十台PLC），异步架构的资源效率优势尤为明显。</w:t>
      </w:r>
    </w:p>
    <w:bookmarkEnd w:id="41"/>
    <w:bookmarkEnd w:id="42"/>
    <w:bookmarkEnd w:id="43"/>
    <w:bookmarkStart w:id="56" w:name="三菱mc协议实现"/>
    <w:p>
      <w:pPr>
        <w:pStyle w:val="2"/>
      </w:pPr>
      <w:r>
        <w:t xml:space="preserve">3. 三菱MC协议实现</w:t>
      </w:r>
    </w:p>
    <w:bookmarkStart w:id="47" w:name="mc协议体系解析"/>
    <w:p>
      <w:pPr>
        <w:pStyle w:val="3"/>
      </w:pPr>
      <w:r>
        <w:t xml:space="preserve">3.1 MC协议体系解析</w:t>
      </w:r>
    </w:p>
    <w:bookmarkStart w:id="44" w:name="协议类型3e帧slmp4e帧4c帧"/>
    <w:p>
      <w:pPr>
        <w:pStyle w:val="4"/>
      </w:pPr>
      <w:r>
        <w:t xml:space="preserve">3.1.1 协议类型：3E帧（SLMP）、4E帧、4C帧</w:t>
      </w:r>
    </w:p>
    <w:p>
      <w:pPr>
        <w:pStyle w:val="FirstParagraph"/>
      </w:pPr>
      <w:r>
        <w:t xml:space="preserve">三菱电机的MELSEC Communication Protocol（MC协议）是经过数十年发展的成熟协议体系，支持串行通信和以太网通信，包含多种帧格式以适应不同系列PLC和应用场景。理解这些帧格式的差异和适用场景，是实现广泛兼容性的基础。</w:t>
      </w:r>
    </w:p>
    <w:p>
      <w:pPr>
        <w:pStyle w:val="a0"/>
      </w:pPr>
      <w:r>
        <w:rPr>
          <w:b/>
          <w:bCs/>
        </w:rPr>
        <w:t xml:space="preserve">3E帧（SLMP，Seamless Message Protocol）</w:t>
      </w:r>
      <w:r>
        <w:t xml:space="preserve">是三菱最新一代PLC（iQ-F系列FX5U、iQ-R系列等）主推的以太网通信格式。SLMP的设计目标是”无缝”——即统一的协议格式跨越不同网络层级和设备类型。3E帧采用二进制编码，结构紧凑高效，支持TCP和UDP传输。其帧结构包括：副头部（3字节，请求为0x50 0x00 0x00，响应为0xD0 0x00 0x00）、网络号/PC号/目标模块I/O号/目标模块站号（各1字节，通常固定为0xFF 0xFF 0x03 0x00）、请求数据长度（2字节，Little-Endian）、监视定时器（2字节）、以及后续的指令/子指令、地址、数据等。3E帧的简洁性和高效性使其成为新项目的首选。</w:t>
      </w:r>
    </w:p>
    <w:p>
      <w:pPr>
        <w:pStyle w:val="a0"/>
      </w:pPr>
      <w:r>
        <w:rPr>
          <w:b/>
          <w:bCs/>
        </w:rPr>
        <w:t xml:space="preserve">4E帧</w:t>
      </w:r>
      <w:r>
        <w:t xml:space="preserve">是Q系列PLC（如Q03UDECPU）使用的主要以太网帧格式，与3E帧在高层结构上相似，但副头部和访问路径部分有所扩展。4E帧支持更复杂的网络路由场景，如跨MELSECNET/H网络的通信。对于仅使用以太网直连的简单应用，3E帧和4E帧的功能差异不大，但帧格式的细节差异要求实现代码进行区分处理。</w:t>
      </w:r>
    </w:p>
    <w:p>
      <w:pPr>
        <w:pStyle w:val="a0"/>
      </w:pPr>
      <w:r>
        <w:rPr>
          <w:b/>
          <w:bCs/>
        </w:rPr>
        <w:t xml:space="preserve">4C帧及3C帧、2C帧</w:t>
      </w:r>
      <w:r>
        <w:t xml:space="preserve">是串行通信（RS-232/RS-422）使用的格式，支持ASCII编码和二进制编码两种模式。4C帧是Q系列串行通信模块（如QJ71C24N）使用的高级格式，支持完整的MC协议功能；3C帧是兼容格式，适用于更广泛的设备；2C帧是简化格式，功能受限但实现简单。串行帧格式的关键特征是包含帧头（如STX 0x02）、站号、等待时间、以及帧尾（ETX 0x03）和校验和（FCS）。串行通信的半双工特性还要求严格的请求-响应时序控制，在响应完全接收前不得发送下一请求。</w:t>
      </w:r>
    </w:p>
    <w:p>
      <w:pPr>
        <w:pStyle w:val="a0"/>
      </w:pPr>
      <w:r>
        <w:rPr>
          <w:b/>
          <w:bCs/>
        </w:rPr>
        <w:t xml:space="preserve">帧格式选择策略</w:t>
      </w:r>
      <w:r>
        <w:t xml:space="preserve">：对于以太网通信，优先尝试3E帧（现代PLC支持），失败时回退到4E帧（老旧Q系列）；对于串行通信，根据模块能力和功能需求选择4C帧或3C帧。实现类应通过配置参数或自动探测机制确定使用的帧格式，对用户隐藏这些细节。</w:t>
      </w:r>
    </w:p>
    <w:bookmarkEnd w:id="44"/>
    <w:bookmarkStart w:id="45" w:name="帧格式结构副头部访问路径请求数据结束代码"/>
    <w:p>
      <w:pPr>
        <w:pStyle w:val="4"/>
      </w:pPr>
      <w:r>
        <w:t xml:space="preserve">3.1.2 帧格式结构：副头部、访问路径、请求数据、结束代码</w:t>
      </w:r>
    </w:p>
    <w:p>
      <w:pPr>
        <w:pStyle w:val="FirstParagraph"/>
      </w:pPr>
      <w:r>
        <w:t xml:space="preserve">深入理解MC协议帧的各组成部分，是实现正确编码和解码的前提。以3E帧为例，详细分析其结构。</w:t>
      </w:r>
    </w:p>
    <w:p>
      <w:pPr>
        <w:pStyle w:val="a0"/>
      </w:pPr>
      <w:r>
        <w:rPr>
          <w:b/>
          <w:bCs/>
        </w:rPr>
        <w:t xml:space="preserve">副头部（Sub-header）</w:t>
      </w:r>
      <w:r>
        <w:t xml:space="preserve">固定为3字节，标识请求/响应类型和帧方向。请求帧为</w:t>
      </w:r>
      <w:r>
        <w:rPr>
          <w:rStyle w:val="VerbatimChar"/>
        </w:rPr>
        <w:t xml:space="preserve">0x50 0x00 0x00</w:t>
      </w:r>
      <w:r>
        <w:t xml:space="preserve">（ASCII表示为”500”），响应帧为</w:t>
      </w:r>
      <w:r>
        <w:rPr>
          <w:rStyle w:val="VerbatimChar"/>
        </w:rPr>
        <w:t xml:space="preserve">0xD0 0x00 0x00</w:t>
      </w:r>
      <w:r>
        <w:t xml:space="preserve">（</w:t>
      </w:r>
      <w:r>
        <w:t xml:space="preserve">“</w:t>
      </w:r>
      <w:r>
        <w:t xml:space="preserve">D00</w:t>
      </w:r>
      <w:r>
        <w:t xml:space="preserve">”</w:t>
      </w:r>
      <w:r>
        <w:t xml:space="preserve">）。这一设计使得协议解析器可以快速识别帧的方向和基本有效性。副头部的第一个字节差异（0x50 vs 0xD0）也用于请求-响应匹配，尽管更可靠的匹配应依赖帧内的请求编号或事务标识。</w:t>
      </w:r>
    </w:p>
    <w:p>
      <w:pPr>
        <w:pStyle w:val="a0"/>
      </w:pPr>
      <w:r>
        <w:rPr>
          <w:b/>
          <w:bCs/>
        </w:rPr>
        <w:t xml:space="preserve">访问路径（Access Route）</w:t>
      </w:r>
      <w:r>
        <w:t xml:space="preserve">指定通信的目标设备在网络中的位置，对于简单的点对点以太网通信通常使用默认值。包括：网络号（1字节，0xFF表示”本站网络”）、PC号（1字节，0xFF表示”本站PC”）、目标模块I/O号（2字节，0x03FF表示”管理CPU”）、目标模块站号（1字节，0x00表示”本站”）。这些字段支持复杂的MELSECNET网络拓扑，如跨网络访问其他站点的PLC。对于绝大多数应用场景，使用固定值</w:t>
      </w:r>
      <w:r>
        <w:rPr>
          <w:rStyle w:val="VerbatimChar"/>
        </w:rPr>
        <w:t xml:space="preserve">FF FF 03 FF 00</w:t>
      </w:r>
      <w:r>
        <w:t xml:space="preserve">即可。</w:t>
      </w:r>
    </w:p>
    <w:p>
      <w:pPr>
        <w:pStyle w:val="a0"/>
      </w:pPr>
      <w:r>
        <w:rPr>
          <w:b/>
          <w:bCs/>
        </w:rPr>
        <w:t xml:space="preserve">请求数据长度</w:t>
      </w:r>
      <w:r>
        <w:t xml:space="preserve">字段（2字节，Little-Endian）表示从监视定时器开始到帧尾的总字节数。这一设计允许接收方快速定位帧的边界，支持TCP流中的帧定界。长度计算必须准确，否则会导致PLC返回格式错误响应。</w:t>
      </w:r>
    </w:p>
    <w:p>
      <w:pPr>
        <w:pStyle w:val="a0"/>
      </w:pPr>
      <w:r>
        <w:rPr>
          <w:b/>
          <w:bCs/>
        </w:rPr>
        <w:t xml:space="preserve">监视定时器（Watchdog Timer）</w:t>
      </w:r>
      <w:r>
        <w:t xml:space="preserve">字段（2字节，Little-Endian）指定PLC处理请求的最大等待时间，单位为250ms，值0x0001表示250ms，0x000A表示2.5秒，0x0000表示无限等待。合理的监视定时器设置可以平衡响应及时性和对PLC扫描周期的容忍度。对于高频轮询应用，建议设置较短的监视定时器（如250ms-1秒），以便快速检测PLC无响应并触发重试或告警。</w:t>
      </w:r>
    </w:p>
    <w:p>
      <w:pPr>
        <w:pStyle w:val="a0"/>
      </w:pPr>
      <w:r>
        <w:rPr>
          <w:b/>
          <w:bCs/>
        </w:rPr>
        <w:t xml:space="preserve">指令（Command）和子指令（Sub-command）</w:t>
      </w:r>
      <w:r>
        <w:t xml:space="preserve">定义请求的操作类型。批量读取的指令为0x0401，子指令0x0000表示按字单位读取，0x0001表示按位单位读取；批量写入的指令为0x1401，子指令含义相同。其他常用指令包括：0x0403（随机读取）、0x1402（随机写入）、0x0613（时钟数据读取）、0x1613（时钟数据写入）等。</w:t>
      </w:r>
    </w:p>
    <w:p>
      <w:pPr>
        <w:pStyle w:val="a0"/>
      </w:pPr>
      <w:r>
        <w:rPr>
          <w:b/>
          <w:bCs/>
        </w:rPr>
        <w:t xml:space="preserve">请求数据部分</w:t>
      </w:r>
      <w:r>
        <w:t xml:space="preserve">包含地址描述和数据（写入时）。地址描述包括：起始地址（3字节，Little-Endian的位地址）、软元件代码（1字节，如D寄存器0xA8、M继电器0x90）、以及点数（2字节）。例如，D7000的地址描述为</w:t>
      </w:r>
      <w:r>
        <w:rPr>
          <w:rStyle w:val="VerbatimChar"/>
        </w:rPr>
        <w:t xml:space="preserve">0x58 0x1B 0x00 0xA8</w:t>
      </w:r>
      <w:r>
        <w:t xml:space="preserve">（7000=0x1B58，Little-Endian存储为58 1B 00）加上点数。</w:t>
      </w:r>
    </w:p>
    <w:p>
      <w:pPr>
        <w:pStyle w:val="a0"/>
      </w:pPr>
      <w:r>
        <w:rPr>
          <w:b/>
          <w:bCs/>
        </w:rPr>
        <w:t xml:space="preserve">结束代码（End Code）</w:t>
      </w:r>
      <w:r>
        <w:t xml:space="preserve">位于响应帧的请求数据长度之后，指示请求处理结果。0x0000表示正常完成，非零值表示各类错误，如0xC051（软元件名错误）、0xC056（起始地址超出范围）、0xC05A（点数超出范围）等。错误代码的完整处理需要参考三菱官方手册，实现类应提供错误码到描述信息的映射。</w:t>
      </w:r>
    </w:p>
    <w:bookmarkEnd w:id="45"/>
    <w:bookmarkStart w:id="46" w:name="软元件地址编码d寄存器m继电器xy输入输出"/>
    <w:p>
      <w:pPr>
        <w:pStyle w:val="4"/>
      </w:pPr>
      <w:r>
        <w:t xml:space="preserve">3.1.3 软元件地址编码：D寄存器、M继电器、X/Y输入输出</w:t>
      </w:r>
    </w:p>
    <w:p>
      <w:pPr>
        <w:pStyle w:val="FirstParagraph"/>
      </w:pPr>
      <w:r>
        <w:t xml:space="preserve">三菱PLC的软元件（Device）类型丰富，每种类型有唯一的代码标识和在帧中的编码方式。完整支持这些软元件是实现通用MC协议通信的基础。</w:t>
      </w:r>
    </w:p>
    <w:p>
      <w:pPr>
        <w:pStyle w:val="a0"/>
      </w:pPr>
      <w:r>
        <w:rPr>
          <w:b/>
          <w:bCs/>
        </w:rPr>
        <w:t xml:space="preserve">数据寄存器（D，Data Register）</w:t>
      </w:r>
      <w:r>
        <w:t xml:space="preserve">是最常用的字软元件，代码为0xA8。D寄存器用于存储16位有符号整数，两个连续的D寄存器可组合存储32位数据（DINT或REAL）。D寄存器的地址范围为0-65535（部分型号扩展至更大），在帧中以位地址表示（字地址×16）。例如，D100的位地址为1600=0x0640，编码为</w:t>
      </w:r>
      <w:r>
        <w:rPr>
          <w:rStyle w:val="VerbatimChar"/>
        </w:rPr>
        <w:t xml:space="preserve">0x40 0x06 0x00</w:t>
      </w:r>
      <w:r>
        <w:t xml:space="preserve">。D寄存器支持批量读写和位访问（通过子指令0x0001），是位软元件和字软元件之间的桥梁。</w:t>
      </w:r>
    </w:p>
    <w:p>
      <w:pPr>
        <w:pStyle w:val="a0"/>
      </w:pPr>
      <w:r>
        <w:rPr>
          <w:b/>
          <w:bCs/>
        </w:rPr>
        <w:t xml:space="preserve">辅助继电器（M，Internal Relay）</w:t>
      </w:r>
      <w:r>
        <w:t xml:space="preserve">是最常用的位软元件，代码为0x90。M继电器用于程序逻辑的中间状态存储，地址范围因PLC型号而异，FX系列通常为0-7679，Q系列可扩展至数万点。M继电器的批量读写以字为单位组织，16个连续的M点组成一个字（如M0-M15对应字0）。位单位的直接访问需要特殊的子指令和地址计算。</w:t>
      </w:r>
    </w:p>
    <w:p>
      <w:pPr>
        <w:pStyle w:val="a0"/>
      </w:pPr>
      <w:r>
        <w:rPr>
          <w:b/>
          <w:bCs/>
        </w:rPr>
        <w:t xml:space="preserve">输入继电器（X，Input）和输出继电器（Y，Output）</w:t>
      </w:r>
      <w:r>
        <w:t xml:space="preserve">直接对应PLC的物理I/O点。X的代码为0x9C，Y为0x9D。X/Y继电器的地址采用八进制编码，这是三菱PLC的特有约定，例如”X0F”表示X输入的第15位（八进制0F=十进制15），而”X10”表示X输入的第8位（八进制10=十进制8）。实现类需要提供健壮的地址解析器来处理这些变体格式，包括八进制到十进制的自动转换。</w:t>
      </w:r>
    </w:p>
    <w:p>
      <w:pPr>
        <w:pStyle w:val="a0"/>
      </w:pPr>
      <w:r>
        <w:t xml:space="preserve">其他常用软元件包括：T（定时器当前值，代码0xC2）、C（计数器当前值，代码0xC5）、S（状态继电器，代码0x98）、L（锁存继电器，代码0x92）、F（报警器，代码0x93）、V（边沿继电器，代码0x94）、B（链接继电器，代码0xA0）、W（链接寄存器，代码0xB4）等。每种软元件的地址范围和功能特性在MELSEC编程手册中有详细定义，开发者在实现通用读写接口时需要建立完整的软元件类型映射表。</w:t>
      </w:r>
    </w:p>
    <w:bookmarkEnd w:id="46"/>
    <w:bookmarkEnd w:id="47"/>
    <w:bookmarkStart w:id="51" w:name="命令帧构造详解"/>
    <w:p>
      <w:pPr>
        <w:pStyle w:val="3"/>
      </w:pPr>
      <w:r>
        <w:t xml:space="preserve">3.2 命令帧构造详解</w:t>
      </w:r>
    </w:p>
    <w:bookmarkStart w:id="48" w:name="批量读取命令0401位单位0403字单位"/>
    <w:p>
      <w:pPr>
        <w:pStyle w:val="4"/>
      </w:pPr>
      <w:r>
        <w:t xml:space="preserve">3.2.1 批量读取命令：0401（位单位）/0403（字单位）</w:t>
      </w:r>
    </w:p>
    <w:p>
      <w:pPr>
        <w:pStyle w:val="FirstParagraph"/>
      </w:pPr>
      <w:r>
        <w:t xml:space="preserve">批量读取是MC协议最核心的功能之一，通过单一命令帧即可获取多个连续地址的数据，大幅减少网络往返次数，提升系统实时性。批量读取命令的主指令代码为</w:t>
      </w:r>
      <w:r>
        <w:rPr>
          <w:rStyle w:val="VerbatimChar"/>
        </w:rPr>
        <w:t xml:space="preserve">0x0401</w:t>
      </w:r>
      <w:r>
        <w:t xml:space="preserve">（位单位访问）或</w:t>
      </w:r>
      <w:r>
        <w:rPr>
          <w:rStyle w:val="VerbatimChar"/>
        </w:rPr>
        <w:t xml:space="preserve">0x0403</w:t>
      </w:r>
      <w:r>
        <w:t xml:space="preserve">（字单位访问），分别对应不同的数据访问粒度。</w:t>
      </w:r>
    </w:p>
    <w:p>
      <w:pPr>
        <w:pStyle w:val="a0"/>
      </w:pPr>
      <w:r>
        <w:rPr>
          <w:b/>
          <w:bCs/>
        </w:rPr>
        <w:t xml:space="preserve">字单位批量读取（0x0403）</w:t>
      </w:r>
      <w:r>
        <w:t xml:space="preserve">适用于D寄存器、W寄存器等字软元件，以及需要按字打包的位软元件。命令帧的数据部分包含：3字节起始地址（小端序）、1字节软元件类型代码、2字节读取点数（小端序，最大960个字/15,360个位）。例如，从D100开始读取10个字的完整帧构造过程如下：首先写入副头部</w:t>
      </w:r>
      <w:r>
        <w:rPr>
          <w:rStyle w:val="VerbatimChar"/>
        </w:rPr>
        <w:t xml:space="preserve">50 00 00</w:t>
      </w:r>
      <w:r>
        <w:t xml:space="preserve">，访问路径</w:t>
      </w:r>
      <w:r>
        <w:rPr>
          <w:rStyle w:val="VerbatimChar"/>
        </w:rPr>
        <w:t xml:space="preserve">FF FF 03 00</w:t>
      </w:r>
      <w:r>
        <w:t xml:space="preserve">，计算数据长度（7字节固定头 + 10字×2字节 = 27字节，即</w:t>
      </w:r>
      <w:r>
        <w:rPr>
          <w:rStyle w:val="VerbatimChar"/>
        </w:rPr>
        <w:t xml:space="preserve">1B 00</w:t>
      </w:r>
      <w:r>
        <w:t xml:space="preserve">），指令</w:t>
      </w:r>
      <w:r>
        <w:rPr>
          <w:rStyle w:val="VerbatimChar"/>
        </w:rPr>
        <w:t xml:space="preserve">01 04 00 00</w:t>
      </w:r>
      <w:r>
        <w:t xml:space="preserve">，地址</w:t>
      </w:r>
      <w:r>
        <w:rPr>
          <w:rStyle w:val="VerbatimChar"/>
        </w:rPr>
        <w:t xml:space="preserve">64 00 00</w:t>
      </w:r>
      <w:r>
        <w:t xml:space="preserve">（D100=0x0064），类型代码</w:t>
      </w:r>
      <w:r>
        <w:rPr>
          <w:rStyle w:val="VerbatimChar"/>
        </w:rPr>
        <w:t xml:space="preserve">A8</w:t>
      </w:r>
      <w:r>
        <w:t xml:space="preserve">，点数</w:t>
      </w:r>
      <w:r>
        <w:rPr>
          <w:rStyle w:val="VerbatimChar"/>
        </w:rPr>
        <w:t xml:space="preserve">0A 00</w:t>
      </w:r>
      <w:r>
        <w:t xml:space="preserve">，最终形成完整帧。</w:t>
      </w:r>
    </w:p>
    <w:p>
      <w:pPr>
        <w:pStyle w:val="a0"/>
      </w:pPr>
      <w:r>
        <w:rPr>
          <w:b/>
          <w:bCs/>
        </w:rPr>
        <w:t xml:space="preserve">位单位批量读取（0x0401）</w:t>
      </w:r>
      <w:r>
        <w:t xml:space="preserve">直接访问单个位软元件，每个位独立占用一个字节响应数据，适用于需要精确控制单个I/O点的场景。但需注意，位单位访问的通信效率较低，对于连续的位软元件，建议优先使用字单位访问（子指令0x0000）将16个位打包为一个字传输。</w:t>
      </w:r>
    </w:p>
    <w:p>
      <w:pPr>
        <w:pStyle w:val="a0"/>
      </w:pPr>
      <w:r>
        <w:t xml:space="preserve">批量读取的响应帧包含结束代码和实际数据。正常完成时结束代码为</w:t>
      </w:r>
      <w:r>
        <w:rPr>
          <w:rStyle w:val="VerbatimChar"/>
        </w:rPr>
        <w:t xml:space="preserve">00 00</w:t>
      </w:r>
      <w:r>
        <w:t xml:space="preserve">，数据字段按请求顺序排列各软元件的值。若发生错误，结束代码指示错误类型，如</w:t>
      </w:r>
      <w:r>
        <w:rPr>
          <w:rStyle w:val="VerbatimChar"/>
        </w:rPr>
        <w:t xml:space="preserve">C0 00</w:t>
      </w:r>
      <w:r>
        <w:t xml:space="preserve">表示软元件名称错误，</w:t>
      </w:r>
      <w:r>
        <w:rPr>
          <w:rStyle w:val="VerbatimChar"/>
        </w:rPr>
        <w:t xml:space="preserve">C1 00</w:t>
      </w:r>
      <w:r>
        <w:t xml:space="preserve">表示软元件编号错误，</w:t>
      </w:r>
      <w:r>
        <w:rPr>
          <w:rStyle w:val="VerbatimChar"/>
        </w:rPr>
        <w:t xml:space="preserve">C2 00</w:t>
      </w:r>
      <w:r>
        <w:t xml:space="preserve">表示请求点数超出范围等，开发者需实现完善的错误码解析和异常处理机制。</w:t>
      </w:r>
    </w:p>
    <w:bookmarkEnd w:id="48"/>
    <w:bookmarkStart w:id="49" w:name="批量写入命令1401位单位1403字单位"/>
    <w:p>
      <w:pPr>
        <w:pStyle w:val="4"/>
      </w:pPr>
      <w:r>
        <w:t xml:space="preserve">3.2.2 批量写入命令：1401（位单位）/1403（字单位）</w:t>
      </w:r>
    </w:p>
    <w:p>
      <w:pPr>
        <w:pStyle w:val="FirstParagraph"/>
      </w:pPr>
      <w:r>
        <w:t xml:space="preserve">批量写入命令与读取命令结构对称，主指令代码为</w:t>
      </w:r>
      <w:r>
        <w:rPr>
          <w:rStyle w:val="VerbatimChar"/>
        </w:rPr>
        <w:t xml:space="preserve">0x1401</w:t>
      </w:r>
      <w:r>
        <w:t xml:space="preserve">（位单位）或</w:t>
      </w:r>
      <w:r>
        <w:rPr>
          <w:rStyle w:val="VerbatimChar"/>
        </w:rPr>
        <w:t xml:space="preserve">0x1403</w:t>
      </w:r>
      <w:r>
        <w:t xml:space="preserve">（字单位），用于将上位机的数据下发至PLC。写入操作对系统安全性影响更大，MC协议通过多种机制确保写入的可靠性。</w:t>
      </w:r>
    </w:p>
    <w:p>
      <w:pPr>
        <w:pStyle w:val="a0"/>
      </w:pPr>
      <w:r>
        <w:rPr>
          <w:b/>
          <w:bCs/>
        </w:rPr>
        <w:t xml:space="preserve">字单位批量写入（0x1403）</w:t>
      </w:r>
      <w:r>
        <w:t xml:space="preserve">的命令帧在读取帧基础上增加数据字段。以向D200-D204写入三个值（0x1234、0x5678、0x9ABC）为例：数据长度计算为7字节固定头 + 5字×2字节数据 = 17字节（</w:t>
      </w:r>
      <w:r>
        <w:rPr>
          <w:rStyle w:val="VerbatimChar"/>
        </w:rPr>
        <w:t xml:space="preserve">11 00</w:t>
      </w:r>
      <w:r>
        <w:t xml:space="preserve">），指令</w:t>
      </w:r>
      <w:r>
        <w:rPr>
          <w:rStyle w:val="VerbatimChar"/>
        </w:rPr>
        <w:t xml:space="preserve">01 14 00 00</w:t>
      </w:r>
      <w:r>
        <w:t xml:space="preserve">（0x1401批量写入），地址</w:t>
      </w:r>
      <w:r>
        <w:rPr>
          <w:rStyle w:val="VerbatimChar"/>
        </w:rPr>
        <w:t xml:space="preserve">C8 00 00</w:t>
      </w:r>
      <w:r>
        <w:t xml:space="preserve">（D200=0x00C8），类型代码</w:t>
      </w:r>
      <w:r>
        <w:rPr>
          <w:rStyle w:val="VerbatimChar"/>
        </w:rPr>
        <w:t xml:space="preserve">A8</w:t>
      </w:r>
      <w:r>
        <w:t xml:space="preserve">，点数</w:t>
      </w:r>
      <w:r>
        <w:rPr>
          <w:rStyle w:val="VerbatimChar"/>
        </w:rPr>
        <w:t xml:space="preserve">05 00</w:t>
      </w:r>
      <w:r>
        <w:t xml:space="preserve">，随后依次写入5个字的值</w:t>
      </w:r>
      <w:r>
        <w:rPr>
          <w:rStyle w:val="VerbatimChar"/>
        </w:rPr>
        <w:t xml:space="preserve">34 12 78 56 BC 9A</w:t>
      </w:r>
      <w:r>
        <w:t xml:space="preserve">（注意小端序）。完整的帧构造需要精确的内存流操作，确保各字段顺序和字节序正确。</w:t>
      </w:r>
    </w:p>
    <w:p>
      <w:pPr>
        <w:pStyle w:val="a0"/>
      </w:pPr>
      <w:r>
        <w:rPr>
          <w:b/>
          <w:bCs/>
        </w:rPr>
        <w:t xml:space="preserve">位单位批量写入（0x1401）</w:t>
      </w:r>
      <w:r>
        <w:t xml:space="preserve">用于设置单个继电器状态，每个写入值占用1字节，0x00表示OFF，0x01表示ON。对于Y输出继电器的写入，需特别注意PLC的运行模式，某些型号在RUN模式下禁止写入输出继电器，需要在PLC参数中启用”允许RUN中写入”选项。</w:t>
      </w:r>
    </w:p>
    <w:p>
      <w:pPr>
        <w:pStyle w:val="a0"/>
      </w:pPr>
      <w:r>
        <w:t xml:space="preserve">批量写入的响应帧较为简单，正常完成时仅返回副头部、结束代码</w:t>
      </w:r>
      <w:r>
        <w:rPr>
          <w:rStyle w:val="VerbatimChar"/>
        </w:rPr>
        <w:t xml:space="preserve">00 00</w:t>
      </w:r>
      <w:r>
        <w:t xml:space="preserve">和固定字段，不包含数据字段。这种设计减少了响应数据量，但开发者不能依赖响应数据验证写入结果，应通过后续的读取操作确认写入成功，或在关键应用场景启用PLC的写入确认机制。</w:t>
      </w:r>
    </w:p>
    <w:bookmarkEnd w:id="49"/>
    <w:bookmarkStart w:id="50" w:name="监视定时器设置与响应解析"/>
    <w:p>
      <w:pPr>
        <w:pStyle w:val="4"/>
      </w:pPr>
      <w:r>
        <w:t xml:space="preserve">3.2.3 监视定时器设置与响应解析</w:t>
      </w:r>
    </w:p>
    <w:p>
      <w:pPr>
        <w:pStyle w:val="FirstParagraph"/>
      </w:pPr>
      <w:r>
        <w:t xml:space="preserve">监视定时器（Watchdog Timer）是MC协议中保障通信可靠性的重要机制，用于检测PLC对请求帧的响应超时。在3E帧中，监视定时器值嵌入在请求数据长度之后的固定位置，以2字节小端序表示，单位为250毫秒。</w:t>
      </w:r>
    </w:p>
    <w:p>
      <w:pPr>
        <w:pStyle w:val="a0"/>
      </w:pPr>
      <w:r>
        <w:t xml:space="preserve">监视定时器的设置需要权衡响应等待时间和系统实时性。典型值</w:t>
      </w:r>
      <w:r>
        <w:rPr>
          <w:rStyle w:val="VerbatimChar"/>
        </w:rPr>
        <w:t xml:space="preserve">10 00</w:t>
      </w:r>
      <w:r>
        <w:t xml:space="preserve">（即16×250ms=4秒）适用于大多数以太网通信场景，对于网络延迟较大或PLC负载较重的场合，可适当增大该值。若PLC在监视定时器超时前未返回响应，通信库应触发超时异常，执行重传或错误恢复流程。</w:t>
      </w:r>
    </w:p>
    <w:p>
      <w:pPr>
        <w:pStyle w:val="a0"/>
      </w:pPr>
      <w:r>
        <w:t xml:space="preserve">响应解析是MC协议实现的关键环节，需要处理多种正常和异常情况。正常响应的解析流程包括：验证副头部标识（0xD0）、检查结束代码（0x0000表示成功）、提取数据字段、按请求的数据类型和点数解析各软元件值。对于批量读取，数据字段的长度应等于请求点数×单个数据大小（字单位×2，位单位×1），任何长度不匹配都应视为异常。</w:t>
      </w:r>
    </w:p>
    <w:p>
      <w:pPr>
        <w:pStyle w:val="a0"/>
      </w:pPr>
      <w:r>
        <w:t xml:space="preserve">错误响应的处理需要详细的错误码映射表。常见错误包括：软元件相关错误（0xC0-C2）、点数相关错误（0xC3-C5）、PLC状态错误（0xC6-C8，如PLC处于STOP模式禁止写入）、保护错误（0xC9-CB，如程序保护或密码验证失败）等。完善的错误处理应记录原始响应帧、解析错误码、提供用户友好的错误信息，并根据错误类型决定是否重试或终止通信。</w:t>
      </w:r>
    </w:p>
    <w:bookmarkEnd w:id="50"/>
    <w:bookmarkEnd w:id="51"/>
    <w:bookmarkStart w:id="55" w:name="fx5uq系列适配"/>
    <w:p>
      <w:pPr>
        <w:pStyle w:val="3"/>
      </w:pPr>
      <w:r>
        <w:t xml:space="preserve">3.3 FX5U/Q系列适配</w:t>
      </w:r>
    </w:p>
    <w:bookmarkStart w:id="52" w:name="以太网模块参数配置"/>
    <w:p>
      <w:pPr>
        <w:pStyle w:val="4"/>
      </w:pPr>
      <w:r>
        <w:t xml:space="preserve">3.3.1 以太网模块参数配置</w:t>
      </w:r>
    </w:p>
    <w:p>
      <w:pPr>
        <w:pStyle w:val="FirstParagraph"/>
      </w:pPr>
      <w:r>
        <w:t xml:space="preserve">FX5U系列作为三菱电机推出的第5代小型PLC，内置高性能以太网端口，为MC协议通信提供了硬件基础。该系列PLC的基本指令处理速度达到34ns，内置64KB程序存储器，支持SD卡扩展，具有丰富的通信接口配置。与上位机建立MC协议通信前，必须通过GX Works3编程软件完成网络参数配置。</w:t>
      </w:r>
    </w:p>
    <w:p>
      <w:pPr>
        <w:pStyle w:val="a0"/>
      </w:pPr>
      <w:r>
        <w:t xml:space="preserve">关键配置项包括：IP地址、子网掩码、默认网关的网络参数设置；以太网端口的应用设置中启用SLMP（MC协议）通信服务；设置SLMP端口号，FX5U默认使用5002（十进制），但可根据网络环境自定义。配置完成后必须将参数下载至PLC，并执行断电重启使设置生效，这一步骤常被开发者忽略导致通信失败。</w:t>
      </w:r>
    </w:p>
    <w:p>
      <w:pPr>
        <w:pStyle w:val="a0"/>
      </w:pPr>
      <w:r>
        <w:t xml:space="preserve">对于Q系列PLC，若使用内置以太网端口（如QnUDVCPU），配置流程与FX5U类似；若使用扩展以太网模块QJ71E71-100，则需在GX Works2的网络参数中详细设置模块的IP地址、通信协议（TCP/UDP）、开放端口、以及允许访问的PC IP地址和端口等安全参数。扩展模块的配置更为复杂，但提供了更灵活的网络安全控制。</w:t>
      </w:r>
    </w:p>
    <w:bookmarkEnd w:id="52"/>
    <w:bookmarkStart w:id="53" w:name="端口设置5002fx5u默认"/>
    <w:p>
      <w:pPr>
        <w:pStyle w:val="4"/>
      </w:pPr>
      <w:r>
        <w:t xml:space="preserve">3.3.2 端口设置：5002（FX5U默认）</w:t>
      </w:r>
    </w:p>
    <w:p>
      <w:pPr>
        <w:pStyle w:val="FirstParagraph"/>
      </w:pPr>
      <w:r>
        <w:t xml:space="preserve">端口号是MC协议通信的关键参数，不同型号PLC的默认端口存在差异。FX5U内置以太网端口的SLMP默认端口为5002（十进制），而部分文档提及的5007、8192、8195等端口对应不同的配置场景或模块类型。开发者在实现通信库时，应将端口号作为可配置参数，避免硬编码默认值。</w:t>
      </w:r>
    </w:p>
    <w:p>
      <w:pPr>
        <w:pStyle w:val="a0"/>
      </w:pPr>
      <w:r>
        <w:t xml:space="preserve">对于使用UDP协议的MC协议通信，WinCC等上位软件连接Q系列扩展以太网模块时存在特殊约定：无论PLC端口号设置为多少，WinCC侧必须固定使用5000或5001端口。这种设计源于三菱早期产品的兼容性考虑，自主开发通信库时若需与现有系统互操作，应验证并遵循此类特殊约定。</w:t>
      </w:r>
    </w:p>
    <w:p>
      <w:pPr>
        <w:pStyle w:val="a0"/>
      </w:pPr>
      <w:r>
        <w:t xml:space="preserve">端口冲突检测是工业网络部署的常见问题。FX5U的以太网端口同时支持多种服务（SLMP、Modbus/TCP、Socket通信等），各服务占用不同端口。在GX Works3的”以太网端口应用设置”中，可查看和修改各服务的端口分配，确保无冲突。同时，上位机侧的防火墙和安全软件需开放相应端口的出站连接。</w:t>
      </w:r>
    </w:p>
    <w:bookmarkEnd w:id="53"/>
    <w:bookmarkStart w:id="54" w:name="与iq-riq-f系列兼容性处理"/>
    <w:p>
      <w:pPr>
        <w:pStyle w:val="4"/>
      </w:pPr>
      <w:r>
        <w:t xml:space="preserve">3.3.3 与iQ-R/iQ-F系列兼容性处理</w:t>
      </w:r>
    </w:p>
    <w:p>
      <w:pPr>
        <w:pStyle w:val="FirstParagraph"/>
      </w:pPr>
      <w:r>
        <w:t xml:space="preserve">iQ-R系列作为三菱高端PLC平台，以及iQ-F系列（FX5U所属系列）作为紧凑型解决方案，在MC协议支持上具有高度一致性，均采用3E帧作为标准通信格式。这种统一性降低了多型号PLC系统的开发复杂度，同一套MC协议实现可覆盖从FX5U到R08CPU的广泛产品范围。</w:t>
      </w:r>
    </w:p>
    <w:p>
      <w:pPr>
        <w:pStyle w:val="a0"/>
      </w:pPr>
      <w:r>
        <w:t xml:space="preserve">兼容性处理主要关注地址范围和功能差异。iQ-R系列支持更大的软元件容量，例如D寄存器可扩展至数百万点，地址字段需正确处理3字节地址空间。部分高级功能如文件寄存器访问、智能功能模块缓冲存储器访问，在不同系列中的支持程度不同，通信库的API设计应提供功能探测机制，允许应用程序查询当前连接PLC的能力集。</w:t>
      </w:r>
    </w:p>
    <w:p>
      <w:pPr>
        <w:pStyle w:val="a0"/>
      </w:pPr>
      <w:r>
        <w:t xml:space="preserve">协议版本适配是长期维护的考虑因素。三菱持续扩展MC协议功能，新版本的SLMP可能增加新的指令代码或扩展帧格式。通信库的实现应预留版本协商机制，在连接建立时识别PLC支持的协议版本，动态调整功能调用，确保向前兼容性。参考HslCommunication等成熟库的设计，通过抽象层隔离协议细节，是应对版本演化的有效策略。</w:t>
      </w:r>
    </w:p>
    <w:bookmarkEnd w:id="54"/>
    <w:bookmarkEnd w:id="55"/>
    <w:bookmarkEnd w:id="56"/>
    <w:bookmarkStart w:id="69" w:name="欧姆龙fins协议实现"/>
    <w:p>
      <w:pPr>
        <w:pStyle w:val="2"/>
      </w:pPr>
      <w:r>
        <w:t xml:space="preserve">4. 欧姆龙FINS协议实现</w:t>
      </w:r>
    </w:p>
    <w:bookmarkStart w:id="60" w:name="fins协议架构"/>
    <w:p>
      <w:pPr>
        <w:pStyle w:val="3"/>
      </w:pPr>
      <w:r>
        <w:t xml:space="preserve">4.1 FINS协议架构</w:t>
      </w:r>
    </w:p>
    <w:bookmarkStart w:id="57" w:name="协议层次finstcpip封装"/>
    <w:p>
      <w:pPr>
        <w:pStyle w:val="4"/>
      </w:pPr>
      <w:r>
        <w:t xml:space="preserve">4.1.1 协议层次：FINS→TCP/IP封装</w:t>
      </w:r>
    </w:p>
    <w:p>
      <w:pPr>
        <w:pStyle w:val="FirstParagraph"/>
      </w:pPr>
      <w:r>
        <w:t xml:space="preserve">欧姆龙的FINS（Factory Interface Network Service）协议是其工业自动化设备的核心通信协议，设计目标是实现PLC、HMI、上位机等设备在不同网络层次上的无缝通信。FINS协议本身独立于物理传输介质，可以运行在以太网（FINS/TCP、FINS/UDP）、串行链路（Host Link）等多种底层之上。FINS/TCP是最常用的实现方式，它将FINS消息封装在TCP数据包中传输，兼具FINS协议的丰富功能和TCP的可靠传输特性。</w:t>
      </w:r>
    </w:p>
    <w:p>
      <w:pPr>
        <w:pStyle w:val="a0"/>
      </w:pPr>
      <w:r>
        <w:t xml:space="preserve">FINS/TCP的封装结构包含两个层次：首先是FINS消息本身，由FINS头部、FINS命令和数据组成；然后是TCP/IP封装，FINS消息作为TCP的负载传输。与三菱MC协议和西门子S7协议不同，FINS/TCP在建立TCP连接后，需要进行一次专门的握手过程，以协商FINS节点地址。握手过程由客户端发起，发送FINS地址请求命令，PLC响应并分配客户端节点号，同时告知自身的节点号。后续的FINS通信都使用这些节点号进行源和目标的标识。这一设计使得FINS协议能够支持复杂的多网络路由场景，但也增加了连接建立的复杂度和时间。</w:t>
      </w:r>
    </w:p>
    <w:bookmarkEnd w:id="57"/>
    <w:bookmarkStart w:id="58" w:name="命令代码体系0101内存区读取0102内存区写入"/>
    <w:p>
      <w:pPr>
        <w:pStyle w:val="4"/>
      </w:pPr>
      <w:r>
        <w:t xml:space="preserve">4.1.2 命令代码体系：0101（内存区读取）、0102（内存区写入）</w:t>
      </w:r>
    </w:p>
    <w:p>
      <w:pPr>
        <w:pStyle w:val="FirstParagraph"/>
      </w:pPr>
      <w:r>
        <w:t xml:space="preserve">FINS协议通过2字节的命令代码定义操作类型，形成了完整的命令体系。掌握常用命令代码及其参数格式，是实现PLC数据访问的核心。</w:t>
      </w:r>
    </w:p>
    <w:p>
      <w:pPr>
        <w:pStyle w:val="a0"/>
      </w:pPr>
      <w:r>
        <w:rPr>
          <w:b/>
          <w:bCs/>
        </w:rPr>
        <w:t xml:space="preserve">内存区读取命令（0x0101）</w:t>
      </w:r>
      <w:r>
        <w:t xml:space="preserve">是最常用的FINS命令，用于从PLC的指定内存区域读取数据。命令参数包括：内存区代码（1字节）、起始地址（2字节，通道号）、位偏移（1字节，位寻址时使用）、读取数量（2字节）。响应帧包含结束代码（指示成功或错误类型）和读取的数据内容。内存区读取支持位单位和字单位两种模式，通过命令参数中的标志位区分，这一设计与三菱MC协议的子命令机制类似，但具体编码有所不同。</w:t>
      </w:r>
    </w:p>
    <w:p>
      <w:pPr>
        <w:pStyle w:val="a0"/>
      </w:pPr>
      <w:r>
        <w:rPr>
          <w:b/>
          <w:bCs/>
        </w:rPr>
        <w:t xml:space="preserve">内存区写入命令（0x0102）</w:t>
      </w:r>
      <w:r>
        <w:t xml:space="preserve">与读取命令对称，用于向PLC内存写入数据。其参数结构与读取命令类似，额外包含要写入的数据内容。写入操作的安全风险高于读取，实现时需要特别注意权限验证和意外覆盖防护。欧姆龙PLC通常提供写保护机制，可以通过DIP开关或软件配置限制特定区域的写入访问，工具实现应当能够识别和处理写保护拒绝响应。</w:t>
      </w:r>
    </w:p>
    <w:p>
      <w:pPr>
        <w:pStyle w:val="a0"/>
      </w:pPr>
      <w:r>
        <w:rPr>
          <w:b/>
          <w:bCs/>
        </w:rPr>
        <w:t xml:space="preserve">其他常用命令</w:t>
      </w:r>
      <w:r>
        <w:t xml:space="preserve">包括：0x0103（内存区填充，将指定区域填充为同一值）、0x0104（多个内存区读取，单次读取多个不连续区域）、0x0105（多个内存区写入）、0x0201（参数区读取）、0x0202（参数区写入）、0x0401（运行模式切换，如RUN/STOP/PROGRAM模式）、0x0501（控制器状态读取）、0x0601（时钟读取）、0x0602（时钟写入）等。完整实现这些命令可以构建功能丰富的PLC管理工具，但初始版本可以聚焦于0x0101/0x0102核心命令，逐步扩展。</w:t>
      </w:r>
    </w:p>
    <w:bookmarkEnd w:id="58"/>
    <w:bookmarkStart w:id="59" w:name="节点地址与网络地址配置"/>
    <w:p>
      <w:pPr>
        <w:pStyle w:val="4"/>
      </w:pPr>
      <w:r>
        <w:t xml:space="preserve">4.1.3 节点地址与网络地址配置</w:t>
      </w:r>
    </w:p>
    <w:p>
      <w:pPr>
        <w:pStyle w:val="FirstParagraph"/>
      </w:pPr>
      <w:r>
        <w:t xml:space="preserve">FINS协议的网络模型包含网络地址（Network Address）、节点地址（Node Address）和单元地址（Unit Address）三个层次，支持复杂的多网络拓扑。网络地址标识FINS网络，范围为1-127，0表示本地网络；节点地址标识网络中的设备，范围为1-126；单元地址标识设备中的特定单元，如CPU单元、特殊I/O单元等，0表示CPU单元。在简单的单网络直接连接场景中，网络地址通常设为0，节点地址由握手过程动态分配或静态配置，单元地址为0。</w:t>
      </w:r>
    </w:p>
    <w:p>
      <w:pPr>
        <w:pStyle w:val="a0"/>
      </w:pPr>
      <w:r>
        <w:t xml:space="preserve">FINS/TCP的握手过程涉及特定的命令帧。客户端首先发送FINS/TCP连接请求，格式为”FINS”标识（4字节，0x46494E53）+ 长度（4字节，大端序）+ 命令码（4字节，0x00000000表示节点地址请求）+ 错误代码（4字节，0）+ 客户端节点地址（4字节，通常设为0请求PLC分配）+ 服务器节点地址（4字节，0）。PLC响应包含分配的客户端节点地址和PLC自身的节点地址，这些信息需要在后续的FINS命令帧中使用。理解并正确实现这一握手过程是成功建立FINS/TCP通信的关键。</w:t>
      </w:r>
    </w:p>
    <w:bookmarkEnd w:id="59"/>
    <w:bookmarkEnd w:id="60"/>
    <w:bookmarkStart w:id="64" w:name="内存区寻址"/>
    <w:p>
      <w:pPr>
        <w:pStyle w:val="3"/>
      </w:pPr>
      <w:r>
        <w:t xml:space="preserve">4.2 内存区寻址</w:t>
      </w:r>
    </w:p>
    <w:bookmarkStart w:id="61" w:name="cio区dm区hr区ar区timcnt区"/>
    <w:p>
      <w:pPr>
        <w:pStyle w:val="4"/>
      </w:pPr>
      <w:r>
        <w:t xml:space="preserve">4.2.1 CIO区、DM区、HR区、AR区、TIM/CNT区</w:t>
      </w:r>
    </w:p>
    <w:p>
      <w:pPr>
        <w:pStyle w:val="FirstParagraph"/>
      </w:pPr>
      <w:r>
        <w:t xml:space="preserve">欧姆龙PLC的内存区域划分体现了其系统架构的特点。CIO区（Channel I/O）是最常用的区域，包含输入输出继电器、内部辅助继电器、链接继电器等，地址范围广泛，支持位和字访问。CIO区的字地址从0开始，位地址在字地址后加点号和位号，如CIO100.05表示第100通道的第5位。DM区（Data Memory）是保持型数据寄存器，断电后数据不丢失，用于存储需要长期保存的参数和中间结果，地址范围为D0-D32767（具体取决于PLC型号）。HR区（Holding Relay）是保持型内部继电器，同样具有断电保持特性。AR区（Auxiliary Relay）是特殊辅助继电器，包含系统状态标志、时钟脉冲等预定义功能。</w:t>
      </w:r>
    </w:p>
    <w:p>
      <w:pPr>
        <w:pStyle w:val="a0"/>
      </w:pPr>
      <w:r>
        <w:t xml:space="preserve">TIM/CNT区包含定时器和计数器的当前值和完成标志，访问方式与其他区域有所不同。FINS协议中，定时器当前值的区代码为0x89，计数器当前值为0x8A，而它们的完成标志位于CIO区的特定范围。这种分散的存储结构要求开发者在实现数据映射时特别注意，确保上位机程序能够正确访问和解释这些相关但分离的数据。此外，某些高端PLC还支持EM区（Extended Memory）和W区（Work Area），提供更大的数据存储空间，区代码分别为0xA0-0xA9和0x31。</w:t>
      </w:r>
    </w:p>
    <w:bookmarkEnd w:id="61"/>
    <w:bookmarkStart w:id="62" w:name="地址格式区代码通道号位号"/>
    <w:p>
      <w:pPr>
        <w:pStyle w:val="4"/>
      </w:pPr>
      <w:r>
        <w:t xml:space="preserve">4.2.2 地址格式：区代码+通道号+位号</w:t>
      </w:r>
    </w:p>
    <w:p>
      <w:pPr>
        <w:pStyle w:val="FirstParagraph"/>
      </w:pPr>
      <w:r>
        <w:t xml:space="preserve">FINS协议的地址编码采用紧凑的二进制格式，在命令帧中占用4字节。编码规则为：第1字节是区代码，第2-3字节是通道号（16位，大端序），第4字节是位号（0-15，字操作时设为0）。例如，DM区地址D100的编码为：区代码0x82，通道号0x00 0x64（100的大端16位表示），位号0x00，完整4字节为0x82 0x00 0x64 0x00。CIO区地址CIO100.05的编码为：区代码0x30，通道号0x00 0x64，位号0x05，即0x30 0x00 0x64 0x05。</w:t>
      </w:r>
    </w:p>
    <w:p>
      <w:pPr>
        <w:pStyle w:val="a0"/>
      </w:pPr>
      <w:r>
        <w:t xml:space="preserve">这种编码方式与三菱MC协议的小端序形成鲜明对比，是实现FINS协议时容易出错的地方。在上位机程序的API设计中，建议提供字符串形式的地址表示，如”DM100”、</w:t>
      </w:r>
      <w:r>
        <w:t xml:space="preserve">“</w:t>
      </w:r>
      <w:r>
        <w:t xml:space="preserve">CIO100.05</w:t>
      </w:r>
      <w:r>
        <w:t xml:space="preserve">”</w:t>
      </w:r>
      <w:r>
        <w:t xml:space="preserve">，然后在内部转换为FINS协议要求的二进制格式。字符串解析需要处理各种合法的变体，如带前缀的”D100”和不带前缀的”100”（默认DM区），八进制和十进制的通道号表示等。清晰的文档和严格的输入验证能够帮助用户避免地址指定错误。</w:t>
      </w:r>
    </w:p>
    <w:bookmarkEnd w:id="62"/>
    <w:bookmarkStart w:id="63" w:name="批量操作的字位单位处理"/>
    <w:p>
      <w:pPr>
        <w:pStyle w:val="4"/>
      </w:pPr>
      <w:r>
        <w:t xml:space="preserve">4.2.3 批量操作的字/位单位处理</w:t>
      </w:r>
    </w:p>
    <w:p>
      <w:pPr>
        <w:pStyle w:val="FirstParagraph"/>
      </w:pPr>
      <w:r>
        <w:t xml:space="preserve">FINS协议支持灵活的批量读写操作，可以以字或位为单位指定操作范围。在内存区读取命令（0x0101）中，通过参数指定起始地址和读取元素个数，元素的字/位属性由地址的区代码隐含决定：大多数区代码支持字和位两种访问方式，具体取决于命令参数中的位号设置。对于纯粹的位区域（如CIO区的某些范围），可以按位批量读取；对于字区域（如DM区），通常按字批量读取，但也可以通过指定非零位号实现位访问，不过效率较低。</w:t>
      </w:r>
    </w:p>
    <w:p>
      <w:pPr>
        <w:pStyle w:val="a0"/>
      </w:pPr>
      <w:r>
        <w:t xml:space="preserve">批量写入操作需要注意数据对齐和长度匹配。写入命令的参数指定起始地址和写入元素个数，后续的数据部分必须包含相应数量的元素数据，每个字元素占2字节，每个位元素占1字节（实际只使用1位，但按字节传输）。FINS协议对批量操作的大小有限制，具体限制取决于PLC型号和通信负载，通常单次读取不超过1000字或16000位。在实际应用中，应当根据数据点的分布和更新频率，合理规划批量操作的粒度，在减少通信次数和避免单次请求过大之间取得平衡。</w:t>
      </w:r>
    </w:p>
    <w:bookmarkEnd w:id="63"/>
    <w:bookmarkEnd w:id="64"/>
    <w:bookmarkStart w:id="68" w:name="cp1hnj系列适配"/>
    <w:p>
      <w:pPr>
        <w:pStyle w:val="3"/>
      </w:pPr>
      <w:r>
        <w:t xml:space="preserve">4.3 CP1H/NJ系列适配</w:t>
      </w:r>
    </w:p>
    <w:bookmarkStart w:id="65" w:name="内置以太网端口设置"/>
    <w:p>
      <w:pPr>
        <w:pStyle w:val="4"/>
      </w:pPr>
      <w:r>
        <w:t xml:space="preserve">4.3.1 内置以太网端口设置</w:t>
      </w:r>
    </w:p>
    <w:p>
      <w:pPr>
        <w:pStyle w:val="FirstParagraph"/>
      </w:pPr>
      <w:r>
        <w:t xml:space="preserve">欧姆龙CP1H系列PLC通过选配以太网选项板（CP1W-CIF41）实现以太网通信，NJ系列则内置以太网端口。以太网参数的配置通过CX-Programmer（CP1H）或Sysmac Studio（NJ）软件完成。基本配置包括IP地址、子网掩码、默认网关，需要确保与上位机网络可达。FINS/TCP相关的配置包括：FINS节点号，可以设为自动获取或静态指定，静态指定时需要确保网络中节点号的唯一性；FINS/TCP端口号，默认为9600，可以修改；最大连接数，限制同时建立的TCP连接数量。</w:t>
      </w:r>
    </w:p>
    <w:p>
      <w:pPr>
        <w:pStyle w:val="a0"/>
      </w:pPr>
      <w:r>
        <w:t xml:space="preserve">对于CP1H的以太网选项板，还需要注意其硬件限制：选项板占用一个选项插槽，与串行通信选项板互斥；某些旧版本的选项板固件可能存在兼容性问题，建议升级到最新版本。NJ系列的以太网功能更为强大，支持更多的并发连接和更丰富的网络功能，但基本的FINS/TCP配置与CP1H类似。</w:t>
      </w:r>
    </w:p>
    <w:bookmarkEnd w:id="65"/>
    <w:bookmarkStart w:id="66" w:name="默认端口9600及fins节点号配置"/>
    <w:p>
      <w:pPr>
        <w:pStyle w:val="4"/>
      </w:pPr>
      <w:r>
        <w:t xml:space="preserve">4.3.2 默认端口9600及FINS节点号配置</w:t>
      </w:r>
    </w:p>
    <w:p>
      <w:pPr>
        <w:pStyle w:val="FirstParagraph"/>
      </w:pPr>
      <w:r>
        <w:t xml:space="preserve">FINS/TCP的默认TCP端口为9600，这与欧姆龙其他协议（如EtherNet/IP的44818）不同，配置时需要注意。端口可以在PLC设置中修改，但9600是行业惯例，除非有冲突否则不建议修改。FINS节点号的配置需要与网络环境协调：在简单网络中，通常设为IP地址的最后一段；在复杂网络中，需要通过路由表和网关配置确保节点号的唯一性和可达性。节点号冲突是常见的通信故障原因，表现为间歇性连接失败或响应异常，排查时需要检查网络中所有设备的节点号分配。</w:t>
      </w:r>
    </w:p>
    <w:bookmarkEnd w:id="66"/>
    <w:bookmarkStart w:id="67" w:name="路由表设置与跨网络通信"/>
    <w:p>
      <w:pPr>
        <w:pStyle w:val="4"/>
      </w:pPr>
      <w:r>
        <w:t xml:space="preserve">4.3.3 路由表设置与跨网络通信</w:t>
      </w:r>
    </w:p>
    <w:p>
      <w:pPr>
        <w:pStyle w:val="FirstParagraph"/>
      </w:pPr>
      <w:r>
        <w:t xml:space="preserve">对于跨网络的FINS通信，需要在各级的PLC和网络设备中配置路由表，定义网络地址与物理端口的映射关系。路由表的配置较为复杂，涉及本地网络表、中继网络表等概念，需要深入理解FINS的网络架构。实际应用中，建议先在本地网络验证通信功能，再逐步扩展至跨网络场景，利用CX-Integrator等工具辅助路由表的设计和验证。对于自建通信库的第一阶段实现，可以专注于单网络直连场景，但在架构设计中预留路由支持——FINS头中的DNA/DA1/DA2字段已经包含了完整的路由信息，未来只需在API中暴露这些参数即可。</w:t>
      </w:r>
    </w:p>
    <w:bookmarkEnd w:id="67"/>
    <w:bookmarkEnd w:id="68"/>
    <w:bookmarkEnd w:id="69"/>
    <w:bookmarkStart w:id="82" w:name="通用功能模块设计"/>
    <w:p>
      <w:pPr>
        <w:pStyle w:val="2"/>
      </w:pPr>
      <w:r>
        <w:t xml:space="preserve">5. 通用功能模块设计</w:t>
      </w:r>
    </w:p>
    <w:bookmarkStart w:id="73" w:name="网络通信基础"/>
    <w:p>
      <w:pPr>
        <w:pStyle w:val="3"/>
      </w:pPr>
      <w:r>
        <w:t xml:space="preserve">5.1 网络通信基础</w:t>
      </w:r>
    </w:p>
    <w:bookmarkStart w:id="70" w:name="socket封装tcpclient异步模式"/>
    <w:p>
      <w:pPr>
        <w:pStyle w:val="4"/>
      </w:pPr>
      <w:r>
        <w:t xml:space="preserve">5.1.1 Socket封装：TcpClient异步模式</w:t>
      </w:r>
    </w:p>
    <w:p>
      <w:pPr>
        <w:pStyle w:val="FirstParagraph"/>
      </w:pPr>
      <w:r>
        <w:t xml:space="preserve">.NET框架提供了丰富的网络编程API，从低层的</w:t>
      </w:r>
      <w:r>
        <w:rPr>
          <w:rStyle w:val="VerbatimChar"/>
        </w:rPr>
        <w:t xml:space="preserve">Socket</w:t>
      </w:r>
      <w:r>
        <w:t xml:space="preserve">类到高层的</w:t>
      </w:r>
      <w:r>
        <w:rPr>
          <w:rStyle w:val="VerbatimChar"/>
        </w:rPr>
        <w:t xml:space="preserve">TcpClient</w:t>
      </w:r>
      <w:r>
        <w:t xml:space="preserve">/</w:t>
      </w:r>
      <w:r>
        <w:rPr>
          <w:rStyle w:val="VerbatimChar"/>
        </w:rPr>
        <w:t xml:space="preserve">TcpListener</w:t>
      </w:r>
      <w:r>
        <w:t xml:space="preserve">，为PLC通信库的实现提供了坚实基础。现代.NET应用应当优先采用异步编程模式，即使用</w:t>
      </w:r>
      <w:r>
        <w:rPr>
          <w:rStyle w:val="VerbatimChar"/>
        </w:rPr>
        <w:t xml:space="preserve">async/await</w:t>
      </w:r>
      <w:r>
        <w:t xml:space="preserve">语法糖，将复杂的回调机制转化为看似同步的代码结构，大幅降低了异步编程的心智负担。</w:t>
      </w:r>
    </w:p>
    <w:p>
      <w:pPr>
        <w:pStyle w:val="a0"/>
      </w:pPr>
      <w:r>
        <w:t xml:space="preserve">关键API的使用模式：</w:t>
      </w:r>
    </w:p>
    <w:p>
      <w:pPr>
        <w:pStyle w:val="SourceCode"/>
      </w:pPr>
      <w:r>
        <w:br/>
      </w:r>
      <w:r>
        <w:rPr>
          <w:rStyle w:val="CommentTok"/>
        </w:rPr>
        <w:t xml:space="preserve">// 异步连接</w:t>
      </w:r>
      <w:r>
        <w:br/>
      </w:r>
      <w:r>
        <w:rPr>
          <w:rStyle w:val="NormalTok"/>
        </w:rPr>
        <w:t xml:space="preserve">await tcpClient</w:t>
      </w:r>
      <w:r>
        <w:rPr>
          <w:rStyle w:val="OperatorTok"/>
        </w:rPr>
        <w:t xml:space="preserve">.</w:t>
      </w:r>
      <w:r>
        <w:rPr>
          <w:rStyle w:val="FunctionTok"/>
        </w:rPr>
        <w:t xml:space="preserve">ConnectAsync</w:t>
      </w:r>
      <w:r>
        <w:rPr>
          <w:rStyle w:val="OperatorTok"/>
        </w:rPr>
        <w:t xml:space="preserve">(</w:t>
      </w:r>
      <w:r>
        <w:rPr>
          <w:rStyle w:val="NormalTok"/>
        </w:rPr>
        <w:t xml:space="preserve">ipAddress</w:t>
      </w:r>
      <w:r>
        <w:rPr>
          <w:rStyle w:val="OperatorTok"/>
        </w:rPr>
        <w:t xml:space="preserve">,</w:t>
      </w:r>
      <w:r>
        <w:rPr>
          <w:rStyle w:val="NormalTok"/>
        </w:rPr>
        <w:t xml:space="preserve"> port</w:t>
      </w:r>
      <w:r>
        <w:rPr>
          <w:rStyle w:val="OperatorTok"/>
        </w:rPr>
        <w:t xml:space="preserve">);</w:t>
      </w:r>
      <w:r>
        <w:br/>
      </w:r>
      <w:r>
        <w:br/>
      </w:r>
      <w:r>
        <w:rPr>
          <w:rStyle w:val="CommentTok"/>
        </w:rPr>
        <w:t xml:space="preserve">// 异步发送</w:t>
      </w:r>
      <w:r>
        <w:br/>
      </w:r>
      <w:r>
        <w:rPr>
          <w:rStyle w:val="NormalTok"/>
        </w:rPr>
        <w:t xml:space="preserve">await networkStream</w:t>
      </w:r>
      <w:r>
        <w:rPr>
          <w:rStyle w:val="OperatorTok"/>
        </w:rPr>
        <w:t xml:space="preserve">.</w:t>
      </w:r>
      <w:r>
        <w:rPr>
          <w:rStyle w:val="FunctionTok"/>
        </w:rPr>
        <w:t xml:space="preserve">WriteAsync</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length</w:t>
      </w:r>
      <w:r>
        <w:rPr>
          <w:rStyle w:val="OperatorTok"/>
        </w:rPr>
        <w:t xml:space="preserve">);</w:t>
      </w:r>
      <w:r>
        <w:br/>
      </w:r>
      <w:r>
        <w:br/>
      </w:r>
      <w:r>
        <w:rPr>
          <w:rStyle w:val="CommentTok"/>
        </w:rPr>
        <w:t xml:space="preserve">// 异步接收（需要循环处理）</w:t>
      </w:r>
      <w:r>
        <w:br/>
      </w:r>
      <w:r>
        <w:rPr>
          <w:rStyle w:val="DataTypeTok"/>
        </w:rPr>
        <w:t xml:space="preserve">int</w:t>
      </w:r>
      <w:r>
        <w:rPr>
          <w:rStyle w:val="NormalTok"/>
        </w:rPr>
        <w:t xml:space="preserve"> bytesRead </w:t>
      </w:r>
      <w:r>
        <w:rPr>
          <w:rStyle w:val="OperatorTok"/>
        </w:rPr>
        <w:t xml:space="preserve">=</w:t>
      </w:r>
      <w:r>
        <w:rPr>
          <w:rStyle w:val="NormalTok"/>
        </w:rPr>
        <w:t xml:space="preserve"> await networkStream</w:t>
      </w:r>
      <w:r>
        <w:rPr>
          <w:rStyle w:val="OperatorTok"/>
        </w:rPr>
        <w:t xml:space="preserve">.</w:t>
      </w:r>
      <w:r>
        <w:rPr>
          <w:rStyle w:val="FunctionTok"/>
        </w:rPr>
        <w:t xml:space="preserve">ReadAsync</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OperatorTok"/>
        </w:rPr>
        <w:t xml:space="preserve">);</w:t>
      </w:r>
    </w:p>
    <w:p>
      <w:pPr>
        <w:pStyle w:val="FirstParagraph"/>
      </w:pPr>
      <w:r>
        <w:rPr>
          <w:b/>
          <w:bCs/>
        </w:rPr>
        <w:t xml:space="preserve">重要注意事项</w:t>
      </w:r>
      <w:r>
        <w:t xml:space="preserve">：</w:t>
      </w:r>
      <w:r>
        <w:rPr>
          <w:rStyle w:val="VerbatimChar"/>
        </w:rPr>
        <w:t xml:space="preserve">ReadAsync</w:t>
      </w:r>
      <w:r>
        <w:t xml:space="preserve">的返回值</w:t>
      </w:r>
      <w:r>
        <w:rPr>
          <w:rStyle w:val="VerbatimChar"/>
        </w:rPr>
        <w:t xml:space="preserve">bytesRead</w:t>
      </w:r>
      <w:r>
        <w:t xml:space="preserve">可能小于请求的缓冲区大小，这是TCP流式传输的正常特性。PLC通信协议通常有明确的帧长度标识（如MC协议的数据长度字段），实现代码需要循环读取直到获取完整帧，而非单次</w:t>
      </w:r>
      <w:r>
        <w:rPr>
          <w:rStyle w:val="VerbatimChar"/>
        </w:rPr>
        <w:t xml:space="preserve">ReadAsync</w:t>
      </w:r>
      <w:r>
        <w:t xml:space="preserve">调用。</w:t>
      </w:r>
    </w:p>
    <w:bookmarkEnd w:id="70"/>
    <w:bookmarkStart w:id="71" w:name="连接池管理与心跳检测"/>
    <w:p>
      <w:pPr>
        <w:pStyle w:val="4"/>
      </w:pPr>
      <w:r>
        <w:t xml:space="preserve">5.1.2 连接池管理与心跳检测</w:t>
      </w:r>
    </w:p>
    <w:p>
      <w:pPr>
        <w:pStyle w:val="FirstParagraph"/>
      </w:pPr>
      <w:r>
        <w:t xml:space="preserve">工业应用场景中，上位机往往需要同时与多台PLC保持长连接，或在短时间内频繁访问同一台PLC。连接池（Connection Pool）模式可以有效管理这些连接资源，避免重复的连接建立开销。</w:t>
      </w:r>
    </w:p>
    <w:p>
      <w:pPr>
        <w:pStyle w:val="a0"/>
      </w:pPr>
      <w:r>
        <w:rPr>
          <w:b/>
          <w:bCs/>
        </w:rPr>
        <w:t xml:space="preserve">连接池设计要素</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要素</w:t>
            </w:r>
          </w:p>
        </w:tc>
        <w:tc>
          <w:tcPr/>
          <w:p>
            <w:pPr>
              <w:pStyle w:val="Compact"/>
              <w:jc w:val="left"/>
            </w:pPr>
            <w:r>
              <w:t xml:space="preserve">设计考虑</w:t>
            </w:r>
          </w:p>
        </w:tc>
        <w:tc>
          <w:tcPr/>
          <w:p>
            <w:pPr>
              <w:pStyle w:val="Compact"/>
              <w:jc w:val="left"/>
            </w:pPr>
            <w:r>
              <w:t xml:space="preserve">建议实现</w:t>
            </w:r>
          </w:p>
        </w:tc>
      </w:tr>
      <w:tr>
        <w:tc>
          <w:tcPr/>
          <w:p>
            <w:pPr>
              <w:pStyle w:val="Compact"/>
              <w:jc w:val="left"/>
            </w:pPr>
            <w:r>
              <w:t xml:space="preserve">池大小限制</w:t>
            </w:r>
          </w:p>
        </w:tc>
        <w:tc>
          <w:tcPr/>
          <w:p>
            <w:pPr>
              <w:pStyle w:val="Compact"/>
              <w:jc w:val="left"/>
            </w:pPr>
            <w:r>
              <w:t xml:space="preserve">防止资源耗尽</w:t>
            </w:r>
          </w:p>
        </w:tc>
        <w:tc>
          <w:tcPr/>
          <w:p>
            <w:pPr>
              <w:pStyle w:val="Compact"/>
              <w:jc w:val="left"/>
            </w:pPr>
            <w:r>
              <w:t xml:space="preserve">最大连接数=PLC数量×2（冗余）</w:t>
            </w:r>
          </w:p>
        </w:tc>
      </w:tr>
      <w:tr>
        <w:tc>
          <w:tcPr/>
          <w:p>
            <w:pPr>
              <w:pStyle w:val="Compact"/>
              <w:jc w:val="left"/>
            </w:pPr>
            <w:r>
              <w:t xml:space="preserve">空闲超时</w:t>
            </w:r>
          </w:p>
        </w:tc>
        <w:tc>
          <w:tcPr/>
          <w:p>
            <w:pPr>
              <w:pStyle w:val="Compact"/>
              <w:jc w:val="left"/>
            </w:pPr>
            <w:r>
              <w:t xml:space="preserve">回收闲置资源</w:t>
            </w:r>
          </w:p>
        </w:tc>
        <w:tc>
          <w:tcPr/>
          <w:p>
            <w:pPr>
              <w:pStyle w:val="Compact"/>
              <w:jc w:val="left"/>
            </w:pPr>
            <w:r>
              <w:t xml:space="preserve">60秒无操作关闭连接</w:t>
            </w:r>
          </w:p>
        </w:tc>
      </w:tr>
      <w:tr>
        <w:tc>
          <w:tcPr/>
          <w:p>
            <w:pPr>
              <w:pStyle w:val="Compact"/>
              <w:jc w:val="left"/>
            </w:pPr>
            <w:r>
              <w:t xml:space="preserve">借用超时</w:t>
            </w:r>
          </w:p>
        </w:tc>
        <w:tc>
          <w:tcPr/>
          <w:p>
            <w:pPr>
              <w:pStyle w:val="Compact"/>
              <w:jc w:val="left"/>
            </w:pPr>
            <w:r>
              <w:t xml:space="preserve">避免无限等待</w:t>
            </w:r>
          </w:p>
        </w:tc>
        <w:tc>
          <w:tcPr/>
          <w:p>
            <w:pPr>
              <w:pStyle w:val="Compact"/>
              <w:jc w:val="left"/>
            </w:pPr>
            <w:r>
              <w:t xml:space="preserve">30秒获取不到连接抛出异常</w:t>
            </w:r>
          </w:p>
        </w:tc>
      </w:tr>
      <w:tr>
        <w:tc>
          <w:tcPr/>
          <w:p>
            <w:pPr>
              <w:pStyle w:val="Compact"/>
              <w:jc w:val="left"/>
            </w:pPr>
            <w:r>
              <w:t xml:space="preserve">健康检测</w:t>
            </w:r>
          </w:p>
        </w:tc>
        <w:tc>
          <w:tcPr/>
          <w:p>
            <w:pPr>
              <w:pStyle w:val="Compact"/>
              <w:jc w:val="left"/>
            </w:pPr>
            <w:r>
              <w:t xml:space="preserve">剔除故障连接</w:t>
            </w:r>
          </w:p>
        </w:tc>
        <w:tc>
          <w:tcPr/>
          <w:p>
            <w:pPr>
              <w:pStyle w:val="Compact"/>
              <w:jc w:val="left"/>
            </w:pPr>
            <w:r>
              <w:t xml:space="preserve">发送前验证IsConnected状态</w:t>
            </w:r>
          </w:p>
        </w:tc>
      </w:tr>
    </w:tbl>
    <w:p>
      <w:pPr>
        <w:pStyle w:val="a0"/>
      </w:pPr>
      <w:r>
        <w:rPr>
          <w:b/>
          <w:bCs/>
        </w:rPr>
        <w:t xml:space="preserve">心跳检测机制</w:t>
      </w:r>
      <w:r>
        <w:t xml:space="preserve">对于检测”僵尸连接”至关重要。TCP连接在物理层断开后，如果未发生数据传输，应用层可能长时间无法感知。心跳机制通过周期性发送探测报文（如MC协议的定时读取请求，或协议特定的KeepAlive功能），及时发现连接异常并触发重连。实现策略建议：被动心跳（记录最后一次成功通信时间，下次操作前检查是否超过阈值）与主动心跳（后台定时器发送专用心跳请求）相结合，TCP KeepAlive作为底层补充。</w:t>
      </w:r>
    </w:p>
    <w:bookmarkEnd w:id="71"/>
    <w:bookmarkStart w:id="72" w:name="超时重传与异常恢复机制"/>
    <w:p>
      <w:pPr>
        <w:pStyle w:val="4"/>
      </w:pPr>
      <w:r>
        <w:t xml:space="preserve">5.1.3 超时重传与异常恢复机制</w:t>
      </w:r>
    </w:p>
    <w:p>
      <w:pPr>
        <w:pStyle w:val="FirstParagraph"/>
      </w:pPr>
      <w:r>
        <w:t xml:space="preserve">工业网络环境复杂，电磁干扰、设备负载、网络拥塞都可能导致通信失败。健壮的错误处理机制是通信库可靠性的保障。</w:t>
      </w:r>
    </w:p>
    <w:p>
      <w:pPr>
        <w:pStyle w:val="a0"/>
      </w:pPr>
      <w:r>
        <w:rPr>
          <w:b/>
          <w:bCs/>
        </w:rPr>
        <w:t xml:space="preserve">分层超时策略</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操作阶段</w:t>
            </w:r>
          </w:p>
        </w:tc>
        <w:tc>
          <w:tcPr/>
          <w:p>
            <w:pPr>
              <w:pStyle w:val="Compact"/>
              <w:jc w:val="left"/>
            </w:pPr>
            <w:r>
              <w:t xml:space="preserve">超时设置</w:t>
            </w:r>
          </w:p>
        </w:tc>
        <w:tc>
          <w:tcPr/>
          <w:p>
            <w:pPr>
              <w:pStyle w:val="Compact"/>
              <w:jc w:val="left"/>
            </w:pPr>
            <w:r>
              <w:t xml:space="preserve">典型值</w:t>
            </w:r>
          </w:p>
        </w:tc>
        <w:tc>
          <w:tcPr/>
          <w:p>
            <w:pPr>
              <w:pStyle w:val="Compact"/>
              <w:jc w:val="left"/>
            </w:pPr>
            <w:r>
              <w:t xml:space="preserve">说明</w:t>
            </w:r>
          </w:p>
        </w:tc>
      </w:tr>
      <w:tr>
        <w:tc>
          <w:tcPr/>
          <w:p>
            <w:pPr>
              <w:pStyle w:val="Compact"/>
              <w:jc w:val="left"/>
            </w:pPr>
            <w:r>
              <w:t xml:space="preserve">DNS解析</w:t>
            </w:r>
          </w:p>
        </w:tc>
        <w:tc>
          <w:tcPr/>
          <w:p>
            <w:pPr>
              <w:pStyle w:val="Compact"/>
              <w:jc w:val="left"/>
            </w:pPr>
            <w:r>
              <w:t xml:space="preserve">独立超时</w:t>
            </w:r>
          </w:p>
        </w:tc>
        <w:tc>
          <w:tcPr/>
          <w:p>
            <w:pPr>
              <w:pStyle w:val="Compact"/>
              <w:jc w:val="left"/>
            </w:pPr>
            <w:r>
              <w:t xml:space="preserve">5秒</w:t>
            </w:r>
          </w:p>
        </w:tc>
        <w:tc>
          <w:tcPr/>
          <w:p>
            <w:pPr>
              <w:pStyle w:val="Compact"/>
              <w:jc w:val="left"/>
            </w:pPr>
            <w:r>
              <w:t xml:space="preserve">避免DNS故障导致长时间阻塞</w:t>
            </w:r>
          </w:p>
        </w:tc>
      </w:tr>
      <w:tr>
        <w:tc>
          <w:tcPr/>
          <w:p>
            <w:pPr>
              <w:pStyle w:val="Compact"/>
              <w:jc w:val="left"/>
            </w:pPr>
            <w:r>
              <w:t xml:space="preserve">TCP连接建立</w:t>
            </w:r>
          </w:p>
        </w:tc>
        <w:tc>
          <w:tcPr/>
          <w:p>
            <w:pPr>
              <w:pStyle w:val="Compact"/>
              <w:jc w:val="left"/>
            </w:pPr>
            <w:r>
              <w:t xml:space="preserve">ConnectTimeout</w:t>
            </w:r>
          </w:p>
        </w:tc>
        <w:tc>
          <w:tcPr/>
          <w:p>
            <w:pPr>
              <w:pStyle w:val="Compact"/>
              <w:jc w:val="left"/>
            </w:pPr>
            <w:r>
              <w:t xml:space="preserve">10秒</w:t>
            </w:r>
          </w:p>
        </w:tc>
        <w:tc>
          <w:tcPr/>
          <w:p>
            <w:pPr>
              <w:pStyle w:val="Compact"/>
              <w:jc w:val="left"/>
            </w:pPr>
            <w:r>
              <w:t xml:space="preserve">三次握手完成时间</w:t>
            </w:r>
          </w:p>
        </w:tc>
      </w:tr>
      <w:tr>
        <w:tc>
          <w:tcPr/>
          <w:p>
            <w:pPr>
              <w:pStyle w:val="Compact"/>
              <w:jc w:val="left"/>
            </w:pPr>
            <w:r>
              <w:t xml:space="preserve">请求发送</w:t>
            </w:r>
          </w:p>
        </w:tc>
        <w:tc>
          <w:tcPr/>
          <w:p>
            <w:pPr>
              <w:pStyle w:val="Compact"/>
              <w:jc w:val="left"/>
            </w:pPr>
            <w:r>
              <w:t xml:space="preserve">SendTimeout</w:t>
            </w:r>
          </w:p>
        </w:tc>
        <w:tc>
          <w:tcPr/>
          <w:p>
            <w:pPr>
              <w:pStyle w:val="Compact"/>
              <w:jc w:val="left"/>
            </w:pPr>
            <w:r>
              <w:t xml:space="preserve">5秒</w:t>
            </w:r>
          </w:p>
        </w:tc>
        <w:tc>
          <w:tcPr/>
          <w:p>
            <w:pPr>
              <w:pStyle w:val="Compact"/>
              <w:jc w:val="left"/>
            </w:pPr>
            <w:r>
              <w:t xml:space="preserve">数据推送到发送缓冲区</w:t>
            </w:r>
          </w:p>
        </w:tc>
      </w:tr>
      <w:tr>
        <w:tc>
          <w:tcPr/>
          <w:p>
            <w:pPr>
              <w:pStyle w:val="Compact"/>
              <w:jc w:val="left"/>
            </w:pPr>
            <w:r>
              <w:t xml:space="preserve">响应等待</w:t>
            </w:r>
          </w:p>
        </w:tc>
        <w:tc>
          <w:tcPr/>
          <w:p>
            <w:pPr>
              <w:pStyle w:val="Compact"/>
              <w:jc w:val="left"/>
            </w:pPr>
            <w:r>
              <w:t xml:space="preserve">ReceiveTimeout</w:t>
            </w:r>
          </w:p>
        </w:tc>
        <w:tc>
          <w:tcPr/>
          <w:p>
            <w:pPr>
              <w:pStyle w:val="Compact"/>
              <w:jc w:val="left"/>
            </w:pPr>
            <w:r>
              <w:t xml:space="preserve">10秒</w:t>
            </w:r>
          </w:p>
        </w:tc>
        <w:tc>
          <w:tcPr/>
          <w:p>
            <w:pPr>
              <w:pStyle w:val="Compact"/>
              <w:jc w:val="left"/>
            </w:pPr>
            <w:r>
              <w:t xml:space="preserve">考虑PLC扫描周期</w:t>
            </w:r>
          </w:p>
        </w:tc>
      </w:tr>
      <w:tr>
        <w:tc>
          <w:tcPr/>
          <w:p>
            <w:pPr>
              <w:pStyle w:val="Compact"/>
              <w:jc w:val="left"/>
            </w:pPr>
            <w:r>
              <w:t xml:space="preserve">总操作超时</w:t>
            </w:r>
          </w:p>
        </w:tc>
        <w:tc>
          <w:tcPr/>
          <w:p>
            <w:pPr>
              <w:pStyle w:val="Compact"/>
              <w:jc w:val="left"/>
            </w:pPr>
            <w:r>
              <w:t xml:space="preserve">OperationTimeout</w:t>
            </w:r>
          </w:p>
        </w:tc>
        <w:tc>
          <w:tcPr/>
          <w:p>
            <w:pPr>
              <w:pStyle w:val="Compact"/>
              <w:jc w:val="left"/>
            </w:pPr>
            <w:r>
              <w:t xml:space="preserve">30秒</w:t>
            </w:r>
          </w:p>
        </w:tc>
        <w:tc>
          <w:tcPr/>
          <w:p>
            <w:pPr>
              <w:pStyle w:val="Compact"/>
              <w:jc w:val="left"/>
            </w:pPr>
            <w:r>
              <w:t xml:space="preserve">覆盖全部阶段</w:t>
            </w:r>
          </w:p>
        </w:tc>
      </w:tr>
    </w:tbl>
    <w:p>
      <w:pPr>
        <w:pStyle w:val="a0"/>
      </w:pPr>
      <w:r>
        <w:rPr>
          <w:b/>
          <w:bCs/>
        </w:rPr>
        <w:t xml:space="preserve">重传策略</w:t>
      </w:r>
      <w:r>
        <w:t xml:space="preserve">需要谨慎设计，避免在PLC过载或网络拥塞时加剧问题。建议采用指数退避算法：首次重试间隔1秒，第二次2秒，第三次4秒，最多3-5次后放弃。对于写入操作，重传前需要确认上次操作是否实际已执行（通过读取验证），避免重复写入导致数据错误。</w:t>
      </w:r>
    </w:p>
    <w:bookmarkEnd w:id="72"/>
    <w:bookmarkEnd w:id="73"/>
    <w:bookmarkStart w:id="77" w:name="数据类型转换"/>
    <w:p>
      <w:pPr>
        <w:pStyle w:val="3"/>
      </w:pPr>
      <w:r>
        <w:t xml:space="preserve">5.2 数据类型转换</w:t>
      </w:r>
    </w:p>
    <w:bookmarkStart w:id="74" w:name="字节序处理big-endianlittle-endian"/>
    <w:p>
      <w:pPr>
        <w:pStyle w:val="4"/>
      </w:pPr>
      <w:r>
        <w:t xml:space="preserve">5.2.1 字节序处理：Big-Endian/Little-Endian</w:t>
      </w:r>
    </w:p>
    <w:p>
      <w:pPr>
        <w:pStyle w:val="FirstParagraph"/>
      </w:pPr>
      <w:r>
        <w:t xml:space="preserve">字节序（Endianness）是跨平台数据交换的永恒话题。工业通信中，PLC与PC往往采用不同的字节序，正确的转换是保证数据完整性的关键。</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平台/协议</w:t>
            </w:r>
          </w:p>
        </w:tc>
        <w:tc>
          <w:tcPr/>
          <w:p>
            <w:pPr>
              <w:pStyle w:val="Compact"/>
              <w:jc w:val="left"/>
            </w:pPr>
            <w:r>
              <w:t xml:space="preserve">字节序</w:t>
            </w:r>
          </w:p>
        </w:tc>
        <w:tc>
          <w:tcPr/>
          <w:p>
            <w:pPr>
              <w:pStyle w:val="Compact"/>
              <w:jc w:val="left"/>
            </w:pPr>
            <w:r>
              <w:t xml:space="preserve">典型影响</w:t>
            </w:r>
          </w:p>
        </w:tc>
      </w:tr>
      <w:tr>
        <w:tc>
          <w:tcPr/>
          <w:p>
            <w:pPr>
              <w:pStyle w:val="Compact"/>
              <w:jc w:val="left"/>
            </w:pPr>
            <w:r>
              <w:t xml:space="preserve">西门子S7</w:t>
            </w:r>
          </w:p>
        </w:tc>
        <w:tc>
          <w:tcPr/>
          <w:p>
            <w:pPr>
              <w:pStyle w:val="Compact"/>
              <w:jc w:val="left"/>
            </w:pPr>
            <w:r>
              <w:t xml:space="preserve">Big-Endian</w:t>
            </w:r>
          </w:p>
        </w:tc>
        <w:tc>
          <w:tcPr/>
          <w:p>
            <w:pPr>
              <w:pStyle w:val="Compact"/>
              <w:jc w:val="left"/>
            </w:pPr>
            <w:r>
              <w:t xml:space="preserve">多字节数值高低字节颠倒</w:t>
            </w:r>
          </w:p>
        </w:tc>
      </w:tr>
      <w:tr>
        <w:tc>
          <w:tcPr/>
          <w:p>
            <w:pPr>
              <w:pStyle w:val="Compact"/>
              <w:jc w:val="left"/>
            </w:pPr>
            <w:r>
              <w:t xml:space="preserve">三菱MC（二进制）</w:t>
            </w:r>
          </w:p>
        </w:tc>
        <w:tc>
          <w:tcPr/>
          <w:p>
            <w:pPr>
              <w:pStyle w:val="Compact"/>
              <w:jc w:val="left"/>
            </w:pPr>
            <w:r>
              <w:t xml:space="preserve">Little-Endian</w:t>
            </w:r>
          </w:p>
        </w:tc>
        <w:tc>
          <w:tcPr/>
          <w:p>
            <w:pPr>
              <w:pStyle w:val="Compact"/>
              <w:jc w:val="left"/>
            </w:pPr>
            <w:r>
              <w:t xml:space="preserve">与Intel x86一致</w:t>
            </w:r>
          </w:p>
        </w:tc>
      </w:tr>
      <w:tr>
        <w:tc>
          <w:tcPr/>
          <w:p>
            <w:pPr>
              <w:pStyle w:val="Compact"/>
              <w:jc w:val="left"/>
            </w:pPr>
            <w:r>
              <w:t xml:space="preserve">三菱MC（ASCII）</w:t>
            </w:r>
          </w:p>
        </w:tc>
        <w:tc>
          <w:tcPr/>
          <w:p>
            <w:pPr>
              <w:pStyle w:val="Compact"/>
              <w:jc w:val="left"/>
            </w:pPr>
            <w:r>
              <w:t xml:space="preserve">文本表示</w:t>
            </w:r>
          </w:p>
        </w:tc>
        <w:tc>
          <w:tcPr/>
          <w:p>
            <w:pPr>
              <w:pStyle w:val="Compact"/>
              <w:jc w:val="left"/>
            </w:pPr>
            <w:r>
              <w:t xml:space="preserve">无字节序问题，效率较低</w:t>
            </w:r>
          </w:p>
        </w:tc>
      </w:tr>
      <w:tr>
        <w:tc>
          <w:tcPr/>
          <w:p>
            <w:pPr>
              <w:pStyle w:val="Compact"/>
              <w:jc w:val="left"/>
            </w:pPr>
            <w:r>
              <w:t xml:space="preserve">欧姆龙FINS</w:t>
            </w:r>
          </w:p>
        </w:tc>
        <w:tc>
          <w:tcPr/>
          <w:p>
            <w:pPr>
              <w:pStyle w:val="Compact"/>
              <w:jc w:val="left"/>
            </w:pPr>
            <w:r>
              <w:t xml:space="preserve">Big-Endian</w:t>
            </w:r>
          </w:p>
        </w:tc>
        <w:tc>
          <w:tcPr/>
          <w:p>
            <w:pPr>
              <w:pStyle w:val="Compact"/>
              <w:jc w:val="left"/>
            </w:pPr>
            <w:r>
              <w:t xml:space="preserve">与S7类似</w:t>
            </w:r>
          </w:p>
        </w:tc>
      </w:tr>
      <w:tr>
        <w:tc>
          <w:tcPr/>
          <w:p>
            <w:pPr>
              <w:pStyle w:val="Compact"/>
              <w:jc w:val="left"/>
            </w:pPr>
            <w:r>
              <w:t xml:space="preserve">Intel x86 PC</w:t>
            </w:r>
          </w:p>
        </w:tc>
        <w:tc>
          <w:tcPr/>
          <w:p>
            <w:pPr>
              <w:pStyle w:val="Compact"/>
              <w:jc w:val="left"/>
            </w:pPr>
            <w:r>
              <w:t xml:space="preserve">Little-Endian</w:t>
            </w:r>
          </w:p>
        </w:tc>
        <w:tc>
          <w:tcPr/>
          <w:p>
            <w:pPr>
              <w:pStyle w:val="Compact"/>
              <w:jc w:val="left"/>
            </w:pPr>
            <w:r>
              <w:t xml:space="preserve">原生格式，无需转换</w:t>
            </w:r>
          </w:p>
        </w:tc>
      </w:tr>
    </w:tbl>
    <w:p>
      <w:pPr>
        <w:pStyle w:val="a0"/>
      </w:pPr>
      <w:r>
        <w:rPr>
          <w:b/>
          <w:bCs/>
        </w:rPr>
        <w:t xml:space="preserve">转换实现</w:t>
      </w:r>
      <w:r>
        <w:t xml:space="preserve">：.NET提供了</w:t>
      </w:r>
      <w:r>
        <w:rPr>
          <w:rStyle w:val="VerbatimChar"/>
        </w:rPr>
        <w:t xml:space="preserve">BitConverter</w:t>
      </w:r>
      <w:r>
        <w:t xml:space="preserve">类，但其行为依赖主机字节序，不推荐直接使用。更可靠的方式是显式实现转换方法，或使用</w:t>
      </w:r>
      <w:r>
        <w:rPr>
          <w:rStyle w:val="VerbatimChar"/>
        </w:rPr>
        <w:t xml:space="preserve">BinaryPrimitives</w:t>
      </w:r>
      <w:r>
        <w:t xml:space="preserve">类（.NET Core 2.1+）提供的高性能、显式字节序的读写方法。</w:t>
      </w:r>
    </w:p>
    <w:bookmarkEnd w:id="74"/>
    <w:bookmarkStart w:id="75" w:name="数值类型shortintfloatdouble的plc映射"/>
    <w:p>
      <w:pPr>
        <w:pStyle w:val="4"/>
      </w:pPr>
      <w:r>
        <w:t xml:space="preserve">5.2.2 数值类型：short/int/float/double的PLC映射</w:t>
      </w:r>
    </w:p>
    <w:p>
      <w:pPr>
        <w:pStyle w:val="FirstParagraph"/>
      </w:pPr>
      <w:r>
        <w:t xml:space="preserve">PLC与上位机的数值类型映射涉及位宽、编码格式、数值范围等多个维度：</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C#类型</w:t>
            </w:r>
          </w:p>
        </w:tc>
        <w:tc>
          <w:tcPr/>
          <w:p>
            <w:pPr>
              <w:pStyle w:val="Compact"/>
              <w:jc w:val="left"/>
            </w:pPr>
            <w:r>
              <w:t xml:space="preserve">长度（字节）</w:t>
            </w:r>
          </w:p>
        </w:tc>
        <w:tc>
          <w:tcPr/>
          <w:p>
            <w:pPr>
              <w:pStyle w:val="Compact"/>
              <w:jc w:val="left"/>
            </w:pPr>
            <w:r>
              <w:t xml:space="preserve">典型PLC表示</w:t>
            </w:r>
          </w:p>
        </w:tc>
        <w:tc>
          <w:tcPr/>
          <w:p>
            <w:pPr>
              <w:pStyle w:val="Compact"/>
              <w:jc w:val="left"/>
            </w:pPr>
            <w:r>
              <w:t xml:space="preserve">注意事项</w:t>
            </w:r>
          </w:p>
        </w:tc>
      </w:tr>
      <w:tr>
        <w:tc>
          <w:tcPr/>
          <w:p>
            <w:pPr>
              <w:pStyle w:val="Compact"/>
              <w:jc w:val="left"/>
            </w:pPr>
            <w:r>
              <w:t xml:space="preserve">bool</w:t>
            </w:r>
          </w:p>
        </w:tc>
        <w:tc>
          <w:tcPr/>
          <w:p>
            <w:pPr>
              <w:pStyle w:val="Compact"/>
              <w:jc w:val="left"/>
            </w:pPr>
            <w:r>
              <w:t xml:space="preserve">1/8位</w:t>
            </w:r>
          </w:p>
        </w:tc>
        <w:tc>
          <w:tcPr/>
          <w:p>
            <w:pPr>
              <w:pStyle w:val="Compact"/>
              <w:jc w:val="left"/>
            </w:pPr>
            <w:r>
              <w:t xml:space="preserve">位软元件</w:t>
            </w:r>
          </w:p>
        </w:tc>
        <w:tc>
          <w:tcPr/>
          <w:p>
            <w:pPr>
              <w:pStyle w:val="Compact"/>
              <w:jc w:val="left"/>
            </w:pPr>
            <w:r>
              <w:t xml:space="preserve">批量读写时打包为字节</w:t>
            </w:r>
          </w:p>
        </w:tc>
      </w:tr>
      <w:tr>
        <w:tc>
          <w:tcPr/>
          <w:p>
            <w:pPr>
              <w:pStyle w:val="Compact"/>
              <w:jc w:val="left"/>
            </w:pPr>
            <w:r>
              <w:t xml:space="preserve">byte</w:t>
            </w:r>
          </w:p>
        </w:tc>
        <w:tc>
          <w:tcPr/>
          <w:p>
            <w:pPr>
              <w:pStyle w:val="Compact"/>
              <w:jc w:val="left"/>
            </w:pPr>
            <w:r>
              <w:t xml:space="preserve">1</w:t>
            </w:r>
          </w:p>
        </w:tc>
        <w:tc>
          <w:tcPr/>
          <w:p>
            <w:pPr>
              <w:pStyle w:val="Compact"/>
              <w:jc w:val="left"/>
            </w:pPr>
            <w:r>
              <w:t xml:space="preserve">字节</w:t>
            </w:r>
          </w:p>
        </w:tc>
        <w:tc>
          <w:tcPr/>
          <w:p>
            <w:pPr>
              <w:pStyle w:val="Compact"/>
              <w:jc w:val="left"/>
            </w:pPr>
            <w:r>
              <w:t xml:space="preserve">无符号，范围0-255</w:t>
            </w:r>
          </w:p>
        </w:tc>
      </w:tr>
      <w:tr>
        <w:tc>
          <w:tcPr/>
          <w:p>
            <w:pPr>
              <w:pStyle w:val="Compact"/>
              <w:jc w:val="left"/>
            </w:pPr>
            <w:r>
              <w:t xml:space="preserve">short</w:t>
            </w:r>
          </w:p>
        </w:tc>
        <w:tc>
          <w:tcPr/>
          <w:p>
            <w:pPr>
              <w:pStyle w:val="Compact"/>
              <w:jc w:val="left"/>
            </w:pPr>
            <w:r>
              <w:t xml:space="preserve">2</w:t>
            </w:r>
          </w:p>
        </w:tc>
        <w:tc>
          <w:tcPr/>
          <w:p>
            <w:pPr>
              <w:pStyle w:val="Compact"/>
              <w:jc w:val="left"/>
            </w:pPr>
            <w:r>
              <w:t xml:space="preserve">字（Word）</w:t>
            </w:r>
          </w:p>
        </w:tc>
        <w:tc>
          <w:tcPr/>
          <w:p>
            <w:pPr>
              <w:pStyle w:val="Compact"/>
              <w:jc w:val="left"/>
            </w:pPr>
            <w:r>
              <w:t xml:space="preserve">有符号，注意溢出</w:t>
            </w:r>
          </w:p>
        </w:tc>
      </w:tr>
      <w:tr>
        <w:tc>
          <w:tcPr/>
          <w:p>
            <w:pPr>
              <w:pStyle w:val="Compact"/>
              <w:jc w:val="left"/>
            </w:pPr>
            <w:r>
              <w:t xml:space="preserve">ushort</w:t>
            </w:r>
          </w:p>
        </w:tc>
        <w:tc>
          <w:tcPr/>
          <w:p>
            <w:pPr>
              <w:pStyle w:val="Compact"/>
              <w:jc w:val="left"/>
            </w:pPr>
            <w:r>
              <w:t xml:space="preserve">2</w:t>
            </w:r>
          </w:p>
        </w:tc>
        <w:tc>
          <w:tcPr/>
          <w:p>
            <w:pPr>
              <w:pStyle w:val="Compact"/>
              <w:jc w:val="left"/>
            </w:pPr>
            <w:r>
              <w:t xml:space="preserve">字</w:t>
            </w:r>
          </w:p>
        </w:tc>
        <w:tc>
          <w:tcPr/>
          <w:p>
            <w:pPr>
              <w:pStyle w:val="Compact"/>
              <w:jc w:val="left"/>
            </w:pPr>
            <w:r>
              <w:t xml:space="preserve">无符号，PLC常用</w:t>
            </w:r>
          </w:p>
        </w:tc>
      </w:tr>
      <w:tr>
        <w:tc>
          <w:tcPr/>
          <w:p>
            <w:pPr>
              <w:pStyle w:val="Compact"/>
              <w:jc w:val="left"/>
            </w:pPr>
            <w:r>
              <w:t xml:space="preserve">int</w:t>
            </w:r>
          </w:p>
        </w:tc>
        <w:tc>
          <w:tcPr/>
          <w:p>
            <w:pPr>
              <w:pStyle w:val="Compact"/>
              <w:jc w:val="left"/>
            </w:pPr>
            <w:r>
              <w:t xml:space="preserve">4</w:t>
            </w:r>
          </w:p>
        </w:tc>
        <w:tc>
          <w:tcPr/>
          <w:p>
            <w:pPr>
              <w:pStyle w:val="Compact"/>
              <w:jc w:val="left"/>
            </w:pPr>
            <w:r>
              <w:t xml:space="preserve">双字（DWord）</w:t>
            </w:r>
          </w:p>
        </w:tc>
        <w:tc>
          <w:tcPr/>
          <w:p>
            <w:pPr>
              <w:pStyle w:val="Compact"/>
              <w:jc w:val="left"/>
            </w:pPr>
            <w:r>
              <w:t xml:space="preserve">有符号</w:t>
            </w:r>
          </w:p>
        </w:tc>
      </w:tr>
      <w:tr>
        <w:tc>
          <w:tcPr/>
          <w:p>
            <w:pPr>
              <w:pStyle w:val="Compact"/>
              <w:jc w:val="left"/>
            </w:pPr>
            <w:r>
              <w:t xml:space="preserve">uint</w:t>
            </w:r>
          </w:p>
        </w:tc>
        <w:tc>
          <w:tcPr/>
          <w:p>
            <w:pPr>
              <w:pStyle w:val="Compact"/>
              <w:jc w:val="left"/>
            </w:pPr>
            <w:r>
              <w:t xml:space="preserve">4</w:t>
            </w:r>
          </w:p>
        </w:tc>
        <w:tc>
          <w:tcPr/>
          <w:p>
            <w:pPr>
              <w:pStyle w:val="Compact"/>
              <w:jc w:val="left"/>
            </w:pPr>
            <w:r>
              <w:t xml:space="preserve">双字</w:t>
            </w:r>
          </w:p>
        </w:tc>
        <w:tc>
          <w:tcPr/>
          <w:p>
            <w:pPr>
              <w:pStyle w:val="Compact"/>
              <w:jc w:val="left"/>
            </w:pPr>
            <w:r>
              <w:t xml:space="preserve">无符号</w:t>
            </w:r>
          </w:p>
        </w:tc>
      </w:tr>
      <w:tr>
        <w:tc>
          <w:tcPr/>
          <w:p>
            <w:pPr>
              <w:pStyle w:val="Compact"/>
              <w:jc w:val="left"/>
            </w:pPr>
            <w:r>
              <w:t xml:space="preserve">float</w:t>
            </w:r>
          </w:p>
        </w:tc>
        <w:tc>
          <w:tcPr/>
          <w:p>
            <w:pPr>
              <w:pStyle w:val="Compact"/>
              <w:jc w:val="left"/>
            </w:pPr>
            <w:r>
              <w:t xml:space="preserve">4</w:t>
            </w:r>
          </w:p>
        </w:tc>
        <w:tc>
          <w:tcPr/>
          <w:p>
            <w:pPr>
              <w:pStyle w:val="Compact"/>
              <w:jc w:val="left"/>
            </w:pPr>
            <w:r>
              <w:t xml:space="preserve">实数（Real）</w:t>
            </w:r>
          </w:p>
        </w:tc>
        <w:tc>
          <w:tcPr/>
          <w:p>
            <w:pPr>
              <w:pStyle w:val="Compact"/>
              <w:jc w:val="left"/>
            </w:pPr>
            <w:r>
              <w:t xml:space="preserve">IEEE 754单精度</w:t>
            </w:r>
          </w:p>
        </w:tc>
      </w:tr>
      <w:tr>
        <w:tc>
          <w:tcPr/>
          <w:p>
            <w:pPr>
              <w:pStyle w:val="Compact"/>
              <w:jc w:val="left"/>
            </w:pPr>
            <w:r>
              <w:t xml:space="preserve">double</w:t>
            </w:r>
          </w:p>
        </w:tc>
        <w:tc>
          <w:tcPr/>
          <w:p>
            <w:pPr>
              <w:pStyle w:val="Compact"/>
              <w:jc w:val="left"/>
            </w:pPr>
            <w:r>
              <w:t xml:space="preserve">8</w:t>
            </w:r>
          </w:p>
        </w:tc>
        <w:tc>
          <w:tcPr/>
          <w:p>
            <w:pPr>
              <w:pStyle w:val="Compact"/>
              <w:jc w:val="left"/>
            </w:pPr>
            <w:r>
              <w:t xml:space="preserve">长实数（LReal）</w:t>
            </w:r>
          </w:p>
        </w:tc>
        <w:tc>
          <w:tcPr/>
          <w:p>
            <w:pPr>
              <w:pStyle w:val="Compact"/>
              <w:jc w:val="left"/>
            </w:pPr>
            <w:r>
              <w:t xml:space="preserve">S7-1500等新型号支持</w:t>
            </w:r>
          </w:p>
        </w:tc>
      </w:tr>
    </w:tbl>
    <w:p>
      <w:pPr>
        <w:pStyle w:val="a0"/>
      </w:pPr>
      <w:r>
        <w:rPr>
          <w:b/>
          <w:bCs/>
        </w:rPr>
        <w:t xml:space="preserve">类型安全</w:t>
      </w:r>
      <w:r>
        <w:t xml:space="preserve">是API设计的重要考量。泛型方法</w:t>
      </w:r>
      <w:r>
        <w:rPr>
          <w:rStyle w:val="VerbatimChar"/>
        </w:rPr>
        <w:t xml:space="preserve">Read&lt;T&gt;</w:t>
      </w:r>
      <w:r>
        <w:t xml:space="preserve">和</w:t>
      </w:r>
      <w:r>
        <w:rPr>
          <w:rStyle w:val="VerbatimChar"/>
        </w:rPr>
        <w:t xml:space="preserve">Write&lt;T&gt;</w:t>
      </w:r>
      <w:r>
        <w:t xml:space="preserve">在编译期提供类型检查，但运行时仍需验证T的实际类型与PLC地址的数据宽度匹配。</w:t>
      </w:r>
    </w:p>
    <w:bookmarkEnd w:id="75"/>
    <w:bookmarkStart w:id="76" w:name="字符串处理asciiunicode编码转换"/>
    <w:p>
      <w:pPr>
        <w:pStyle w:val="4"/>
      </w:pPr>
      <w:r>
        <w:t xml:space="preserve">5.2.3 字符串处理：ASCII/Unicode编码转换</w:t>
      </w:r>
    </w:p>
    <w:p>
      <w:pPr>
        <w:pStyle w:val="FirstParagraph"/>
      </w:pPr>
      <w:r>
        <w:t xml:space="preserve">PLC中的字符串存储格式多样，通信库需要灵活支持：</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编码方式</w:t>
            </w:r>
          </w:p>
        </w:tc>
        <w:tc>
          <w:tcPr/>
          <w:p>
            <w:pPr>
              <w:pStyle w:val="Compact"/>
              <w:jc w:val="left"/>
            </w:pPr>
            <w:r>
              <w:t xml:space="preserve">特点</w:t>
            </w:r>
          </w:p>
        </w:tc>
        <w:tc>
          <w:tcPr/>
          <w:p>
            <w:pPr>
              <w:pStyle w:val="Compact"/>
              <w:jc w:val="left"/>
            </w:pPr>
            <w:r>
              <w:t xml:space="preserve">适用场景</w:t>
            </w:r>
          </w:p>
        </w:tc>
      </w:tr>
      <w:tr>
        <w:tc>
          <w:tcPr/>
          <w:p>
            <w:pPr>
              <w:pStyle w:val="Compact"/>
              <w:jc w:val="left"/>
            </w:pPr>
            <w:r>
              <w:t xml:space="preserve">ASCII（7位）</w:t>
            </w:r>
          </w:p>
        </w:tc>
        <w:tc>
          <w:tcPr/>
          <w:p>
            <w:pPr>
              <w:pStyle w:val="Compact"/>
              <w:jc w:val="left"/>
            </w:pPr>
            <w:r>
              <w:t xml:space="preserve">单字节，范围有限</w:t>
            </w:r>
          </w:p>
        </w:tc>
        <w:tc>
          <w:tcPr/>
          <w:p>
            <w:pPr>
              <w:pStyle w:val="Compact"/>
              <w:jc w:val="left"/>
            </w:pPr>
            <w:r>
              <w:t xml:space="preserve">英文标识、简单文本</w:t>
            </w:r>
          </w:p>
        </w:tc>
      </w:tr>
      <w:tr>
        <w:tc>
          <w:tcPr/>
          <w:p>
            <w:pPr>
              <w:pStyle w:val="Compact"/>
              <w:jc w:val="left"/>
            </w:pPr>
            <w:r>
              <w:t xml:space="preserve">Extended ASCII（8位）</w:t>
            </w:r>
          </w:p>
        </w:tc>
        <w:tc>
          <w:tcPr/>
          <w:p>
            <w:pPr>
              <w:pStyle w:val="Compact"/>
              <w:jc w:val="left"/>
            </w:pPr>
            <w:r>
              <w:t xml:space="preserve">单字节，扩展字符</w:t>
            </w:r>
          </w:p>
        </w:tc>
        <w:tc>
          <w:tcPr/>
          <w:p>
            <w:pPr>
              <w:pStyle w:val="Compact"/>
              <w:jc w:val="left"/>
            </w:pPr>
            <w:r>
              <w:t xml:space="preserve">西欧语言</w:t>
            </w:r>
          </w:p>
        </w:tc>
      </w:tr>
      <w:tr>
        <w:tc>
          <w:tcPr/>
          <w:p>
            <w:pPr>
              <w:pStyle w:val="Compact"/>
              <w:jc w:val="left"/>
            </w:pPr>
            <w:r>
              <w:t xml:space="preserve">Shift-JIS</w:t>
            </w:r>
          </w:p>
        </w:tc>
        <w:tc>
          <w:tcPr/>
          <w:p>
            <w:pPr>
              <w:pStyle w:val="Compact"/>
              <w:jc w:val="left"/>
            </w:pPr>
            <w:r>
              <w:t xml:space="preserve">日文字符</w:t>
            </w:r>
          </w:p>
        </w:tc>
        <w:tc>
          <w:tcPr/>
          <w:p>
            <w:pPr>
              <w:pStyle w:val="Compact"/>
              <w:jc w:val="left"/>
            </w:pPr>
            <w:r>
              <w:t xml:space="preserve">日本市场三菱PLC</w:t>
            </w:r>
          </w:p>
        </w:tc>
      </w:tr>
      <w:tr>
        <w:tc>
          <w:tcPr/>
          <w:p>
            <w:pPr>
              <w:pStyle w:val="Compact"/>
              <w:jc w:val="left"/>
            </w:pPr>
            <w:r>
              <w:t xml:space="preserve">Unicode（UTF-16）</w:t>
            </w:r>
          </w:p>
        </w:tc>
        <w:tc>
          <w:tcPr/>
          <w:p>
            <w:pPr>
              <w:pStyle w:val="Compact"/>
              <w:jc w:val="left"/>
            </w:pPr>
            <w:r>
              <w:t xml:space="preserve">双字节，全球通用</w:t>
            </w:r>
          </w:p>
        </w:tc>
        <w:tc>
          <w:tcPr/>
          <w:p>
            <w:pPr>
              <w:pStyle w:val="Compact"/>
              <w:jc w:val="left"/>
            </w:pPr>
            <w:r>
              <w:t xml:space="preserve">S7-1500等新型号</w:t>
            </w:r>
          </w:p>
        </w:tc>
      </w:tr>
    </w:tbl>
    <w:p>
      <w:pPr>
        <w:pStyle w:val="a0"/>
      </w:pPr>
      <w:r>
        <w:rPr>
          <w:b/>
          <w:bCs/>
        </w:rPr>
        <w:t xml:space="preserve">S7字符串格式</w:t>
      </w:r>
      <w:r>
        <w:t xml:space="preserve">的特殊性：西门子PLC使用”西门子字符串”格式，首字节为最大长度，次字节为当前长度，后续为字符数据。读取时需要解析长度字段，写入时需要确保不超出最大长度。</w:t>
      </w:r>
    </w:p>
    <w:bookmarkEnd w:id="76"/>
    <w:bookmarkEnd w:id="77"/>
    <w:bookmarkStart w:id="81" w:name="批量与高速操作"/>
    <w:p>
      <w:pPr>
        <w:pStyle w:val="3"/>
      </w:pPr>
      <w:r>
        <w:t xml:space="preserve">5.3 批量与高速操作</w:t>
      </w:r>
    </w:p>
    <w:bookmarkStart w:id="78" w:name="数据块打包策略"/>
    <w:p>
      <w:pPr>
        <w:pStyle w:val="4"/>
      </w:pPr>
      <w:r>
        <w:t xml:space="preserve">5.3.1 数据块打包策略</w:t>
      </w:r>
    </w:p>
    <w:p>
      <w:pPr>
        <w:pStyle w:val="FirstParagraph"/>
      </w:pPr>
      <w:r>
        <w:t xml:space="preserve">批量操作的核心优化在于减少网络往返次数。对于分散的多个地址，需要设计智能的打包算法：</w:t>
      </w:r>
    </w:p>
    <w:p>
      <w:pPr>
        <w:pStyle w:val="a0"/>
      </w:pPr>
      <w:r>
        <w:rPr>
          <w:b/>
          <w:bCs/>
        </w:rPr>
        <w:t xml:space="preserve">地址聚类算法</w:t>
      </w:r>
      <w:r>
        <w:t xml:space="preserve">：</w:t>
      </w:r>
    </w:p>
    <w:p>
      <w:pPr>
        <w:pStyle w:val="Compact"/>
        <w:numPr>
          <w:ilvl w:val="0"/>
          <w:numId w:val="1003"/>
        </w:numPr>
      </w:pPr>
      <w:r>
        <w:t xml:space="preserve">收集所有待访问地址，按软元件类型分组</w:t>
      </w:r>
    </w:p>
    <w:p>
      <w:pPr>
        <w:pStyle w:val="Compact"/>
        <w:numPr>
          <w:ilvl w:val="0"/>
          <w:numId w:val="1003"/>
        </w:numPr>
      </w:pPr>
      <w:r>
        <w:t xml:space="preserve">同类型地址按起始位置排序</w:t>
      </w:r>
    </w:p>
    <w:p>
      <w:pPr>
        <w:pStyle w:val="Compact"/>
        <w:numPr>
          <w:ilvl w:val="0"/>
          <w:numId w:val="1003"/>
        </w:numPr>
      </w:pPr>
      <w:r>
        <w:t xml:space="preserve">遍历排序后的地址，合并间隔小于阈值的连续区域</w:t>
      </w:r>
    </w:p>
    <w:p>
      <w:pPr>
        <w:pStyle w:val="Compact"/>
        <w:numPr>
          <w:ilvl w:val="0"/>
          <w:numId w:val="1003"/>
        </w:numPr>
      </w:pPr>
      <w:r>
        <w:t xml:space="preserve">检查合并后的总长度是否超过协议限制</w:t>
      </w:r>
    </w:p>
    <w:p>
      <w:pPr>
        <w:pStyle w:val="Compact"/>
        <w:numPr>
          <w:ilvl w:val="0"/>
          <w:numId w:val="1003"/>
        </w:numPr>
      </w:pPr>
      <w:r>
        <w:t xml:space="preserve">超长区域拆分为多个子请求</w:t>
      </w:r>
    </w:p>
    <w:bookmarkEnd w:id="78"/>
    <w:bookmarkStart w:id="79" w:name="连续地址优化读取"/>
    <w:p>
      <w:pPr>
        <w:pStyle w:val="4"/>
      </w:pPr>
      <w:r>
        <w:t xml:space="preserve">5.3.2 连续地址优化读取</w:t>
      </w:r>
    </w:p>
    <w:p>
      <w:pPr>
        <w:pStyle w:val="FirstParagraph"/>
      </w:pPr>
      <w:r>
        <w:t xml:space="preserve">对于大规模连续数据的读取，可以利用协议的最大传输能力：</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协议</w:t>
            </w:r>
          </w:p>
        </w:tc>
        <w:tc>
          <w:tcPr/>
          <w:p>
            <w:pPr>
              <w:pStyle w:val="Compact"/>
              <w:jc w:val="left"/>
            </w:pPr>
            <w:r>
              <w:t xml:space="preserve">最大读取长度</w:t>
            </w:r>
          </w:p>
        </w:tc>
        <w:tc>
          <w:tcPr/>
          <w:p>
            <w:pPr>
              <w:pStyle w:val="Compact"/>
              <w:jc w:val="left"/>
            </w:pPr>
            <w:r>
              <w:t xml:space="preserve">优化策略</w:t>
            </w:r>
          </w:p>
        </w:tc>
      </w:tr>
      <w:tr>
        <w:tc>
          <w:tcPr/>
          <w:p>
            <w:pPr>
              <w:pStyle w:val="Compact"/>
              <w:jc w:val="left"/>
            </w:pPr>
            <w:r>
              <w:t xml:space="preserve">S7</w:t>
            </w:r>
          </w:p>
        </w:tc>
        <w:tc>
          <w:tcPr/>
          <w:p>
            <w:pPr>
              <w:pStyle w:val="Compact"/>
              <w:jc w:val="left"/>
            </w:pPr>
            <w:r>
              <w:t xml:space="preserve">约240字节（取决于PDU大小）</w:t>
            </w:r>
          </w:p>
        </w:tc>
        <w:tc>
          <w:tcPr/>
          <w:p>
            <w:pPr>
              <w:pStyle w:val="Compact"/>
              <w:jc w:val="left"/>
            </w:pPr>
            <w:r>
              <w:t xml:space="preserve">协商最大PDU，批量请求</w:t>
            </w:r>
          </w:p>
        </w:tc>
      </w:tr>
      <w:tr>
        <w:tc>
          <w:tcPr/>
          <w:p>
            <w:pPr>
              <w:pStyle w:val="Compact"/>
              <w:jc w:val="left"/>
            </w:pPr>
            <w:r>
              <w:t xml:space="preserve">MC（3E）</w:t>
            </w:r>
          </w:p>
        </w:tc>
        <w:tc>
          <w:tcPr/>
          <w:p>
            <w:pPr>
              <w:pStyle w:val="Compact"/>
              <w:jc w:val="left"/>
            </w:pPr>
            <w:r>
              <w:t xml:space="preserve">960字（1920字节）</w:t>
            </w:r>
          </w:p>
        </w:tc>
        <w:tc>
          <w:tcPr/>
          <w:p>
            <w:pPr>
              <w:pStyle w:val="Compact"/>
              <w:jc w:val="left"/>
            </w:pPr>
            <w:r>
              <w:t xml:space="preserve">单请求最大化</w:t>
            </w:r>
          </w:p>
        </w:tc>
      </w:tr>
      <w:tr>
        <w:tc>
          <w:tcPr/>
          <w:p>
            <w:pPr>
              <w:pStyle w:val="Compact"/>
              <w:jc w:val="left"/>
            </w:pPr>
            <w:r>
              <w:t xml:space="preserve">FINS</w:t>
            </w:r>
          </w:p>
        </w:tc>
        <w:tc>
          <w:tcPr/>
          <w:p>
            <w:pPr>
              <w:pStyle w:val="Compact"/>
              <w:jc w:val="left"/>
            </w:pPr>
            <w:r>
              <w:t xml:space="preserve">约1000字节</w:t>
            </w:r>
          </w:p>
        </w:tc>
        <w:tc>
          <w:tcPr/>
          <w:p>
            <w:pPr>
              <w:pStyle w:val="Compact"/>
              <w:jc w:val="left"/>
            </w:pPr>
            <w:r>
              <w:t xml:space="preserve">分段读取，合并结果</w:t>
            </w:r>
          </w:p>
        </w:tc>
      </w:tr>
    </w:tbl>
    <w:p>
      <w:pPr>
        <w:pStyle w:val="a0"/>
      </w:pPr>
      <w:r>
        <w:rPr>
          <w:b/>
          <w:bCs/>
        </w:rPr>
        <w:t xml:space="preserve">预读取缓存</w:t>
      </w:r>
      <w:r>
        <w:t xml:space="preserve">是进一步提升性能的策略：对于周期性访问的数据，在后台线程预读取整个数据区域，应用层从缓存获取，将网络延迟从关键路径移除。</w:t>
      </w:r>
    </w:p>
    <w:bookmarkEnd w:id="79"/>
    <w:bookmarkStart w:id="80" w:name="多线程并发访问控制"/>
    <w:p>
      <w:pPr>
        <w:pStyle w:val="4"/>
      </w:pPr>
      <w:r>
        <w:t xml:space="preserve">5.3.3 多线程并发访问控制</w:t>
      </w:r>
    </w:p>
    <w:p>
      <w:pPr>
        <w:pStyle w:val="FirstParagraph"/>
      </w:pPr>
      <w:r>
        <w:t xml:space="preserve">多线程访问单一PLC连接需要严格的同步控制，因为工业协议通常要求请求-响应的严格顺序。推荐采用</w:t>
      </w:r>
      <w:r>
        <w:rPr>
          <w:b/>
          <w:bCs/>
        </w:rPr>
        <w:t xml:space="preserve">异步请求队列模式</w:t>
      </w:r>
      <w:r>
        <w:t xml:space="preserve">：所有读写请求放入线程安全的队列，单一后台任务按FIFO顺序执行，响应通过</w:t>
      </w:r>
      <w:r>
        <w:rPr>
          <w:rStyle w:val="VerbatimChar"/>
        </w:rPr>
        <w:t xml:space="preserve">TaskCompletionSource</w:t>
      </w:r>
      <w:r>
        <w:t xml:space="preserve">与调用方关联。这种模式保证了协议顺序，同时允许应用层并发发起请求。</w:t>
      </w:r>
    </w:p>
    <w:bookmarkEnd w:id="80"/>
    <w:bookmarkEnd w:id="81"/>
    <w:bookmarkEnd w:id="82"/>
    <w:bookmarkStart w:id="95" w:name="开发实施路线图"/>
    <w:p>
      <w:pPr>
        <w:pStyle w:val="2"/>
      </w:pPr>
      <w:r>
        <w:t xml:space="preserve">6. 开发实施路线图</w:t>
      </w:r>
    </w:p>
    <w:bookmarkStart w:id="86" w:name="第一阶段基础框架2-3周"/>
    <w:p>
      <w:pPr>
        <w:pStyle w:val="3"/>
      </w:pPr>
      <w:r>
        <w:t xml:space="preserve">6.1 第一阶段：基础框架（2-3周）</w:t>
      </w:r>
    </w:p>
    <w:bookmarkStart w:id="83" w:name="plcbaseclient抽象类实现"/>
    <w:p>
      <w:pPr>
        <w:pStyle w:val="4"/>
      </w:pPr>
      <w:r>
        <w:t xml:space="preserve">6.1.1 PlcBaseClient抽象类实现</w:t>
      </w:r>
    </w:p>
    <w:p>
      <w:pPr>
        <w:pStyle w:val="FirstParagraph"/>
      </w:pPr>
      <w:r>
        <w:t xml:space="preserve">第一阶段的核心任务是建立稳固的架构基础。</w:t>
      </w:r>
      <w:r>
        <w:rPr>
          <w:rStyle w:val="VerbatimChar"/>
        </w:rPr>
        <w:t xml:space="preserve">PlcBaseClient</w:t>
      </w:r>
      <w:r>
        <w:t xml:space="preserve">抽象类的设计应经过充分的评审和迭代，确保能够容纳已知的协议差异和未来扩展的需求。实现内容包括：属性系统的完整定义，包括变更通知机制；同步和异步方法的基础实现，包括取消令牌支持；事件系统的搭建，包括线程安全的委托调用；以及异常体系的建立，定义</w:t>
      </w:r>
      <w:r>
        <w:rPr>
          <w:rStyle w:val="VerbatimChar"/>
        </w:rPr>
        <w:t xml:space="preserve">PlcException</w:t>
      </w:r>
      <w:r>
        <w:t xml:space="preserve">层次结构，区分连接异常、协议异常、超时异常等类型。</w:t>
      </w:r>
    </w:p>
    <w:bookmarkEnd w:id="83"/>
    <w:bookmarkStart w:id="84" w:name="通用网络层与日志系统"/>
    <w:p>
      <w:pPr>
        <w:pStyle w:val="4"/>
      </w:pPr>
      <w:r>
        <w:t xml:space="preserve">6.1.2 通用网络层与日志系统</w:t>
      </w:r>
    </w:p>
    <w:p>
      <w:pPr>
        <w:pStyle w:val="FirstParagraph"/>
      </w:pPr>
      <w:r>
        <w:t xml:space="preserve">网络层的实现应封装</w:t>
      </w:r>
      <w:r>
        <w:rPr>
          <w:rStyle w:val="VerbatimChar"/>
        </w:rPr>
        <w:t xml:space="preserve">TcpClient</w:t>
      </w:r>
      <w:r>
        <w:t xml:space="preserve">的所有操作，提供统一的连接、断开、发送、接收接口，内置重试和超时逻辑。日志系统采用主流的日志抽象（如Microsoft.Extensions.Logging.ILogger），支持多种输出目标（控制台、文件、远程服务），记录详细的通信过程，包括原始字节流，为调试和审计提供依据。</w:t>
      </w:r>
    </w:p>
    <w:bookmarkEnd w:id="84"/>
    <w:bookmarkStart w:id="85" w:name="单元测试框架搭建"/>
    <w:p>
      <w:pPr>
        <w:pStyle w:val="4"/>
      </w:pPr>
      <w:r>
        <w:t xml:space="preserve">6.1.3 单元测试框架搭建</w:t>
      </w:r>
    </w:p>
    <w:p>
      <w:pPr>
        <w:pStyle w:val="FirstParagraph"/>
      </w:pPr>
      <w:r>
        <w:t xml:space="preserve">单元测试是保障代码质量的关键，应从项目启动就纳入开发流程。测试框架选用xUnit或NUnit，配合Moq等模拟框架，对协议解析、数据转换、状态机等核心逻辑进行隔离测试。网络通信部分可以通过自定义的</w:t>
      </w:r>
      <w:r>
        <w:rPr>
          <w:rStyle w:val="VerbatimChar"/>
        </w:rPr>
        <w:t xml:space="preserve">Stream</w:t>
      </w:r>
      <w:r>
        <w:t xml:space="preserve">实现或TCP监听程序进行集成测试，验证完整的请求-响应流程。</w:t>
      </w:r>
    </w:p>
    <w:bookmarkEnd w:id="85"/>
    <w:bookmarkEnd w:id="86"/>
    <w:bookmarkStart w:id="90" w:name="第二阶段单品牌深度实现3-4周品牌"/>
    <w:p>
      <w:pPr>
        <w:pStyle w:val="3"/>
      </w:pPr>
      <w:r>
        <w:t xml:space="preserve">6.2 第二阶段：单品牌深度实现（3-4周/品牌）</w:t>
      </w:r>
    </w:p>
    <w:bookmarkStart w:id="87" w:name="优先实现三菱mc协议文档最完整"/>
    <w:p>
      <w:pPr>
        <w:pStyle w:val="4"/>
      </w:pPr>
      <w:r>
        <w:t xml:space="preserve">6.2.1 优先实现三菱MC协议（文档最完整）</w:t>
      </w:r>
    </w:p>
    <w:p>
      <w:pPr>
        <w:pStyle w:val="FirstParagraph"/>
      </w:pPr>
      <w:r>
        <w:t xml:space="preserve">三菱MC协议的文档相对完整和开放，是首选的实现目标。实现过程应严格对照官方协议手册，逐条验证帧格式的正确性。建议从3E帧的二进制格式入手，实现基础的批量读写功能，再逐步扩展至随机读写、监视、路由等高级功能。实现过程中应使用Wireshark捕获官方编程软件或HslCommunication的通信流量，对比验证自制实现的正确性。</w:t>
      </w:r>
    </w:p>
    <w:bookmarkEnd w:id="87"/>
    <w:bookmarkStart w:id="88" w:name="西门子s7协议实现-1"/>
    <w:p>
      <w:pPr>
        <w:pStyle w:val="4"/>
      </w:pPr>
      <w:r>
        <w:t xml:space="preserve">6.2.2 西门子S7协议实现</w:t>
      </w:r>
    </w:p>
    <w:p>
      <w:pPr>
        <w:pStyle w:val="FirstParagraph"/>
      </w:pPr>
      <w:r>
        <w:t xml:space="preserve">西门子S7协议的实现可以选择基于Sharp7封装或原生实现。基于Sharp7的路线可以快速获得功能完整的实现，但受限于Sharp7的架构和设计选择；原生实现则完全自主可控，但工作量和风险显著增加。建议初期采用Sharp7封装，验证整体架构的兼容性，后续根据需求评估原生实现的必要性。</w:t>
      </w:r>
    </w:p>
    <w:bookmarkEnd w:id="88"/>
    <w:bookmarkStart w:id="89" w:name="欧姆龙fins协议实现-1"/>
    <w:p>
      <w:pPr>
        <w:pStyle w:val="4"/>
      </w:pPr>
      <w:r>
        <w:t xml:space="preserve">6.2.3 欧姆龙FINS协议实现</w:t>
      </w:r>
    </w:p>
    <w:p>
      <w:pPr>
        <w:pStyle w:val="FirstParagraph"/>
      </w:pPr>
      <w:r>
        <w:t xml:space="preserve">欧姆龙FINS协议的实现应重点关注其独特的内存区体系和地址编码方式。与三菱、西门子的显著差异意味着需要专门的设计和测试。建议从CP1H系列入手，验证基础功能后，再扩展至NJ系列的高级特性。</w:t>
      </w:r>
    </w:p>
    <w:bookmarkEnd w:id="89"/>
    <w:bookmarkEnd w:id="90"/>
    <w:bookmarkStart w:id="94" w:name="第三阶段整合优化2周"/>
    <w:p>
      <w:pPr>
        <w:pStyle w:val="3"/>
      </w:pPr>
      <w:r>
        <w:t xml:space="preserve">6.3 第三阶段：整合优化（2周）</w:t>
      </w:r>
    </w:p>
    <w:bookmarkStart w:id="91" w:name="统一api设计与demo程序"/>
    <w:p>
      <w:pPr>
        <w:pStyle w:val="4"/>
      </w:pPr>
      <w:r>
        <w:t xml:space="preserve">6.3.1 统一API设计与Demo程序</w:t>
      </w:r>
    </w:p>
    <w:p>
      <w:pPr>
        <w:pStyle w:val="FirstParagraph"/>
      </w:pPr>
      <w:r>
        <w:t xml:space="preserve">整合阶段的首要任务是提供统一、简洁的公共API，使开发者能够以一致的方式访问不同品牌的PLC。API设计应参考HslCommunication的成功经验，同时改进其设计中的不足。配套的Demo程序应展示典型的应用场景，包括连接管理、数据读写、异常处理、批量操作等，作为开发者的入门参考。</w:t>
      </w:r>
    </w:p>
    <w:bookmarkEnd w:id="91"/>
    <w:bookmarkStart w:id="92" w:name="性能基准测试与调优"/>
    <w:p>
      <w:pPr>
        <w:pStyle w:val="4"/>
      </w:pPr>
      <w:r>
        <w:t xml:space="preserve">6.3.2 性能基准测试与调优</w:t>
      </w:r>
    </w:p>
    <w:p>
      <w:pPr>
        <w:pStyle w:val="FirstParagraph"/>
      </w:pPr>
      <w:r>
        <w:t xml:space="preserve">建立系统的性能基准测试，测量关键指标：连接建立时间、单次读写延迟、批量操作吞吐量、并发连接数上限等。对比HslCommunication的性能表现，识别瓶颈并进行针对性优化。优化的方向可能包括：减少内存分配和垃圾回收压力、优化协议解析算法、改进异步调度策略等。</w:t>
      </w:r>
    </w:p>
    <w:bookmarkEnd w:id="92"/>
    <w:bookmarkStart w:id="93" w:name="异常场景覆盖与稳定性验证"/>
    <w:p>
      <w:pPr>
        <w:pStyle w:val="4"/>
      </w:pPr>
      <w:r>
        <w:t xml:space="preserve">6.3.3 异常场景覆盖与稳定性验证</w:t>
      </w:r>
    </w:p>
    <w:p>
      <w:pPr>
        <w:pStyle w:val="FirstParagraph"/>
      </w:pPr>
      <w:r>
        <w:t xml:space="preserve">工业环境的异常场景多样，需要系统的测试覆盖：网络中断和恢复、PLC断电和重启、通信超时和乱序、数据错误和CRC失败等。通过故障注入测试验证系统的恢复能力和数据一致性，确保在实际工业现场的长期稳定运行。</w:t>
      </w:r>
    </w:p>
    <w:bookmarkEnd w:id="93"/>
    <w:bookmarkEnd w:id="94"/>
    <w:bookmarkEnd w:id="95"/>
    <w:bookmarkStart w:id="107" w:name="关键参考资料与开源资源"/>
    <w:p>
      <w:pPr>
        <w:pStyle w:val="2"/>
      </w:pPr>
      <w:r>
        <w:t xml:space="preserve">7. 关键参考资料与开源资源</w:t>
      </w:r>
    </w:p>
    <w:bookmarkStart w:id="99" w:name="官方协议文档"/>
    <w:p>
      <w:pPr>
        <w:pStyle w:val="3"/>
      </w:pPr>
      <w:r>
        <w:t xml:space="preserve">7.1 官方协议文档</w:t>
      </w:r>
    </w:p>
    <w:bookmarkStart w:id="96" w:name="X66f84e389765187d451ce3ef4901de3f7a63e85"/>
    <w:p>
      <w:pPr>
        <w:pStyle w:val="4"/>
      </w:pPr>
      <w:r>
        <w:t xml:space="preserve">7.1.1 三菱MELSEC Communication Protocol Reference Manual</w:t>
      </w:r>
    </w:p>
    <w:p>
      <w:pPr>
        <w:pStyle w:val="FirstParagraph"/>
      </w:pPr>
      <w:r>
        <w:t xml:space="preserve">三菱电机官方发布的《MELSEC Communication Protocol Reference Manual》（文档编号SH-080008）是开发MC协议通信程序的最权威参考资料。手册共约500页，系统涵盖了MC协议的完整规范，包括协议能力概述、消息格式详解、命令说明、错误代码定义以及兼容性说明。该手册可从三菱电机FA网站免费下载（PDF格式），是任何严肃的MC协议开发工作的必备文档。</w:t>
      </w:r>
    </w:p>
    <w:bookmarkEnd w:id="96"/>
    <w:bookmarkStart w:id="97" w:name="西门子s7协议非官方逆向分析资料"/>
    <w:p>
      <w:pPr>
        <w:pStyle w:val="4"/>
      </w:pPr>
      <w:r>
        <w:t xml:space="preserve">7.1.2 西门子S7协议非官方逆向分析资料</w:t>
      </w:r>
    </w:p>
    <w:p>
      <w:pPr>
        <w:pStyle w:val="FirstParagraph"/>
      </w:pPr>
      <w:r>
        <w:t xml:space="preserve">西门子S7协议是专有协议，官方未公开完整的协议规范。最具参考价值的社区资源包括：Snap7项目文档（http://snap7.sourceforge.net/）包含协议分析的技术笔记；Wireshark S7协议解析器源码提供了详细的字段注释和状态机逻辑；以及多篇工控安全研究论文的附录中包含的协议细节分析。</w:t>
      </w:r>
    </w:p>
    <w:bookmarkEnd w:id="97"/>
    <w:bookmarkStart w:id="98" w:name="欧姆龙fins-command-reference"/>
    <w:p>
      <w:pPr>
        <w:pStyle w:val="4"/>
      </w:pPr>
      <w:r>
        <w:t xml:space="preserve">7.1.3 欧姆龙FINS Command Reference</w:t>
      </w:r>
    </w:p>
    <w:p>
      <w:pPr>
        <w:pStyle w:val="FirstParagraph"/>
      </w:pPr>
      <w:r>
        <w:t xml:space="preserve">欧姆龙官方FINS命令参考手册详细定义了各内存区的访问代码、地址格式和命令参数。关键内存区包括CIO区（接触I/O）、DM区（数据存储器）、HR区（保持继电器）、AR区（辅助继电器）以及TIM/CNT区（定时器/计数器）。手册可从欧姆龙工业自动化网站下载。</w:t>
      </w:r>
    </w:p>
    <w:bookmarkEnd w:id="98"/>
    <w:bookmarkEnd w:id="99"/>
    <w:bookmarkStart w:id="103" w:name="开源参考实现"/>
    <w:p>
      <w:pPr>
        <w:pStyle w:val="3"/>
      </w:pPr>
      <w:r>
        <w:t xml:space="preserve">7.2 开源参考实现</w:t>
      </w:r>
    </w:p>
    <w:bookmarkStart w:id="100" w:name="sharp7西门子s7协议纯c实现"/>
    <w:p>
      <w:pPr>
        <w:pStyle w:val="4"/>
      </w:pPr>
      <w:r>
        <w:t xml:space="preserve">7.2.1 Sharp7：西门子S7协议纯C#实现</w:t>
      </w:r>
    </w:p>
    <w:p>
      <w:pPr>
        <w:pStyle w:val="FirstParagraph"/>
      </w:pPr>
      <w:r>
        <w:t xml:space="preserve">Sharp7（https://sourceforge.net/projects/snap7/）是Davide Nardella开发的纯C#西门子S7协议实现，提供完整的S7协议栈支持，包括TPKT、COTP、S7Comm三层封装。该项目采用LGPL许可证，允许在商业应用中使用，是学习S7协议实现和快速开发上位机程序的优秀起点。</w:t>
      </w:r>
    </w:p>
    <w:bookmarkEnd w:id="100"/>
    <w:bookmarkStart w:id="101" w:name="mitsubishi-melseclibdragonet-z的mc协议实现"/>
    <w:p>
      <w:pPr>
        <w:pStyle w:val="4"/>
      </w:pPr>
      <w:r>
        <w:t xml:space="preserve">7.2.2 Mitsubishi-MelsecLib：Dragonet-Z的MC协议实现</w:t>
      </w:r>
    </w:p>
    <w:p>
      <w:pPr>
        <w:pStyle w:val="FirstParagraph"/>
      </w:pPr>
      <w:r>
        <w:t xml:space="preserve">Mitsubishi-MelsecLib（https://gitee.com/dragonet-Z/mitsubishi-melseclib）是Dragonet-Z开发的开源MC协议C#实现，专注于QnA兼容4C帧格式1的串口通信。该项目包含完整的协议解析和构造代码，以及控制台测试程序，是理解MC协议实现细节的重要参考。项目采用.NET Standard 2.0目标框架，具有良好的跨平台兼容性。</w:t>
      </w:r>
    </w:p>
    <w:bookmarkEnd w:id="101"/>
    <w:bookmarkStart w:id="102" w:name="hslcommunication-7.0.1最后一个免费开源版本"/>
    <w:p>
      <w:pPr>
        <w:pStyle w:val="4"/>
      </w:pPr>
      <w:r>
        <w:t xml:space="preserve">7.2.3 HslCommunication 7.0.1：最后一个免费开源版本</w:t>
      </w:r>
    </w:p>
    <w:p>
      <w:pPr>
        <w:pStyle w:val="FirstParagraph"/>
      </w:pPr>
      <w:r>
        <w:t xml:space="preserve">HslCommunication在7.0.1版本之后开始收费，该版本成为最后一个免费开源的版本，仍可从GitHub、Gitee等平台获取。该版本包含完整的源代码和测试工程，涵盖西门子S7、三菱MC、欧姆龙FINS、Modbus等多种工业通信协议的实现，以及Redis、MQTT等通用通信功能。项目采用MIT许可证发布，个人学习者和非商业用途开发者可以在遵守许可证条款的前提下自由使用。需要特别注意的是，该版本的授权范围明确限定于个人学习和非商业用途，任何商业部署需要关注后续版本的授权政策或寻求独立的法律合规方案。</w:t>
      </w:r>
    </w:p>
    <w:bookmarkEnd w:id="102"/>
    <w:bookmarkEnd w:id="103"/>
    <w:bookmarkStart w:id="106" w:name="社区与工具"/>
    <w:p>
      <w:pPr>
        <w:pStyle w:val="3"/>
      </w:pPr>
      <w:r>
        <w:t xml:space="preserve">7.3 社区与工具</w:t>
      </w:r>
    </w:p>
    <w:bookmarkStart w:id="104" w:name="wireshark协议分析技巧"/>
    <w:p>
      <w:pPr>
        <w:pStyle w:val="4"/>
      </w:pPr>
      <w:r>
        <w:t xml:space="preserve">7.3.1 Wireshark协议分析技巧</w:t>
      </w:r>
    </w:p>
    <w:p>
      <w:pPr>
        <w:pStyle w:val="FirstParagraph"/>
      </w:pPr>
      <w:r>
        <w:t xml:space="preserve">Wireshark是工业通信开发不可或缺的调试工具，支持对MC协议、S7协议、FINS协议等多种PLC通信协议的深度分析。关键使用技巧包括：设置显示过滤器（如</w:t>
      </w:r>
      <w:r>
        <w:rPr>
          <w:rStyle w:val="VerbatimChar"/>
        </w:rPr>
        <w:t xml:space="preserve">tcp.port == 5002</w:t>
      </w:r>
      <w:r>
        <w:t xml:space="preserve">或</w:t>
      </w:r>
      <w:r>
        <w:rPr>
          <w:rStyle w:val="VerbatimChar"/>
        </w:rPr>
        <w:t xml:space="preserve">tcp.port == 102</w:t>
      </w:r>
      <w:r>
        <w:t xml:space="preserve">）聚焦目标流量；利用”Follow TCP Stream”功能重组完整会话；对比请求和响应的字段变化定位问题根源。对于未内置解析的协议，可以开发Lua插件或参考解析器源码深入理解协议细节。</w:t>
      </w:r>
    </w:p>
    <w:bookmarkEnd w:id="104"/>
    <w:bookmarkStart w:id="105" w:name="仿真软件mx-simulatorplcsimcx-simulator"/>
    <w:p>
      <w:pPr>
        <w:pStyle w:val="4"/>
      </w:pPr>
      <w:r>
        <w:t xml:space="preserve">7.3.2 仿真软件：MX Simulator、PLCSIM、CX-Simulator</w:t>
      </w:r>
    </w:p>
    <w:p>
      <w:pPr>
        <w:pStyle w:val="FirstParagraph"/>
      </w:pPr>
      <w:r>
        <w:t xml:space="preserve">PLC仿真软件为无硬件环境下的开发和测试提供了可能：</w:t>
      </w:r>
    </w:p>
    <w:p>
      <w:pPr>
        <w:numPr>
          <w:ilvl w:val="0"/>
          <w:numId w:val="1004"/>
        </w:numPr>
      </w:pPr>
      <w:r>
        <w:rPr>
          <w:b/>
          <w:bCs/>
        </w:rPr>
        <w:t xml:space="preserve">三菱MX Simulator</w:t>
      </w:r>
      <w:r>
        <w:t xml:space="preserve">：集成于GX Works3，可仿真FX5U、Q系列等PLC的MC协议通信</w:t>
      </w:r>
    </w:p>
    <w:p>
      <w:pPr>
        <w:numPr>
          <w:ilvl w:val="0"/>
          <w:numId w:val="1004"/>
        </w:numPr>
      </w:pPr>
      <w:r>
        <w:rPr>
          <w:b/>
          <w:bCs/>
        </w:rPr>
        <w:t xml:space="preserve">西门子PLCSIM/PLCSIM Advanced</w:t>
      </w:r>
      <w:r>
        <w:t xml:space="preserve">：TIA Portal内置的仿真工具，Advanced版本支持TCP/IP通信和上位机连接</w:t>
      </w:r>
    </w:p>
    <w:p>
      <w:pPr>
        <w:numPr>
          <w:ilvl w:val="0"/>
          <w:numId w:val="1004"/>
        </w:numPr>
      </w:pPr>
      <w:r>
        <w:rPr>
          <w:b/>
          <w:bCs/>
        </w:rPr>
        <w:t xml:space="preserve">欧姆龙CX-Simulator</w:t>
      </w:r>
      <w:r>
        <w:t xml:space="preserve">：CX-Programmer的配套仿真工具，支持FINS/TCP通信仿真</w:t>
      </w:r>
    </w:p>
    <w:p>
      <w:pPr>
        <w:pStyle w:val="FirstParagraph"/>
      </w:pPr>
      <w:r>
        <w:t xml:space="preserve">仿真环境虽不能完全替代真实硬件（特别是在通信时序和错误行为方面），但对于协议实现验证、基本功能测试和UI开发已足够有效。建议在硬件到货前充分利用仿真环境推进开发进度，硬件到位后再进行集成测试和性能调优。</w:t>
      </w:r>
    </w:p>
    <w:bookmarkEnd w:id="105"/>
    <w:bookmarkEnd w:id="106"/>
    <w:bookmarkEnd w:id="107"/>
    <w:bookmarkEnd w:id="10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2026-02-15T06:28:03Z</dcterms:created>
  <dcterms:modified xsi:type="dcterms:W3CDTF">2026-02-15T06:28:03Z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5fc79-0e82-8f8a-8000-09202fdb5498-20260215062803","ReservedCode1":"","ContentPropagator":"001191110108MACG2KBH8F20000","PropagateID":"anonymous-19c5fc79-0e82-8f8a-8000-09202fdb5498-20260215062803","ReservedCode2":""}</vt:lpwstr>
  </property>
</Properties>
</file>