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Vetify Dog Meal Planner: Research and Technical Implementation Blueprint</w:t>
      </w:r>
    </w:p>
    <w:p>
      <w:r>
        <w:rPr>
          <w:b/>
        </w:rPr>
        <w:t>Research date:</w:t>
      </w:r>
      <w:r>
        <w:t xml:space="preserve"> 9 October 2026, Asia/Singapore. </w:t>
      </w:r>
      <w:r>
        <w:rPr>
          <w:b/>
        </w:rPr>
        <w:t>Scope:</w:t>
      </w:r>
      <w:r>
        <w:t xml:space="preserve"> dogs only. </w:t>
      </w:r>
      <w:r>
        <w:rPr>
          <w:b/>
        </w:rPr>
        <w:t>Status:</w:t>
      </w:r>
      <w:r>
        <w:t xml:space="preserve"> implementation proposal, not a veterinary-approved formulation library. No application code or database migrations were made for this research task.</w:t>
      </w:r>
    </w:p>
    <w:p>
      <w:r>
        <w:t xml:space="preserve">The starting source is </w:t>
      </w:r>
      <w:r>
        <w:rPr>
          <w:rFonts w:ascii="Consolas" w:hAnsi="Consolas"/>
          <w:sz w:val="18"/>
        </w:rPr>
        <w:t>Dog_Meal_Planner_Guide.docx</w:t>
      </w:r>
      <w:r>
        <w:t xml:space="preserve">, supplied by the owner. Both pasted task files were identical. All 15 guide sections and 11 tables were read, including the numerical examples. </w:t>
      </w:r>
      <w:r>
        <w:rPr>
          <w:rFonts w:ascii="Consolas" w:hAnsi="Consolas"/>
          <w:sz w:val="18"/>
        </w:rPr>
        <w:t>P</w:t>
      </w:r>
      <w:r>
        <w:t xml:space="preserve"> and </w:t>
      </w:r>
      <w:r>
        <w:rPr>
          <w:rFonts w:ascii="Consolas" w:hAnsi="Consolas"/>
          <w:sz w:val="18"/>
        </w:rPr>
        <w:t>T</w:t>
      </w:r>
      <w:r>
        <w:t xml:space="preserve"> locators below identify the extracted paragraph and table positions, not page numbers printed in the Word file. The guide has no embedded charts or equations requiring separate image interpretation.</w:t>
      </w:r>
    </w:p>
    <w:p>
      <w:r>
        <w:t xml:space="preserve">This document distinguishes </w:t>
      </w:r>
      <w:r>
        <w:rPr>
          <w:b/>
        </w:rPr>
        <w:t>guide claims</w:t>
      </w:r>
      <w:r>
        <w:t xml:space="preserve">, </w:t>
      </w:r>
      <w:r>
        <w:rPr>
          <w:b/>
        </w:rPr>
        <w:t>verified external evidence</w:t>
      </w:r>
      <w:r>
        <w:t xml:space="preserve">, and </w:t>
      </w:r>
      <w:r>
        <w:rPr>
          <w:b/>
        </w:rPr>
        <w:t>Vetify design decisions</w:t>
      </w:r>
      <w:r>
        <w:t>. A design decision is a proposed product rule, not a newly established veterinary fact. Numerical examples are illustrative estimates for the specified profiles and foods.</w:t>
      </w:r>
    </w:p>
    <w:p>
      <w:r>
        <w:br w:type="page"/>
      </w:r>
    </w:p>
    <w:p>
      <w:pPr>
        <w:pStyle w:val="Title"/>
      </w:pPr>
      <w:r>
        <w:t>Contents</w:t>
      </w:r>
    </w:p>
    <w:p>
      <w:pPr>
        <w:spacing w:after="60"/>
      </w:pPr>
      <w:hyperlink w:anchor="section_1">
        <w:r>
          <w:rPr>
            <w:color w:val="165D67"/>
            <w:u w:val="single"/>
          </w:rPr>
          <w:t>1. Executive Summary</w:t>
        </w:r>
      </w:hyperlink>
    </w:p>
    <w:p>
      <w:pPr>
        <w:spacing w:after="60"/>
      </w:pPr>
      <w:hyperlink w:anchor="section_2">
        <w:r>
          <w:rPr>
            <w:color w:val="165D67"/>
            <w:u w:val="single"/>
          </w:rPr>
          <w:t>2. Scope and Assumptions</w:t>
        </w:r>
      </w:hyperlink>
    </w:p>
    <w:p>
      <w:pPr>
        <w:spacing w:after="60"/>
      </w:pPr>
      <w:hyperlink w:anchor="section_3">
        <w:r>
          <w:rPr>
            <w:color w:val="165D67"/>
            <w:u w:val="single"/>
          </w:rPr>
          <w:t>3. Assessment of the Original Research</w:t>
        </w:r>
      </w:hyperlink>
    </w:p>
    <w:p>
      <w:pPr>
        <w:spacing w:after="60"/>
      </w:pPr>
      <w:hyperlink w:anchor="section_4">
        <w:r>
          <w:rPr>
            <w:color w:val="165D67"/>
            <w:u w:val="single"/>
          </w:rPr>
          <w:t>4. Research Methodology and References</w:t>
        </w:r>
      </w:hyperlink>
    </w:p>
    <w:p>
      <w:pPr>
        <w:spacing w:after="60"/>
      </w:pPr>
      <w:hyperlink w:anchor="section_5">
        <w:r>
          <w:rPr>
            <w:color w:val="165D67"/>
            <w:u w:val="single"/>
          </w:rPr>
          <w:t>5. Dog Profile Requirements</w:t>
        </w:r>
      </w:hyperlink>
    </w:p>
    <w:p>
      <w:pPr>
        <w:spacing w:after="60"/>
      </w:pPr>
      <w:hyperlink w:anchor="section_6">
        <w:r>
          <w:rPr>
            <w:color w:val="165D67"/>
            <w:u w:val="single"/>
          </w:rPr>
          <w:t>6. Life Stages and Nutritional Differences</w:t>
        </w:r>
      </w:hyperlink>
    </w:p>
    <w:p>
      <w:pPr>
        <w:spacing w:after="60"/>
      </w:pPr>
      <w:hyperlink w:anchor="section_7">
        <w:r>
          <w:rPr>
            <w:color w:val="165D67"/>
            <w:u w:val="single"/>
          </w:rPr>
          <w:t>7. Energy and Calorie Calculations</w:t>
        </w:r>
      </w:hyperlink>
    </w:p>
    <w:p>
      <w:pPr>
        <w:spacing w:after="60"/>
      </w:pPr>
      <w:hyperlink w:anchor="section_8">
        <w:r>
          <w:rPr>
            <w:color w:val="165D67"/>
            <w:u w:val="single"/>
          </w:rPr>
          <w:t>8. Macronutrients and Essential Nutrients</w:t>
        </w:r>
      </w:hyperlink>
    </w:p>
    <w:p>
      <w:pPr>
        <w:spacing w:after="60"/>
      </w:pPr>
      <w:hyperlink w:anchor="section_9">
        <w:r>
          <w:rPr>
            <w:color w:val="165D67"/>
            <w:u w:val="single"/>
          </w:rPr>
          <w:t>9. Nutritional Standards and Unit Conversions</w:t>
        </w:r>
      </w:hyperlink>
    </w:p>
    <w:p>
      <w:pPr>
        <w:spacing w:after="60"/>
      </w:pPr>
      <w:hyperlink w:anchor="section_10">
        <w:r>
          <w:rPr>
            <w:color w:val="165D67"/>
            <w:u w:val="single"/>
          </w:rPr>
          <w:t>10. Food Database Design</w:t>
        </w:r>
      </w:hyperlink>
    </w:p>
    <w:p>
      <w:pPr>
        <w:spacing w:after="60"/>
      </w:pPr>
      <w:hyperlink w:anchor="section_11">
        <w:r>
          <w:rPr>
            <w:color w:val="165D67"/>
            <w:u w:val="single"/>
          </w:rPr>
          <w:t>11. Philippine Ingredients and Food Safety</w:t>
        </w:r>
      </w:hyperlink>
    </w:p>
    <w:p>
      <w:pPr>
        <w:spacing w:after="60"/>
      </w:pPr>
      <w:hyperlink w:anchor="section_12">
        <w:r>
          <w:rPr>
            <w:color w:val="165D67"/>
            <w:u w:val="single"/>
          </w:rPr>
          <w:t>12. Commercial and Homemade Diets</w:t>
        </w:r>
      </w:hyperlink>
    </w:p>
    <w:p>
      <w:pPr>
        <w:spacing w:after="60"/>
      </w:pPr>
      <w:hyperlink w:anchor="section_13">
        <w:r>
          <w:rPr>
            <w:color w:val="165D67"/>
            <w:u w:val="single"/>
          </w:rPr>
          <w:t>13. Portion and Meal Distribution</w:t>
        </w:r>
      </w:hyperlink>
    </w:p>
    <w:p>
      <w:pPr>
        <w:spacing w:after="60"/>
      </w:pPr>
      <w:hyperlink w:anchor="section_14">
        <w:r>
          <w:rPr>
            <w:color w:val="165D67"/>
            <w:u w:val="single"/>
          </w:rPr>
          <w:t>14. Breed, Activity, and Body Condition</w:t>
        </w:r>
      </w:hyperlink>
    </w:p>
    <w:p>
      <w:pPr>
        <w:spacing w:after="60"/>
      </w:pPr>
      <w:hyperlink w:anchor="section_15">
        <w:r>
          <w:rPr>
            <w:color w:val="165D67"/>
            <w:u w:val="single"/>
          </w:rPr>
          <w:t>15. Medical Conditions and Safety Restrictions</w:t>
        </w:r>
      </w:hyperlink>
    </w:p>
    <w:p>
      <w:pPr>
        <w:spacing w:after="60"/>
      </w:pPr>
      <w:hyperlink w:anchor="section_16">
        <w:r>
          <w:rPr>
            <w:color w:val="165D67"/>
            <w:u w:val="single"/>
          </w:rPr>
          <w:t>16. Meal Planning Algorithm</w:t>
        </w:r>
      </w:hyperlink>
    </w:p>
    <w:p>
      <w:pPr>
        <w:spacing w:after="60"/>
      </w:pPr>
      <w:hyperlink w:anchor="section_17">
        <w:r>
          <w:rPr>
            <w:color w:val="165D67"/>
            <w:u w:val="single"/>
          </w:rPr>
          <w:t>17. Database Schema</w:t>
        </w:r>
      </w:hyperlink>
    </w:p>
    <w:p>
      <w:pPr>
        <w:spacing w:after="60"/>
      </w:pPr>
      <w:hyperlink w:anchor="section_18">
        <w:r>
          <w:rPr>
            <w:color w:val="165D67"/>
            <w:u w:val="single"/>
          </w:rPr>
          <w:t>18. API and Module Design</w:t>
        </w:r>
      </w:hyperlink>
    </w:p>
    <w:p>
      <w:pPr>
        <w:spacing w:after="60"/>
      </w:pPr>
      <w:hyperlink w:anchor="section_19">
        <w:r>
          <w:rPr>
            <w:color w:val="165D67"/>
            <w:u w:val="single"/>
          </w:rPr>
          <w:t>19. Implementation Roadmap</w:t>
        </w:r>
      </w:hyperlink>
    </w:p>
    <w:p>
      <w:pPr>
        <w:spacing w:after="60"/>
      </w:pPr>
      <w:hyperlink w:anchor="section_20">
        <w:r>
          <w:rPr>
            <w:color w:val="165D67"/>
            <w:u w:val="single"/>
          </w:rPr>
          <w:t>20. Testing and Validation</w:t>
        </w:r>
      </w:hyperlink>
    </w:p>
    <w:p>
      <w:pPr>
        <w:spacing w:after="60"/>
      </w:pPr>
      <w:hyperlink w:anchor="section_21">
        <w:r>
          <w:rPr>
            <w:color w:val="165D67"/>
            <w:u w:val="single"/>
          </w:rPr>
          <w:t>21. Limitations and Veterinary Oversight</w:t>
        </w:r>
      </w:hyperlink>
    </w:p>
    <w:p>
      <w:pPr>
        <w:spacing w:after="60"/>
      </w:pPr>
      <w:hyperlink w:anchor="section_22">
        <w:r>
          <w:rPr>
            <w:color w:val="165D67"/>
            <w:u w:val="single"/>
          </w:rPr>
          <w:t>22. Glossary</w:t>
        </w:r>
      </w:hyperlink>
    </w:p>
    <w:p>
      <w:pPr>
        <w:spacing w:after="60"/>
      </w:pPr>
      <w:hyperlink w:anchor="section_23">
        <w:r>
          <w:rPr>
            <w:color w:val="165D67"/>
            <w:u w:val="single"/>
          </w:rPr>
          <w:t>23. References</w:t>
        </w:r>
      </w:hyperlink>
    </w:p>
    <w:p>
      <w:r>
        <w:br w:type="page"/>
      </w:r>
    </w:p>
    <w:p>
      <w:bookmarkStart w:id="1" w:name="section_1"/>
      <w:pPr>
        <w:pStyle w:val="Heading1"/>
      </w:pPr>
      <w:r>
        <w:t>1. Executive Summary</w:t>
      </w:r>
      <w:bookmarkEnd w:id="1"/>
    </w:p>
    <w:p>
      <w:r>
        <w:t>Build a deterministic dog feeding planner in stages. The first release should calculate portions of an identified, suitable, complete commercial adult dog food for an apparently healthy dog at ideal body condition and stable weight. It should account for every caloric extra, explain the calculation, and record subsequent weight and feeding observations. It should not generate arbitrary homemade meals or therapeutic prescriptions.</w:t>
      </w:r>
    </w:p>
    <w:p>
      <w:r>
        <w:t xml:space="preserve">Use </w:t>
      </w:r>
      <w:r>
        <w:rPr>
          <w:b/>
        </w:rPr>
        <w:t>FEDIAF September 2025</w:t>
      </w:r>
      <w:r>
        <w:t xml:space="preserve"> as the proposed numerical nutritional reference because its current public edition supplies practical canine nutrient recommendations, life-stage distinctions, energy-intake-dependent adult profiles, and documented upper limits. Use </w:t>
      </w:r>
      <w:r>
        <w:rPr>
          <w:b/>
        </w:rPr>
        <w:t>AAHA 2021</w:t>
      </w:r>
      <w:r>
        <w:t xml:space="preserve"> for the clinical assessment and initial RER-factor approach. Keep those two rule sets separately versioned. A commercial product's AAFCO adequacy statement remains valid evidence for its stated purpose, rather than being relabeled as FEDIAF-tested. </w:t>
      </w:r>
      <w:hyperlink r:id="rId11">
        <w:r>
          <w:rPr>
            <w:color w:val="165D67"/>
            <w:u w:val="single"/>
          </w:rPr>
          <w:t>FEDIAF current edition</w:t>
        </w:r>
      </w:hyperlink>
      <w:r>
        <w:t xml:space="preserve">, </w:t>
      </w:r>
      <w:hyperlink r:id="rId12">
        <w:r>
          <w:rPr>
            <w:color w:val="165D67"/>
            <w:u w:val="single"/>
          </w:rPr>
          <w:t>AAHA guideline</w:t>
        </w:r>
      </w:hyperlink>
      <w:r>
        <w:t xml:space="preserve">, </w:t>
      </w:r>
      <w:hyperlink r:id="rId13">
        <w:r>
          <w:rPr>
            <w:color w:val="165D67"/>
            <w:u w:val="single"/>
          </w:rPr>
          <w:t>FDA adequacy guidance</w:t>
        </w:r>
      </w:hyperlink>
      <w:r>
        <w:t>.</w:t>
      </w:r>
    </w:p>
    <w:p>
      <w:r>
        <w:t>The largest corrections are: no universal senior calorie reduction, no fixed breed or Philippine-temperature multiplier, no unrestricted factor stacking, no generic low-calcium puppy rule, no blanket pregnancy/lactation multiplier, no automatic disease diet, and no completeness claim based on calories, protein, and fat alone. Missing nutrient information must remain unknown.</w:t>
      </w:r>
    </w:p>
    <w:p>
      <w:r>
        <w:t>Vetify already has Expo/React Native, an Express planner API, MongoDB, shared TypeScript calculations, and a separate main account authority. Extend these components after review. The requested relational model is provided as a logical schema with an optional SQL representation, with an explicit MongoDB mapping rather than an assumed database replacement.</w:t>
      </w:r>
    </w:p>
    <w:p>
      <w:bookmarkStart w:id="2" w:name="section_2"/>
      <w:pPr>
        <w:pStyle w:val="Heading1"/>
      </w:pPr>
      <w:r>
        <w:t>2. Scope and Assumptions</w:t>
      </w:r>
      <w:bookmarkEnd w:id="2"/>
    </w:p>
    <w:p>
      <w:pPr>
        <w:pStyle w:val="Heading2"/>
      </w:pPr>
      <w:r>
        <w:t>2.1 Supported and deferred behavior</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Capability</w:t>
            </w:r>
          </w:p>
        </w:tc>
        <w:tc>
          <w:tcPr>
            <w:tcW w:type="dxa" w:w="3346"/>
            <w:shd w:fill="154F59"/>
          </w:tcPr>
          <w:p>
            <w:pPr>
              <w:spacing w:after="60" w:before="40"/>
            </w:pPr>
            <w:r>
              <w:rPr>
                <w:b/>
                <w:color w:val="FFFFFF"/>
                <w:sz w:val="19"/>
              </w:rPr>
              <w:t>First release</w:t>
            </w:r>
          </w:p>
        </w:tc>
        <w:tc>
          <w:tcPr>
            <w:tcW w:type="dxa" w:w="3346"/>
            <w:shd w:fill="154F59"/>
          </w:tcPr>
          <w:p>
            <w:pPr>
              <w:spacing w:after="60" w:before="40"/>
            </w:pPr>
            <w:r>
              <w:rPr>
                <w:b/>
                <w:color w:val="FFFFFF"/>
                <w:sz w:val="19"/>
              </w:rPr>
              <w:t>Later release condition</w:t>
            </w:r>
          </w:p>
        </w:tc>
      </w:tr>
      <w:tr>
        <w:tc>
          <w:tcPr>
            <w:tcW w:type="dxa" w:w="3346"/>
          </w:tcPr>
          <w:p>
            <w:pPr>
              <w:spacing w:after="60" w:before="40"/>
            </w:pPr>
            <w:r>
              <w:rPr>
                <w:sz w:val="19"/>
              </w:rPr>
              <w:t>Healthy adult maintenance portions</w:t>
            </w:r>
          </w:p>
        </w:tc>
        <w:tc>
          <w:tcPr>
            <w:tcW w:type="dxa" w:w="3346"/>
          </w:tcPr>
          <w:p>
            <w:pPr>
              <w:spacing w:after="60" w:before="40"/>
            </w:pPr>
            <w:r>
              <w:rPr>
                <w:sz w:val="19"/>
              </w:rPr>
              <w:t>Supported when eligibility checks pass</w:t>
            </w:r>
          </w:p>
        </w:tc>
        <w:tc>
          <w:tcPr>
            <w:tcW w:type="dxa" w:w="3346"/>
          </w:tcPr>
          <w:p>
            <w:pPr>
              <w:spacing w:after="60" w:before="40"/>
            </w:pPr>
            <w:r>
              <w:rPr>
                <w:sz w:val="19"/>
              </w:rPr>
              <w:t>Veterinary review of default rules</w:t>
            </w:r>
          </w:p>
        </w:tc>
      </w:tr>
      <w:tr>
        <w:tc>
          <w:tcPr>
            <w:tcW w:type="dxa" w:w="3346"/>
          </w:tcPr>
          <w:p>
            <w:pPr>
              <w:spacing w:after="60" w:before="40"/>
            </w:pPr>
            <w:r>
              <w:rPr>
                <w:sz w:val="19"/>
              </w:rPr>
              <w:t>Owner-entered or veterinarian-prescribed feeding schedule</w:t>
            </w:r>
          </w:p>
        </w:tc>
        <w:tc>
          <w:tcPr>
            <w:tcW w:type="dxa" w:w="3346"/>
          </w:tcPr>
          <w:p>
            <w:pPr>
              <w:spacing w:after="60" w:before="40"/>
            </w:pPr>
            <w:r>
              <w:rPr>
                <w:sz w:val="19"/>
              </w:rPr>
              <w:t>Recording only, clearly labeled</w:t>
            </w:r>
          </w:p>
        </w:tc>
        <w:tc>
          <w:tcPr>
            <w:tcW w:type="dxa" w:w="3346"/>
          </w:tcPr>
          <w:p>
            <w:pPr>
              <w:spacing w:after="60" w:before="40"/>
            </w:pPr>
            <w:r>
              <w:rPr>
                <w:sz w:val="19"/>
              </w:rPr>
              <w:t>No claim that Vetify prescribed or validated it</w:t>
            </w:r>
          </w:p>
        </w:tc>
      </w:tr>
      <w:tr>
        <w:tc>
          <w:tcPr>
            <w:tcW w:type="dxa" w:w="3346"/>
          </w:tcPr>
          <w:p>
            <w:pPr>
              <w:spacing w:after="60" w:before="40"/>
            </w:pPr>
            <w:r>
              <w:rPr>
                <w:sz w:val="19"/>
              </w:rPr>
              <w:t>Puppy food portions</w:t>
            </w:r>
          </w:p>
        </w:tc>
        <w:tc>
          <w:tcPr>
            <w:tcW w:type="dxa" w:w="3346"/>
          </w:tcPr>
          <w:p>
            <w:pPr>
              <w:spacing w:after="60" w:before="40"/>
            </w:pPr>
            <w:r>
              <w:rPr>
                <w:sz w:val="19"/>
              </w:rPr>
              <w:t>No automatic approval initially</w:t>
            </w:r>
          </w:p>
        </w:tc>
        <w:tc>
          <w:tcPr>
            <w:tcW w:type="dxa" w:w="3346"/>
          </w:tcPr>
          <w:p>
            <w:pPr>
              <w:spacing w:after="60" w:before="40"/>
            </w:pPr>
            <w:r>
              <w:rPr>
                <w:sz w:val="19"/>
              </w:rPr>
              <w:t>Reviewed growth rules, growth-diet evidence, expected adult-size handling</w:t>
            </w:r>
          </w:p>
        </w:tc>
      </w:tr>
      <w:tr>
        <w:tc>
          <w:tcPr>
            <w:tcW w:type="dxa" w:w="3346"/>
          </w:tcPr>
          <w:p>
            <w:pPr>
              <w:spacing w:after="60" w:before="40"/>
            </w:pPr>
            <w:r>
              <w:rPr>
                <w:sz w:val="19"/>
              </w:rPr>
              <w:t>Weight reduction or gain</w:t>
            </w:r>
          </w:p>
        </w:tc>
        <w:tc>
          <w:tcPr>
            <w:tcW w:type="dxa" w:w="3346"/>
          </w:tcPr>
          <w:p>
            <w:pPr>
              <w:spacing w:after="60" w:before="40"/>
            </w:pPr>
            <w:r>
              <w:rPr>
                <w:sz w:val="19"/>
              </w:rPr>
              <w:t>Record an existing clinician plan</w:t>
            </w:r>
          </w:p>
        </w:tc>
        <w:tc>
          <w:tcPr>
            <w:tcW w:type="dxa" w:w="3346"/>
          </w:tcPr>
          <w:p>
            <w:pPr>
              <w:spacing w:after="60" w:before="40"/>
            </w:pPr>
            <w:r>
              <w:rPr>
                <w:sz w:val="19"/>
              </w:rPr>
              <w:t>Clinician target weight, nutrient-density safeguards, monitoring protocol</w:t>
            </w:r>
          </w:p>
        </w:tc>
      </w:tr>
      <w:tr>
        <w:tc>
          <w:tcPr>
            <w:tcW w:type="dxa" w:w="3346"/>
          </w:tcPr>
          <w:p>
            <w:pPr>
              <w:spacing w:after="60" w:before="40"/>
            </w:pPr>
            <w:r>
              <w:rPr>
                <w:sz w:val="19"/>
              </w:rPr>
              <w:t>Pregnancy, lactation, neonatal or orphan care</w:t>
            </w:r>
          </w:p>
        </w:tc>
        <w:tc>
          <w:tcPr>
            <w:tcW w:type="dxa" w:w="3346"/>
          </w:tcPr>
          <w:p>
            <w:pPr>
              <w:spacing w:after="60" w:before="40"/>
            </w:pPr>
            <w:r>
              <w:rPr>
                <w:sz w:val="19"/>
              </w:rPr>
              <w:t>Referral and recording</w:t>
            </w:r>
          </w:p>
        </w:tc>
        <w:tc>
          <w:tcPr>
            <w:tcW w:type="dxa" w:w="3346"/>
          </w:tcPr>
          <w:p>
            <w:pPr>
              <w:spacing w:after="60" w:before="40"/>
            </w:pPr>
            <w:r>
              <w:rPr>
                <w:sz w:val="19"/>
              </w:rPr>
              <w:t>Reproductive specialist approval and validated supervised protocols</w:t>
            </w:r>
          </w:p>
        </w:tc>
      </w:tr>
      <w:tr>
        <w:tc>
          <w:tcPr>
            <w:tcW w:type="dxa" w:w="3346"/>
          </w:tcPr>
          <w:p>
            <w:pPr>
              <w:spacing w:after="60" w:before="40"/>
            </w:pPr>
            <w:r>
              <w:rPr>
                <w:sz w:val="19"/>
              </w:rPr>
              <w:t>Homemade recipe formulation</w:t>
            </w:r>
          </w:p>
        </w:tc>
        <w:tc>
          <w:tcPr>
            <w:tcW w:type="dxa" w:w="3346"/>
          </w:tcPr>
          <w:p>
            <w:pPr>
              <w:spacing w:after="60" w:before="40"/>
            </w:pPr>
            <w:r>
              <w:rPr>
                <w:sz w:val="19"/>
              </w:rPr>
              <w:t>Disabled</w:t>
            </w:r>
          </w:p>
        </w:tc>
        <w:tc>
          <w:tcPr>
            <w:tcW w:type="dxa" w:w="3346"/>
          </w:tcPr>
          <w:p>
            <w:pPr>
              <w:spacing w:after="60" w:before="40"/>
            </w:pPr>
            <w:r>
              <w:rPr>
                <w:sz w:val="19"/>
              </w:rPr>
              <w:t>Complete ingredient/premix data, formulation validation, qualified nutrition review</w:t>
            </w:r>
          </w:p>
        </w:tc>
      </w:tr>
      <w:tr>
        <w:tc>
          <w:tcPr>
            <w:tcW w:type="dxa" w:w="3346"/>
          </w:tcPr>
          <w:p>
            <w:pPr>
              <w:spacing w:after="60" w:before="40"/>
            </w:pPr>
            <w:r>
              <w:rPr>
                <w:sz w:val="19"/>
              </w:rPr>
              <w:t>Disease-specific diets or elimination trials</w:t>
            </w:r>
          </w:p>
        </w:tc>
        <w:tc>
          <w:tcPr>
            <w:tcW w:type="dxa" w:w="3346"/>
          </w:tcPr>
          <w:p>
            <w:pPr>
              <w:spacing w:after="60" w:before="40"/>
            </w:pPr>
            <w:r>
              <w:rPr>
                <w:sz w:val="19"/>
              </w:rPr>
              <w:t>Recording of clinician instructions</w:t>
            </w:r>
          </w:p>
        </w:tc>
        <w:tc>
          <w:tcPr>
            <w:tcW w:type="dxa" w:w="3346"/>
          </w:tcPr>
          <w:p>
            <w:pPr>
              <w:spacing w:after="60" w:before="40"/>
            </w:pPr>
            <w:r>
              <w:rPr>
                <w:sz w:val="19"/>
              </w:rPr>
              <w:t>Separate clinical workflow, never an owner-selected disease preset</w:t>
            </w:r>
          </w:p>
        </w:tc>
      </w:tr>
      <w:tr>
        <w:tc>
          <w:tcPr>
            <w:tcW w:type="dxa" w:w="3346"/>
          </w:tcPr>
          <w:p>
            <w:pPr>
              <w:spacing w:after="60" w:before="40"/>
            </w:pPr>
            <w:r>
              <w:rPr>
                <w:sz w:val="19"/>
              </w:rPr>
              <w:t>Raw recipes</w:t>
            </w:r>
          </w:p>
        </w:tc>
        <w:tc>
          <w:tcPr>
            <w:tcW w:type="dxa" w:w="3346"/>
          </w:tcPr>
          <w:p>
            <w:pPr>
              <w:spacing w:after="60" w:before="40"/>
            </w:pPr>
            <w:r>
              <w:rPr>
                <w:sz w:val="19"/>
              </w:rPr>
              <w:t>No generation or recommendation</w:t>
            </w:r>
          </w:p>
        </w:tc>
        <w:tc>
          <w:tcPr>
            <w:tcW w:type="dxa" w:w="3346"/>
          </w:tcPr>
          <w:p>
            <w:pPr>
              <w:spacing w:after="60" w:before="40"/>
            </w:pPr>
            <w:r>
              <w:rPr>
                <w:sz w:val="19"/>
              </w:rPr>
              <w:t>No assumption that future validation removes infection risk</w:t>
            </w:r>
          </w:p>
        </w:tc>
      </w:tr>
      <w:tr>
        <w:tc>
          <w:tcPr>
            <w:tcW w:type="dxa" w:w="3346"/>
          </w:tcPr>
          <w:p>
            <w:pPr>
              <w:spacing w:after="60" w:before="40"/>
            </w:pPr>
            <w:r>
              <w:rPr>
                <w:sz w:val="19"/>
              </w:rPr>
              <w:t>AI explanation</w:t>
            </w:r>
          </w:p>
        </w:tc>
        <w:tc>
          <w:tcPr>
            <w:tcW w:type="dxa" w:w="3346"/>
          </w:tcPr>
          <w:p>
            <w:pPr>
              <w:spacing w:after="60" w:before="40"/>
            </w:pPr>
            <w:r>
              <w:rPr>
                <w:sz w:val="19"/>
              </w:rPr>
              <w:t>Optional, grounded in calculated results</w:t>
            </w:r>
          </w:p>
        </w:tc>
        <w:tc>
          <w:tcPr>
            <w:tcW w:type="dxa" w:w="3346"/>
          </w:tcPr>
          <w:p>
            <w:pPr>
              <w:spacing w:after="60" w:before="40"/>
            </w:pPr>
            <w:r>
              <w:rPr>
                <w:sz w:val="19"/>
              </w:rPr>
              <w:t>Must never supply missing nutrient values or override blockers</w:t>
            </w:r>
          </w:p>
        </w:tc>
      </w:tr>
    </w:tbl>
    <w:p>
      <w:pPr>
        <w:spacing w:after="0"/>
      </w:pPr>
    </w:p>
    <w:p>
      <w:r>
        <w:rPr>
          <w:b/>
        </w:rPr>
        <w:t>Product policy:</w:t>
      </w:r>
      <w:r>
        <w:t xml:space="preserve"> a blocked automatic plan can still permit a food/weight diary and recording of existing veterinary instructions. It cannot permit an unreviewed calculated recommendation to be saved as approved. Safety restrictions apply equally to Free and Pro accounts.</w:t>
      </w:r>
    </w:p>
    <w:p>
      <w:pPr>
        <w:pStyle w:val="Heading2"/>
      </w:pPr>
      <w:r>
        <w:t>2.2 Known repository facts</w:t>
      </w:r>
    </w:p>
    <w:p>
      <w:r>
        <w:t>Inspection on the research date found:</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Existing component</w:t>
            </w:r>
          </w:p>
        </w:tc>
        <w:tc>
          <w:tcPr>
            <w:tcW w:type="dxa" w:w="3346"/>
            <w:shd w:fill="154F59"/>
          </w:tcPr>
          <w:p>
            <w:pPr>
              <w:spacing w:after="60" w:before="40"/>
            </w:pPr>
            <w:r>
              <w:rPr>
                <w:b/>
                <w:color w:val="FFFFFF"/>
                <w:sz w:val="19"/>
              </w:rPr>
              <w:t>Observed behavior</w:t>
            </w:r>
          </w:p>
        </w:tc>
        <w:tc>
          <w:tcPr>
            <w:tcW w:type="dxa" w:w="3346"/>
            <w:shd w:fill="154F59"/>
          </w:tcPr>
          <w:p>
            <w:pPr>
              <w:spacing w:after="60" w:before="40"/>
            </w:pPr>
            <w:r>
              <w:rPr>
                <w:b/>
                <w:color w:val="FFFFFF"/>
                <w:sz w:val="19"/>
              </w:rPr>
              <w:t>Planned change or retained responsibility</w:t>
            </w:r>
          </w:p>
        </w:tc>
      </w:tr>
      <w:tr>
        <w:tc>
          <w:tcPr>
            <w:tcW w:type="dxa" w:w="3346"/>
          </w:tcPr>
          <w:p>
            <w:pPr>
              <w:spacing w:after="60" w:before="40"/>
            </w:pPr>
            <w:r>
              <w:rPr>
                <w:rFonts w:ascii="Consolas" w:hAnsi="Consolas"/>
                <w:sz w:val="19"/>
              </w:rPr>
              <w:t>packages/shared/src/meal-calculation.ts</w:t>
            </w:r>
          </w:p>
        </w:tc>
        <w:tc>
          <w:tcPr>
            <w:tcW w:type="dxa" w:w="3346"/>
          </w:tcPr>
          <w:p>
            <w:pPr>
              <w:spacing w:after="60" w:before="40"/>
            </w:pPr>
            <w:r>
              <w:rPr>
                <w:sz w:val="19"/>
              </w:rPr>
              <w:t>RER-based portion preview, adults only in practice, manual mode, treat budget, health/growth blockers</w:t>
            </w:r>
          </w:p>
        </w:tc>
        <w:tc>
          <w:tcPr>
            <w:tcW w:type="dxa" w:w="3346"/>
          </w:tcPr>
          <w:p>
            <w:pPr>
              <w:spacing w:after="60" w:before="40"/>
            </w:pPr>
            <w:r>
              <w:rPr>
                <w:sz w:val="19"/>
              </w:rPr>
              <w:t>Retain deterministic calculation; add versioned dog rules and structured reasons</w:t>
            </w:r>
          </w:p>
        </w:tc>
      </w:tr>
      <w:tr>
        <w:tc>
          <w:tcPr>
            <w:tcW w:type="dxa" w:w="3346"/>
          </w:tcPr>
          <w:p>
            <w:pPr>
              <w:spacing w:after="60" w:before="40"/>
            </w:pPr>
            <w:r>
              <w:rPr>
                <w:rFonts w:ascii="Consolas" w:hAnsi="Consolas"/>
                <w:sz w:val="19"/>
              </w:rPr>
              <w:t>packages/shared/src/pets.ts</w:t>
            </w:r>
          </w:p>
        </w:tc>
        <w:tc>
          <w:tcPr>
            <w:tcW w:type="dxa" w:w="3346"/>
          </w:tcPr>
          <w:p>
            <w:pPr>
              <w:spacing w:after="60" w:before="40"/>
            </w:pPr>
            <w:r>
              <w:rPr>
                <w:sz w:val="19"/>
              </w:rPr>
              <w:t>Mixed-species profile; BCS field accepts up to 10; breed-specific hard weight limit</w:t>
            </w:r>
          </w:p>
        </w:tc>
        <w:tc>
          <w:tcPr>
            <w:tcW w:type="dxa" w:w="3346"/>
          </w:tcPr>
          <w:p>
            <w:pPr>
              <w:spacing w:after="60" w:before="40"/>
            </w:pPr>
            <w:r>
              <w:rPr>
                <w:sz w:val="19"/>
              </w:rPr>
              <w:t>Dog feature uses BCS 1–9, explicit dog scope, measurement confirmation rather than breed diagnosis</w:t>
            </w:r>
          </w:p>
        </w:tc>
      </w:tr>
      <w:tr>
        <w:tc>
          <w:tcPr>
            <w:tcW w:type="dxa" w:w="3346"/>
          </w:tcPr>
          <w:p>
            <w:pPr>
              <w:spacing w:after="60" w:before="40"/>
            </w:pPr>
            <w:r>
              <w:rPr>
                <w:rFonts w:ascii="Consolas" w:hAnsi="Consolas"/>
                <w:sz w:val="19"/>
              </w:rPr>
              <w:t>packages/shared/src/meal-plans.ts</w:t>
            </w:r>
          </w:p>
        </w:tc>
        <w:tc>
          <w:tcPr>
            <w:tcW w:type="dxa" w:w="3346"/>
          </w:tcPr>
          <w:p>
            <w:pPr>
              <w:spacing w:after="60" w:before="40"/>
            </w:pPr>
            <w:r>
              <w:rPr>
                <w:sz w:val="19"/>
              </w:rPr>
              <w:t>One food, label calories, extras, 1–6 meal times</w:t>
            </w:r>
          </w:p>
        </w:tc>
        <w:tc>
          <w:tcPr>
            <w:tcW w:type="dxa" w:w="3346"/>
          </w:tcPr>
          <w:p>
            <w:pPr>
              <w:spacing w:after="60" w:before="40"/>
            </w:pPr>
            <w:r>
              <w:rPr>
                <w:sz w:val="19"/>
              </w:rPr>
              <w:t>Add food-version references, calorie ledger, evidence status and calculation snapshot</w:t>
            </w:r>
          </w:p>
        </w:tc>
      </w:tr>
      <w:tr>
        <w:tc>
          <w:tcPr>
            <w:tcW w:type="dxa" w:w="3346"/>
          </w:tcPr>
          <w:p>
            <w:pPr>
              <w:spacing w:after="60" w:before="40"/>
            </w:pPr>
            <w:r>
              <w:rPr>
                <w:rFonts w:ascii="Consolas" w:hAnsi="Consolas"/>
                <w:sz w:val="19"/>
              </w:rPr>
              <w:t>apps/api/src/app.ts</w:t>
            </w:r>
          </w:p>
        </w:tc>
        <w:tc>
          <w:tcPr>
            <w:tcW w:type="dxa" w:w="3346"/>
          </w:tcPr>
          <w:p>
            <w:pPr>
              <w:spacing w:after="60" w:before="40"/>
            </w:pPr>
            <w:r>
              <w:rPr>
                <w:rFonts w:ascii="Consolas" w:hAnsi="Consolas"/>
                <w:sz w:val="19"/>
              </w:rPr>
              <w:t>/api/v1/pets</w:t>
            </w:r>
            <w:r>
              <w:rPr>
                <w:sz w:val="19"/>
              </w:rPr>
              <w:t xml:space="preserve">, </w:t>
            </w:r>
            <w:r>
              <w:rPr>
                <w:rFonts w:ascii="Consolas" w:hAnsi="Consolas"/>
                <w:sz w:val="19"/>
              </w:rPr>
              <w:t>/meal-plans</w:t>
            </w:r>
            <w:r>
              <w:rPr>
                <w:sz w:val="19"/>
              </w:rPr>
              <w:t xml:space="preserve">, </w:t>
            </w:r>
            <w:r>
              <w:rPr>
                <w:rFonts w:ascii="Consolas" w:hAnsi="Consolas"/>
                <w:sz w:val="19"/>
              </w:rPr>
              <w:t>/nutrition-observations</w:t>
            </w:r>
            <w:r>
              <w:rPr>
                <w:sz w:val="19"/>
              </w:rPr>
              <w:t xml:space="preserve">, </w:t>
            </w:r>
            <w:r>
              <w:rPr>
                <w:rFonts w:ascii="Consolas" w:hAnsi="Consolas"/>
                <w:sz w:val="19"/>
              </w:rPr>
              <w:t>/session</w:t>
            </w:r>
            <w:r>
              <w:rPr>
                <w:sz w:val="19"/>
              </w:rPr>
              <w:t xml:space="preserve">, </w:t>
            </w:r>
            <w:r>
              <w:rPr>
                <w:rFonts w:ascii="Consolas" w:hAnsi="Consolas"/>
                <w:sz w:val="19"/>
              </w:rPr>
              <w:t>/export</w:t>
            </w:r>
          </w:p>
        </w:tc>
        <w:tc>
          <w:tcPr>
            <w:tcW w:type="dxa" w:w="3346"/>
          </w:tcPr>
          <w:p>
            <w:pPr>
              <w:spacing w:after="60" w:before="40"/>
            </w:pPr>
            <w:r>
              <w:rPr>
                <w:sz w:val="19"/>
              </w:rPr>
              <w:t>Reuse authenticated, owner-scoped routes and propose versioned nutrition endpoints</w:t>
            </w:r>
          </w:p>
        </w:tc>
      </w:tr>
      <w:tr>
        <w:tc>
          <w:tcPr>
            <w:tcW w:type="dxa" w:w="3346"/>
          </w:tcPr>
          <w:p>
            <w:pPr>
              <w:spacing w:after="60" w:before="40"/>
            </w:pPr>
            <w:r>
              <w:rPr>
                <w:sz w:val="19"/>
              </w:rPr>
              <w:t>Planner MongoDB models</w:t>
            </w:r>
          </w:p>
        </w:tc>
        <w:tc>
          <w:tcPr>
            <w:tcW w:type="dxa" w:w="3346"/>
          </w:tcPr>
          <w:p>
            <w:pPr>
              <w:spacing w:after="60" w:before="40"/>
            </w:pPr>
            <w:r>
              <w:rPr>
                <w:rFonts w:ascii="Consolas" w:hAnsi="Consolas"/>
                <w:sz w:val="19"/>
              </w:rPr>
              <w:t>pets</w:t>
            </w:r>
            <w:r>
              <w:rPr>
                <w:sz w:val="19"/>
              </w:rPr>
              <w:t xml:space="preserve">, </w:t>
            </w:r>
            <w:r>
              <w:rPr>
                <w:rFonts w:ascii="Consolas" w:hAnsi="Consolas"/>
                <w:sz w:val="19"/>
              </w:rPr>
              <w:t>meal_plans</w:t>
            </w:r>
            <w:r>
              <w:rPr>
                <w:sz w:val="19"/>
              </w:rPr>
              <w:t xml:space="preserve">, </w:t>
            </w:r>
            <w:r>
              <w:rPr>
                <w:rFonts w:ascii="Consolas" w:hAnsi="Consolas"/>
                <w:sz w:val="19"/>
              </w:rPr>
              <w:t>feeding_logs</w:t>
            </w:r>
            <w:r>
              <w:rPr>
                <w:sz w:val="19"/>
              </w:rPr>
              <w:t xml:space="preserve">, </w:t>
            </w:r>
            <w:r>
              <w:rPr>
                <w:rFonts w:ascii="Consolas" w:hAnsi="Consolas"/>
                <w:sz w:val="19"/>
              </w:rPr>
              <w:t>nutrition_observations</w:t>
            </w:r>
          </w:p>
        </w:tc>
        <w:tc>
          <w:tcPr>
            <w:tcW w:type="dxa" w:w="3346"/>
          </w:tcPr>
          <w:p>
            <w:pPr>
              <w:spacing w:after="60" w:before="40"/>
            </w:pPr>
            <w:r>
              <w:rPr>
                <w:sz w:val="19"/>
              </w:rPr>
              <w:t>Preserve history; add versioned nutrition collections</w:t>
            </w:r>
          </w:p>
        </w:tc>
      </w:tr>
      <w:tr>
        <w:tc>
          <w:tcPr>
            <w:tcW w:type="dxa" w:w="3346"/>
          </w:tcPr>
          <w:p>
            <w:pPr>
              <w:spacing w:after="60" w:before="40"/>
            </w:pPr>
            <w:r>
              <w:rPr>
                <w:sz w:val="19"/>
              </w:rPr>
              <w:t>Vetify main</w:t>
            </w:r>
          </w:p>
        </w:tc>
        <w:tc>
          <w:tcPr>
            <w:tcW w:type="dxa" w:w="3346"/>
          </w:tcPr>
          <w:p>
            <w:pPr>
              <w:spacing w:after="60" w:before="40"/>
            </w:pPr>
            <w:r>
              <w:rPr>
                <w:sz w:val="19"/>
              </w:rPr>
              <w:t>Owns users, native/browser authentication and subscription authority</w:t>
            </w:r>
          </w:p>
        </w:tc>
        <w:tc>
          <w:tcPr>
            <w:tcW w:type="dxa" w:w="3346"/>
          </w:tcPr>
          <w:p>
            <w:pPr>
              <w:spacing w:after="60" w:before="40"/>
            </w:pPr>
            <w:r>
              <w:rPr>
                <w:sz w:val="19"/>
              </w:rPr>
              <w:t>No planner password or duplicate account table</w:t>
            </w:r>
          </w:p>
        </w:tc>
      </w:tr>
    </w:tbl>
    <w:p>
      <w:pPr>
        <w:spacing w:after="0"/>
      </w:pPr>
    </w:p>
    <w:p>
      <w:r>
        <w:t>These observations describe the working tree, which already contains unrelated uncommitted authentication changes. This research does not claim those changes were released. Existing non-dog records need an explicit migration/read policy; they must not silently become dogs. The proposed dog planner rejects non-dog calculation requests.</w:t>
      </w:r>
    </w:p>
    <w:p>
      <w:pPr>
        <w:pStyle w:val="Heading2"/>
      </w:pPr>
      <w:r>
        <w:t>2.3 Explicit assumptions</w:t>
      </w:r>
    </w:p>
    <w:p>
      <w:r>
        <w:t>All calculation weights are kilograms; energy is kcal of metabolizable energy per day; meals use weighed grams. Food records represent the exact product and preparation state. A breed name does not establish ideal weight, disease, or a diagnosis. Owner health screening is a report of known concerns, not proof of health. Clinical prescriptions and reviews need authenticated, qualified reviewers. Source licensing and Philippine product requirements require verification before production use.</w:t>
      </w:r>
    </w:p>
    <w:p>
      <w:bookmarkStart w:id="3" w:name="section_3"/>
      <w:pPr>
        <w:pStyle w:val="Heading1"/>
      </w:pPr>
      <w:r>
        <w:t>3. Assessment of the Original Research</w:t>
      </w:r>
      <w:bookmarkEnd w:id="3"/>
    </w:p>
    <w:p>
      <w:r>
        <w:t xml:space="preserve">Assessments: </w:t>
      </w:r>
      <w:r>
        <w:rPr>
          <w:b/>
        </w:rPr>
        <w:t>V</w:t>
      </w:r>
      <w:r>
        <w:t xml:space="preserve"> = verified/suitable in its stated context; </w:t>
      </w:r>
      <w:r>
        <w:rPr>
          <w:b/>
        </w:rPr>
        <w:t>Q</w:t>
      </w:r>
      <w:r>
        <w:t xml:space="preserve"> = generally correct but qualified; </w:t>
      </w:r>
      <w:r>
        <w:rPr>
          <w:b/>
        </w:rPr>
        <w:t>I</w:t>
      </w:r>
      <w:r>
        <w:t xml:space="preserve"> = incorrect or misleading; </w:t>
      </w:r>
      <w:r>
        <w:rPr>
          <w:b/>
        </w:rPr>
        <w:t>M</w:t>
      </w:r>
      <w:r>
        <w:t xml:space="preserve"> = incomplete; </w:t>
      </w:r>
      <w:r>
        <w:rPr>
          <w:b/>
        </w:rPr>
        <w:t>S</w:t>
      </w:r>
      <w:r>
        <w:t xml:space="preserve"> = unsafe as an automatic recommendation without clinical oversight. A combined assessment means the idea is useful but its proposed automated use is unsafe. Table claims are paraphrased to make their implementation consequences clear.</w:t>
      </w:r>
    </w:p>
    <w:p>
      <w:pPr>
        <w:sectPr>
          <w:headerReference w:type="default" r:id="rId9"/>
          <w:footerReference w:type="default" r:id="rId10"/>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2992"/>
        <w:gridCol w:w="1197"/>
        <w:gridCol w:w="3292"/>
        <w:gridCol w:w="2095"/>
        <w:gridCol w:w="2693"/>
        <w:gridCol w:w="2693"/>
      </w:tblGrid>
      <w:tr>
        <w:trPr>
          <w:tblHeader w:val="true"/>
        </w:trPr>
        <w:tc>
          <w:tcPr>
            <w:tcW w:type="dxa" w:w="2992"/>
            <w:shd w:fill="154F59"/>
          </w:tcPr>
          <w:p>
            <w:pPr>
              <w:spacing w:after="60" w:before="40"/>
            </w:pPr>
            <w:r>
              <w:rPr>
                <w:b/>
                <w:color w:val="FFFFFF"/>
                <w:sz w:val="17"/>
              </w:rPr>
              <w:t>Original claim and locator</w:t>
            </w:r>
          </w:p>
        </w:tc>
        <w:tc>
          <w:tcPr>
            <w:tcW w:type="dxa" w:w="1197"/>
            <w:shd w:fill="154F59"/>
          </w:tcPr>
          <w:p>
            <w:pPr>
              <w:spacing w:after="60" w:before="40"/>
            </w:pPr>
            <w:r>
              <w:rPr>
                <w:b/>
                <w:color w:val="FFFFFF"/>
                <w:sz w:val="17"/>
              </w:rPr>
              <w:t>Assessment</w:t>
            </w:r>
          </w:p>
        </w:tc>
        <w:tc>
          <w:tcPr>
            <w:tcW w:type="dxa" w:w="3292"/>
            <w:shd w:fill="154F59"/>
          </w:tcPr>
          <w:p>
            <w:pPr>
              <w:spacing w:after="60" w:before="40"/>
            </w:pPr>
            <w:r>
              <w:rPr>
                <w:b/>
                <w:color w:val="FFFFFF"/>
                <w:sz w:val="17"/>
              </w:rPr>
              <w:t>Corrected recommendation</w:t>
            </w:r>
          </w:p>
        </w:tc>
        <w:tc>
          <w:tcPr>
            <w:tcW w:type="dxa" w:w="2095"/>
            <w:shd w:fill="154F59"/>
          </w:tcPr>
          <w:p>
            <w:pPr>
              <w:spacing w:after="60" w:before="40"/>
            </w:pPr>
            <w:r>
              <w:rPr>
                <w:b/>
                <w:color w:val="FFFFFF"/>
                <w:sz w:val="17"/>
              </w:rPr>
              <w:t>Reason</w:t>
            </w:r>
          </w:p>
        </w:tc>
        <w:tc>
          <w:tcPr>
            <w:tcW w:type="dxa" w:w="2693"/>
            <w:shd w:fill="154F59"/>
          </w:tcPr>
          <w:p>
            <w:pPr>
              <w:spacing w:after="60" w:before="40"/>
            </w:pPr>
            <w:r>
              <w:rPr>
                <w:b/>
                <w:color w:val="FFFFFF"/>
                <w:sz w:val="17"/>
              </w:rPr>
              <w:t>Source</w:t>
            </w:r>
          </w:p>
        </w:tc>
        <w:tc>
          <w:tcPr>
            <w:tcW w:type="dxa" w:w="2693"/>
            <w:shd w:fill="154F59"/>
          </w:tcPr>
          <w:p>
            <w:pPr>
              <w:spacing w:after="60" w:before="40"/>
            </w:pPr>
            <w:r>
              <w:rPr>
                <w:b/>
                <w:color w:val="FFFFFF"/>
                <w:sz w:val="17"/>
              </w:rPr>
              <w:t>Implementation impact</w:t>
            </w:r>
          </w:p>
        </w:tc>
      </w:tr>
      <w:tr>
        <w:tc>
          <w:tcPr>
            <w:tcW w:type="dxa" w:w="2992"/>
          </w:tcPr>
          <w:p>
            <w:pPr>
              <w:spacing w:after="60" w:before="40"/>
            </w:pPr>
            <w:r>
              <w:rPr>
                <w:sz w:val="17"/>
              </w:rPr>
              <w:t>All dogs differ; adjust using weight/body shape (P2, P96)</w:t>
            </w:r>
          </w:p>
        </w:tc>
        <w:tc>
          <w:tcPr>
            <w:tcW w:type="dxa" w:w="1197"/>
          </w:tcPr>
          <w:p>
            <w:pPr>
              <w:spacing w:after="60" w:before="40"/>
            </w:pPr>
            <w:r>
              <w:rPr>
                <w:sz w:val="17"/>
              </w:rPr>
              <w:t>Q</w:t>
            </w:r>
          </w:p>
        </w:tc>
        <w:tc>
          <w:tcPr>
            <w:tcW w:type="dxa" w:w="3292"/>
          </w:tcPr>
          <w:p>
            <w:pPr>
              <w:spacing w:after="60" w:before="40"/>
            </w:pPr>
            <w:r>
              <w:rPr>
                <w:sz w:val="17"/>
              </w:rPr>
              <w:t>Individual response matters; 20–30% is not a guaranteed error bound</w:t>
            </w:r>
          </w:p>
        </w:tc>
        <w:tc>
          <w:tcPr>
            <w:tcW w:type="dxa" w:w="2095"/>
          </w:tcPr>
          <w:p>
            <w:pPr>
              <w:spacing w:after="60" w:before="40"/>
            </w:pPr>
            <w:r>
              <w:rPr>
                <w:sz w:val="17"/>
              </w:rPr>
              <w:t>Predictions have substantial individual variation</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Store starting estimate and follow-up, not a certainty interval</w:t>
            </w:r>
          </w:p>
        </w:tc>
      </w:tr>
      <w:tr>
        <w:tc>
          <w:tcPr>
            <w:tcW w:type="dxa" w:w="2992"/>
          </w:tcPr>
          <w:p>
            <w:pPr>
              <w:spacing w:after="60" w:before="40"/>
            </w:pPr>
            <w:r>
              <w:rPr>
                <w:sz w:val="17"/>
              </w:rPr>
              <w:t>Puppies need more; seniors always need fewer calories (T4)</w:t>
            </w:r>
          </w:p>
        </w:tc>
        <w:tc>
          <w:tcPr>
            <w:tcW w:type="dxa" w:w="1197"/>
          </w:tcPr>
          <w:p>
            <w:pPr>
              <w:spacing w:after="60" w:before="40"/>
            </w:pPr>
            <w:r>
              <w:rPr>
                <w:sz w:val="17"/>
              </w:rPr>
              <w:t>I</w:t>
            </w:r>
          </w:p>
        </w:tc>
        <w:tc>
          <w:tcPr>
            <w:tcW w:type="dxa" w:w="3292"/>
          </w:tcPr>
          <w:p>
            <w:pPr>
              <w:spacing w:after="60" w:before="40"/>
            </w:pPr>
            <w:r>
              <w:rPr>
                <w:sz w:val="17"/>
              </w:rPr>
              <w:t>Growth changes requirements; an older dog is assessed individually</w:t>
            </w:r>
          </w:p>
        </w:tc>
        <w:tc>
          <w:tcPr>
            <w:tcW w:type="dxa" w:w="2095"/>
          </w:tcPr>
          <w:p>
            <w:pPr>
              <w:spacing w:after="60" w:before="40"/>
            </w:pPr>
            <w:r>
              <w:rPr>
                <w:sz w:val="17"/>
              </w:rPr>
              <w:t>Age alone cannot determine an energy change</w:t>
            </w:r>
          </w:p>
        </w:tc>
        <w:tc>
          <w:tcPr>
            <w:tcW w:type="dxa" w:w="2693"/>
          </w:tcPr>
          <w:p>
            <w:pPr>
              <w:spacing w:after="60" w:before="40"/>
            </w:pPr>
            <w:hyperlink r:id="rId15">
              <w:r>
                <w:rPr>
                  <w:color w:val="165D67"/>
                  <w:u w:val="single"/>
                </w:rPr>
                <w:t>AAHA senior nutrition</w:t>
              </w:r>
            </w:hyperlink>
          </w:p>
        </w:tc>
        <w:tc>
          <w:tcPr>
            <w:tcW w:type="dxa" w:w="2693"/>
          </w:tcPr>
          <w:p>
            <w:pPr>
              <w:spacing w:after="60" w:before="40"/>
            </w:pPr>
            <w:r>
              <w:rPr>
                <w:sz w:val="17"/>
              </w:rPr>
              <w:t>No senior reduction switch</w:t>
            </w:r>
          </w:p>
        </w:tc>
      </w:tr>
      <w:tr>
        <w:tc>
          <w:tcPr>
            <w:tcW w:type="dxa" w:w="2992"/>
          </w:tcPr>
          <w:p>
            <w:pPr>
              <w:spacing w:after="60" w:before="40"/>
            </w:pPr>
            <w:r>
              <w:rPr>
                <w:sz w:val="17"/>
              </w:rPr>
              <w:t>Smaller dogs use more energy per kg (T4, T48)</w:t>
            </w:r>
          </w:p>
        </w:tc>
        <w:tc>
          <w:tcPr>
            <w:tcW w:type="dxa" w:w="1197"/>
          </w:tcPr>
          <w:p>
            <w:pPr>
              <w:spacing w:after="60" w:before="40"/>
            </w:pPr>
            <w:r>
              <w:rPr>
                <w:sz w:val="17"/>
              </w:rPr>
              <w:t>Q</w:t>
            </w:r>
          </w:p>
        </w:tc>
        <w:tc>
          <w:tcPr>
            <w:tcW w:type="dxa" w:w="3292"/>
          </w:tcPr>
          <w:p>
            <w:pPr>
              <w:spacing w:after="60" w:before="40"/>
            </w:pPr>
            <w:r>
              <w:rPr>
                <w:sz w:val="17"/>
              </w:rPr>
              <w:t>Allometric scaling explains part of the pattern</w:t>
            </w:r>
          </w:p>
        </w:tc>
        <w:tc>
          <w:tcPr>
            <w:tcW w:type="dxa" w:w="2095"/>
          </w:tcPr>
          <w:p>
            <w:pPr>
              <w:spacing w:after="60" w:before="40"/>
            </w:pPr>
            <w:r>
              <w:rPr>
                <w:sz w:val="17"/>
              </w:rPr>
              <w:t>Total need and per-kg need differ</w:t>
            </w:r>
          </w:p>
        </w:tc>
        <w:tc>
          <w:tcPr>
            <w:tcW w:type="dxa" w:w="2693"/>
          </w:tcPr>
          <w:p>
            <w:pPr>
              <w:spacing w:after="60" w:before="40"/>
            </w:pPr>
            <w:hyperlink r:id="rId16">
              <w:r>
                <w:rPr>
                  <w:color w:val="165D67"/>
                  <w:u w:val="single"/>
                </w:rPr>
                <w:t>Merck nutrition</w:t>
              </w:r>
            </w:hyperlink>
          </w:p>
        </w:tc>
        <w:tc>
          <w:tcPr>
            <w:tcW w:type="dxa" w:w="2693"/>
          </w:tcPr>
          <w:p>
            <w:pPr>
              <w:spacing w:after="60" w:before="40"/>
            </w:pPr>
            <w:r>
              <w:rPr>
                <w:sz w:val="17"/>
              </w:rPr>
              <w:t>Use measured weight; no duplicate size multiplier</w:t>
            </w:r>
          </w:p>
        </w:tc>
      </w:tr>
      <w:tr>
        <w:tc>
          <w:tcPr>
            <w:tcW w:type="dxa" w:w="2992"/>
          </w:tcPr>
          <w:p>
            <w:pPr>
              <w:spacing w:after="60" w:before="40"/>
            </w:pPr>
            <w:r>
              <w:rPr>
                <w:sz w:val="17"/>
              </w:rPr>
              <w:t>Neutering reduces need by 20–30% (T4, T66)</w:t>
            </w:r>
          </w:p>
        </w:tc>
        <w:tc>
          <w:tcPr>
            <w:tcW w:type="dxa" w:w="1197"/>
          </w:tcPr>
          <w:p>
            <w:pPr>
              <w:spacing w:after="60" w:before="40"/>
            </w:pPr>
            <w:r>
              <w:rPr>
                <w:sz w:val="17"/>
              </w:rPr>
              <w:t>Q</w:t>
            </w:r>
          </w:p>
        </w:tc>
        <w:tc>
          <w:tcPr>
            <w:tcW w:type="dxa" w:w="3292"/>
          </w:tcPr>
          <w:p>
            <w:pPr>
              <w:spacing w:after="60" w:before="40"/>
            </w:pPr>
            <w:r>
              <w:rPr>
                <w:sz w:val="17"/>
              </w:rPr>
              <w:t>Needs may fall, but there is no universal percentage</w:t>
            </w:r>
          </w:p>
        </w:tc>
        <w:tc>
          <w:tcPr>
            <w:tcW w:type="dxa" w:w="2095"/>
          </w:tcPr>
          <w:p>
            <w:pPr>
              <w:spacing w:after="60" w:before="40"/>
            </w:pPr>
            <w:r>
              <w:rPr>
                <w:sz w:val="17"/>
              </w:rPr>
              <w:t>Existing activity, intake and body condition matter</w:t>
            </w:r>
          </w:p>
        </w:tc>
        <w:tc>
          <w:tcPr>
            <w:tcW w:type="dxa" w:w="2693"/>
          </w:tcPr>
          <w:p>
            <w:pPr>
              <w:spacing w:after="60" w:before="40"/>
            </w:pPr>
            <w:hyperlink r:id="rId17">
              <w:r>
                <w:rPr>
                  <w:color w:val="165D67"/>
                  <w:u w:val="single"/>
                </w:rPr>
                <w:t>AAHA obesity prevention</w:t>
              </w:r>
            </w:hyperlink>
          </w:p>
        </w:tc>
        <w:tc>
          <w:tcPr>
            <w:tcW w:type="dxa" w:w="2693"/>
          </w:tcPr>
          <w:p>
            <w:pPr>
              <w:spacing w:after="60" w:before="40"/>
            </w:pPr>
            <w:r>
              <w:rPr>
                <w:sz w:val="17"/>
              </w:rPr>
              <w:t>Select one adult factor, then monitor</w:t>
            </w:r>
          </w:p>
        </w:tc>
      </w:tr>
      <w:tr>
        <w:tc>
          <w:tcPr>
            <w:tcW w:type="dxa" w:w="2992"/>
          </w:tcPr>
          <w:p>
            <w:pPr>
              <w:spacing w:after="60" w:before="40"/>
            </w:pPr>
            <w:r>
              <w:rPr>
                <w:sz w:val="17"/>
              </w:rPr>
              <w:t>High activity needs 2–5 times the lazy dog's energy (T4)</w:t>
            </w:r>
          </w:p>
        </w:tc>
        <w:tc>
          <w:tcPr>
            <w:tcW w:type="dxa" w:w="1197"/>
          </w:tcPr>
          <w:p>
            <w:pPr>
              <w:spacing w:after="60" w:before="40"/>
            </w:pPr>
            <w:r>
              <w:rPr>
                <w:sz w:val="17"/>
              </w:rPr>
              <w:t>I</w:t>
            </w:r>
          </w:p>
        </w:tc>
        <w:tc>
          <w:tcPr>
            <w:tcW w:type="dxa" w:w="3292"/>
          </w:tcPr>
          <w:p>
            <w:pPr>
              <w:spacing w:after="60" w:before="40"/>
            </w:pPr>
            <w:r>
              <w:rPr>
                <w:sz w:val="17"/>
              </w:rPr>
              <w:t>Work factors are relative to RER, not the unspecified lazy dog's intake</w:t>
            </w:r>
          </w:p>
        </w:tc>
        <w:tc>
          <w:tcPr>
            <w:tcW w:type="dxa" w:w="2095"/>
          </w:tcPr>
          <w:p>
            <w:pPr>
              <w:spacing w:after="60" w:before="40"/>
            </w:pPr>
            <w:r>
              <w:rPr>
                <w:sz w:val="17"/>
              </w:rPr>
              <w:t>Different denominators cannot be substituted</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Named factor and weight basis required</w:t>
            </w:r>
          </w:p>
        </w:tc>
      </w:tr>
      <w:tr>
        <w:tc>
          <w:tcPr>
            <w:tcW w:type="dxa" w:w="2992"/>
          </w:tcPr>
          <w:p>
            <w:pPr>
              <w:spacing w:after="60" w:before="40"/>
            </w:pPr>
            <w:r>
              <w:rPr>
                <w:sz w:val="17"/>
              </w:rPr>
              <w:t>Illness, drugs, allergies and reproduction matter (T4)</w:t>
            </w:r>
          </w:p>
        </w:tc>
        <w:tc>
          <w:tcPr>
            <w:tcW w:type="dxa" w:w="1197"/>
          </w:tcPr>
          <w:p>
            <w:pPr>
              <w:spacing w:after="60" w:before="40"/>
            </w:pPr>
            <w:r>
              <w:rPr>
                <w:sz w:val="17"/>
              </w:rPr>
              <w:t>Q/S</w:t>
            </w:r>
          </w:p>
        </w:tc>
        <w:tc>
          <w:tcPr>
            <w:tcW w:type="dxa" w:w="3292"/>
          </w:tcPr>
          <w:p>
            <w:pPr>
              <w:spacing w:after="60" w:before="40"/>
            </w:pPr>
            <w:r>
              <w:rPr>
                <w:sz w:val="17"/>
              </w:rPr>
              <w:t>Screen and collect relevant clinician instructions</w:t>
            </w:r>
          </w:p>
        </w:tc>
        <w:tc>
          <w:tcPr>
            <w:tcW w:type="dxa" w:w="2095"/>
          </w:tcPr>
          <w:p>
            <w:pPr>
              <w:spacing w:after="60" w:before="40"/>
            </w:pPr>
            <w:r>
              <w:rPr>
                <w:sz w:val="17"/>
              </w:rPr>
              <w:t>These factors do not establish a nutrient prescription</w:t>
            </w:r>
          </w:p>
        </w:tc>
        <w:tc>
          <w:tcPr>
            <w:tcW w:type="dxa" w:w="2693"/>
          </w:tcPr>
          <w:p>
            <w:pPr>
              <w:spacing w:after="60" w:before="40"/>
            </w:pPr>
            <w:hyperlink r:id="rId12">
              <w:r>
                <w:rPr>
                  <w:color w:val="165D67"/>
                  <w:u w:val="single"/>
                </w:rPr>
                <w:t>AAHA assessment</w:t>
              </w:r>
            </w:hyperlink>
          </w:p>
        </w:tc>
        <w:tc>
          <w:tcPr>
            <w:tcW w:type="dxa" w:w="2693"/>
          </w:tcPr>
          <w:p>
            <w:pPr>
              <w:spacing w:after="60" w:before="40"/>
            </w:pPr>
            <w:r>
              <w:rPr>
                <w:sz w:val="17"/>
              </w:rPr>
              <w:t>Referral or reviewed plan</w:t>
            </w:r>
          </w:p>
        </w:tc>
      </w:tr>
      <w:tr>
        <w:tc>
          <w:tcPr>
            <w:tcW w:type="dxa" w:w="2992"/>
          </w:tcPr>
          <w:p>
            <w:pPr>
              <w:spacing w:after="60" w:before="40"/>
            </w:pPr>
            <w:r>
              <w:rPr>
                <w:sz w:val="17"/>
              </w:rPr>
              <w:t>kcal equals food-label Calories (P6)</w:t>
            </w:r>
          </w:p>
        </w:tc>
        <w:tc>
          <w:tcPr>
            <w:tcW w:type="dxa" w:w="1197"/>
          </w:tcPr>
          <w:p>
            <w:pPr>
              <w:spacing w:after="60" w:before="40"/>
            </w:pPr>
            <w:r>
              <w:rPr>
                <w:sz w:val="17"/>
              </w:rPr>
              <w:t>V</w:t>
            </w:r>
          </w:p>
        </w:tc>
        <w:tc>
          <w:tcPr>
            <w:tcW w:type="dxa" w:w="3292"/>
          </w:tcPr>
          <w:p>
            <w:pPr>
              <w:spacing w:after="60" w:before="40"/>
            </w:pPr>
            <w:r>
              <w:rPr>
                <w:sz w:val="17"/>
              </w:rPr>
              <w:t>Distinguish kcal from small calories</w:t>
            </w:r>
          </w:p>
        </w:tc>
        <w:tc>
          <w:tcPr>
            <w:tcW w:type="dxa" w:w="2095"/>
          </w:tcPr>
          <w:p>
            <w:pPr>
              <w:spacing w:after="60" w:before="40"/>
            </w:pPr>
            <w:r>
              <w:rPr>
                <w:sz w:val="17"/>
              </w:rPr>
              <w:t>Unit consistency</w:t>
            </w:r>
          </w:p>
        </w:tc>
        <w:tc>
          <w:tcPr>
            <w:tcW w:type="dxa" w:w="2693"/>
          </w:tcPr>
          <w:p>
            <w:pPr>
              <w:spacing w:after="60" w:before="40"/>
            </w:pPr>
            <w:hyperlink r:id="rId16">
              <w:r>
                <w:rPr>
                  <w:color w:val="165D67"/>
                  <w:u w:val="single"/>
                </w:rPr>
                <w:t>Merck nutrition</w:t>
              </w:r>
            </w:hyperlink>
          </w:p>
        </w:tc>
        <w:tc>
          <w:tcPr>
            <w:tcW w:type="dxa" w:w="2693"/>
          </w:tcPr>
          <w:p>
            <w:pPr>
              <w:spacing w:after="60" w:before="40"/>
            </w:pPr>
            <w:r>
              <w:rPr>
                <w:sz w:val="17"/>
              </w:rPr>
              <w:t>One energy unit internally</w:t>
            </w:r>
          </w:p>
        </w:tc>
      </w:tr>
      <w:tr>
        <w:tc>
          <w:tcPr>
            <w:tcW w:type="dxa" w:w="2992"/>
          </w:tcPr>
          <w:p>
            <w:pPr>
              <w:spacing w:after="60" w:before="40"/>
            </w:pPr>
            <w:r>
              <w:rPr>
                <w:sz w:val="17"/>
              </w:rPr>
              <w:t>RER = 70 × kg^0.75; coefficient is not 70 kcal (P7–8)</w:t>
            </w:r>
          </w:p>
        </w:tc>
        <w:tc>
          <w:tcPr>
            <w:tcW w:type="dxa" w:w="1197"/>
          </w:tcPr>
          <w:p>
            <w:pPr>
              <w:spacing w:after="60" w:before="40"/>
            </w:pPr>
            <w:r>
              <w:rPr>
                <w:sz w:val="17"/>
              </w:rPr>
              <w:t>Q</w:t>
            </w:r>
          </w:p>
        </w:tc>
        <w:tc>
          <w:tcPr>
            <w:tcW w:type="dxa" w:w="3292"/>
          </w:tcPr>
          <w:p>
            <w:pPr>
              <w:spacing w:after="60" w:before="40"/>
            </w:pPr>
            <w:r>
              <w:rPr>
                <w:sz w:val="17"/>
              </w:rPr>
              <w:t>Coefficient carries kcal·day⁻¹·kg⁻⁰·⁷⁵ units</w:t>
            </w:r>
          </w:p>
        </w:tc>
        <w:tc>
          <w:tcPr>
            <w:tcW w:type="dxa" w:w="2095"/>
          </w:tcPr>
          <w:p>
            <w:pPr>
              <w:spacing w:after="60" w:before="40"/>
            </w:pPr>
            <w:r>
              <w:rPr>
                <w:sz w:val="17"/>
              </w:rPr>
              <w:t>It is not a dimensionless constant or a fixed allowance</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Reject pounds and dimension errors</w:t>
            </w:r>
          </w:p>
        </w:tc>
      </w:tr>
      <w:tr>
        <w:tc>
          <w:tcPr>
            <w:tcW w:type="dxa" w:w="2992"/>
          </w:tcPr>
          <w:p>
            <w:pPr>
              <w:spacing w:after="60" w:before="40"/>
            </w:pPr>
            <w:r>
              <w:rPr>
                <w:sz w:val="17"/>
              </w:rPr>
              <w:t>Daily energy = RER × life-stage number (P9)</w:t>
            </w:r>
          </w:p>
        </w:tc>
        <w:tc>
          <w:tcPr>
            <w:tcW w:type="dxa" w:w="1197"/>
          </w:tcPr>
          <w:p>
            <w:pPr>
              <w:spacing w:after="60" w:before="40"/>
            </w:pPr>
            <w:r>
              <w:rPr>
                <w:sz w:val="17"/>
              </w:rPr>
              <w:t>Q</w:t>
            </w:r>
          </w:p>
        </w:tc>
        <w:tc>
          <w:tcPr>
            <w:tcW w:type="dxa" w:w="3292"/>
          </w:tcPr>
          <w:p>
            <w:pPr>
              <w:spacing w:after="60" w:before="40"/>
            </w:pPr>
            <w:r>
              <w:rPr>
                <w:sz w:val="17"/>
              </w:rPr>
              <w:t>A starting estimate, not a universal daily prescription</w:t>
            </w:r>
          </w:p>
        </w:tc>
        <w:tc>
          <w:tcPr>
            <w:tcW w:type="dxa" w:w="2095"/>
          </w:tcPr>
          <w:p>
            <w:pPr>
              <w:spacing w:after="60" w:before="40"/>
            </w:pPr>
            <w:r>
              <w:rPr>
                <w:sz w:val="17"/>
              </w:rPr>
              <w:t>Actual intake can differ</w:t>
            </w:r>
          </w:p>
        </w:tc>
        <w:tc>
          <w:tcPr>
            <w:tcW w:type="dxa" w:w="2693"/>
          </w:tcPr>
          <w:p>
            <w:pPr>
              <w:spacing w:after="60" w:before="40"/>
            </w:pPr>
            <w:hyperlink r:id="rId16">
              <w:r>
                <w:rPr>
                  <w:color w:val="165D67"/>
                  <w:u w:val="single"/>
                </w:rPr>
                <w:t>Merck nutrition</w:t>
              </w:r>
            </w:hyperlink>
          </w:p>
        </w:tc>
        <w:tc>
          <w:tcPr>
            <w:tcW w:type="dxa" w:w="2693"/>
          </w:tcPr>
          <w:p>
            <w:pPr>
              <w:spacing w:after="60" w:before="40"/>
            </w:pPr>
            <w:r>
              <w:rPr>
                <w:sz w:val="17"/>
              </w:rPr>
              <w:t>Show method, factor and assumptions</w:t>
            </w:r>
          </w:p>
        </w:tc>
      </w:tr>
      <w:tr>
        <w:tc>
          <w:tcPr>
            <w:tcW w:type="dxa" w:w="2992"/>
          </w:tcPr>
          <w:p>
            <w:pPr>
              <w:spacing w:after="60" w:before="40"/>
            </w:pPr>
            <w:r>
              <w:rPr>
                <w:sz w:val="17"/>
              </w:rPr>
              <w:t>Adult factors 1.6 neutered and 1.8 intact (T10)</w:t>
            </w:r>
          </w:p>
        </w:tc>
        <w:tc>
          <w:tcPr>
            <w:tcW w:type="dxa" w:w="1197"/>
          </w:tcPr>
          <w:p>
            <w:pPr>
              <w:spacing w:after="60" w:before="40"/>
            </w:pPr>
            <w:r>
              <w:rPr>
                <w:sz w:val="17"/>
              </w:rPr>
              <w:t>Q</w:t>
            </w:r>
          </w:p>
        </w:tc>
        <w:tc>
          <w:tcPr>
            <w:tcW w:type="dxa" w:w="3292"/>
          </w:tcPr>
          <w:p>
            <w:pPr>
              <w:spacing w:after="60" w:before="40"/>
            </w:pPr>
            <w:r>
              <w:rPr>
                <w:sz w:val="17"/>
              </w:rPr>
              <w:t>These are usable examples within AAHA ranges</w:t>
            </w:r>
          </w:p>
        </w:tc>
        <w:tc>
          <w:tcPr>
            <w:tcW w:type="dxa" w:w="2095"/>
          </w:tcPr>
          <w:p>
            <w:pPr>
              <w:spacing w:after="60" w:before="40"/>
            </w:pPr>
            <w:r>
              <w:rPr>
                <w:sz w:val="17"/>
              </w:rPr>
              <w:t>They are not the only supported starting values</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Default is a disclosed product choice</w:t>
            </w:r>
          </w:p>
        </w:tc>
      </w:tr>
      <w:tr>
        <w:tc>
          <w:tcPr>
            <w:tcW w:type="dxa" w:w="2992"/>
          </w:tcPr>
          <w:p>
            <w:pPr>
              <w:spacing w:after="60" w:before="40"/>
            </w:pPr>
            <w:r>
              <w:rPr>
                <w:sz w:val="17"/>
              </w:rPr>
              <w:t>Lazy/obesity-prone factor 1.2–1.4 (T10, T64)</w:t>
            </w:r>
          </w:p>
        </w:tc>
        <w:tc>
          <w:tcPr>
            <w:tcW w:type="dxa" w:w="1197"/>
          </w:tcPr>
          <w:p>
            <w:pPr>
              <w:spacing w:after="60" w:before="40"/>
            </w:pPr>
            <w:r>
              <w:rPr>
                <w:sz w:val="17"/>
              </w:rPr>
              <w:t>Q</w:t>
            </w:r>
          </w:p>
        </w:tc>
        <w:tc>
          <w:tcPr>
            <w:tcW w:type="dxa" w:w="3292"/>
          </w:tcPr>
          <w:p>
            <w:pPr>
              <w:spacing w:after="60" w:before="40"/>
            </w:pPr>
            <w:r>
              <w:rPr>
                <w:sz w:val="17"/>
              </w:rPr>
              <w:t>Merck uses 1.4; AAHA uses 1.0–1.2</w:t>
            </w:r>
          </w:p>
        </w:tc>
        <w:tc>
          <w:tcPr>
            <w:tcW w:type="dxa" w:w="2095"/>
          </w:tcPr>
          <w:p>
            <w:pPr>
              <w:spacing w:after="60" w:before="40"/>
            </w:pPr>
            <w:r>
              <w:rPr>
                <w:sz w:val="17"/>
              </w:rPr>
              <w:t>References differ; neither is an exact individual value</w:t>
            </w:r>
          </w:p>
        </w:tc>
        <w:tc>
          <w:tcPr>
            <w:tcW w:type="dxa" w:w="2693"/>
          </w:tcPr>
          <w:p>
            <w:pPr>
              <w:spacing w:after="60" w:before="40"/>
            </w:pPr>
            <w:hyperlink r:id="rId16">
              <w:r>
                <w:rPr>
                  <w:color w:val="165D67"/>
                  <w:u w:val="single"/>
                </w:rPr>
                <w:t>Merck nutrition</w:t>
              </w:r>
            </w:hyperlink>
            <w:r>
              <w:rPr>
                <w:sz w:val="17"/>
              </w:rPr>
              <w:t xml:space="preserve">, </w:t>
            </w:r>
            <w:hyperlink r:id="rId14">
              <w:r>
                <w:rPr>
                  <w:color w:val="165D67"/>
                  <w:u w:val="single"/>
                </w:rPr>
                <w:t>AAHA energy</w:t>
              </w:r>
            </w:hyperlink>
          </w:p>
        </w:tc>
        <w:tc>
          <w:tcPr>
            <w:tcW w:type="dxa" w:w="2693"/>
          </w:tcPr>
          <w:p>
            <w:pPr>
              <w:spacing w:after="60" w:before="40"/>
            </w:pPr>
            <w:r>
              <w:rPr>
                <w:sz w:val="17"/>
              </w:rPr>
              <w:t>Version one policy; do not average blindly</w:t>
            </w:r>
          </w:p>
        </w:tc>
      </w:tr>
      <w:tr>
        <w:tc>
          <w:tcPr>
            <w:tcW w:type="dxa" w:w="2992"/>
          </w:tcPr>
          <w:p>
            <w:pPr>
              <w:spacing w:after="60" w:before="40"/>
            </w:pPr>
            <w:r>
              <w:rPr>
                <w:sz w:val="17"/>
              </w:rPr>
              <w:t>Weight loss: 1.0 RER at ideal weight (T10, T62)</w:t>
            </w:r>
          </w:p>
        </w:tc>
        <w:tc>
          <w:tcPr>
            <w:tcW w:type="dxa" w:w="1197"/>
          </w:tcPr>
          <w:p>
            <w:pPr>
              <w:spacing w:after="60" w:before="40"/>
            </w:pPr>
            <w:r>
              <w:rPr>
                <w:sz w:val="17"/>
              </w:rPr>
              <w:t>Q/S</w:t>
            </w:r>
          </w:p>
        </w:tc>
        <w:tc>
          <w:tcPr>
            <w:tcW w:type="dxa" w:w="3292"/>
          </w:tcPr>
          <w:p>
            <w:pPr>
              <w:spacing w:after="60" w:before="40"/>
            </w:pPr>
            <w:r>
              <w:rPr>
                <w:sz w:val="17"/>
              </w:rPr>
              <w:t>Clinician-set ideal weight and nutrient-appropriate diet needed</w:t>
            </w:r>
          </w:p>
        </w:tc>
        <w:tc>
          <w:tcPr>
            <w:tcW w:type="dxa" w:w="2095"/>
          </w:tcPr>
          <w:p>
            <w:pPr>
              <w:spacing w:after="60" w:before="40"/>
            </w:pPr>
            <w:r>
              <w:rPr>
                <w:sz w:val="17"/>
              </w:rPr>
              <w:t>Calorie restriction may compromise nutrients</w:t>
            </w:r>
          </w:p>
        </w:tc>
        <w:tc>
          <w:tcPr>
            <w:tcW w:type="dxa" w:w="2693"/>
          </w:tcPr>
          <w:p>
            <w:pPr>
              <w:spacing w:after="60" w:before="40"/>
            </w:pPr>
            <w:hyperlink r:id="rId14">
              <w:r>
                <w:rPr>
                  <w:color w:val="165D67"/>
                  <w:u w:val="single"/>
                </w:rPr>
                <w:t>AAHA weight reduction</w:t>
              </w:r>
            </w:hyperlink>
          </w:p>
        </w:tc>
        <w:tc>
          <w:tcPr>
            <w:tcW w:type="dxa" w:w="2693"/>
          </w:tcPr>
          <w:p>
            <w:pPr>
              <w:spacing w:after="60" w:before="40"/>
            </w:pPr>
            <w:r>
              <w:rPr>
                <w:sz w:val="17"/>
              </w:rPr>
              <w:t>Supervised module only</w:t>
            </w:r>
          </w:p>
        </w:tc>
      </w:tr>
      <w:tr>
        <w:tc>
          <w:tcPr>
            <w:tcW w:type="dxa" w:w="2992"/>
          </w:tcPr>
          <w:p>
            <w:pPr>
              <w:spacing w:after="60" w:before="40"/>
            </w:pPr>
            <w:r>
              <w:rPr>
                <w:sz w:val="17"/>
              </w:rPr>
              <w:t>Puppies under/over 4 months: 3/2 RER (T10)</w:t>
            </w:r>
          </w:p>
        </w:tc>
        <w:tc>
          <w:tcPr>
            <w:tcW w:type="dxa" w:w="1197"/>
          </w:tcPr>
          <w:p>
            <w:pPr>
              <w:spacing w:after="60" w:before="40"/>
            </w:pPr>
            <w:r>
              <w:rPr>
                <w:sz w:val="17"/>
              </w:rPr>
              <w:t>Q</w:t>
            </w:r>
          </w:p>
        </w:tc>
        <w:tc>
          <w:tcPr>
            <w:tcW w:type="dxa" w:w="3292"/>
          </w:tcPr>
          <w:p>
            <w:pPr>
              <w:spacing w:after="60" w:before="40"/>
            </w:pPr>
            <w:r>
              <w:rPr>
                <w:sz w:val="17"/>
              </w:rPr>
              <w:t>Approximate AAHA method while still growing</w:t>
            </w:r>
          </w:p>
        </w:tc>
        <w:tc>
          <w:tcPr>
            <w:tcW w:type="dxa" w:w="2095"/>
          </w:tcPr>
          <w:p>
            <w:pPr>
              <w:spacing w:after="60" w:before="40"/>
            </w:pPr>
            <w:r>
              <w:rPr>
                <w:sz w:val="17"/>
              </w:rPr>
              <w:t>Four months is an energy-method cutoff, not the nutrient-stage cutoff</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Separate age, growth and nutritional profiles</w:t>
            </w:r>
          </w:p>
        </w:tc>
      </w:tr>
      <w:tr>
        <w:tc>
          <w:tcPr>
            <w:tcW w:type="dxa" w:w="2992"/>
          </w:tcPr>
          <w:p>
            <w:pPr>
              <w:spacing w:after="60" w:before="40"/>
            </w:pPr>
            <w:r>
              <w:rPr>
                <w:sz w:val="17"/>
              </w:rPr>
              <w:t>Pregnancy 1.8–3; nursing 4–8 (T10, T66)</w:t>
            </w:r>
          </w:p>
        </w:tc>
        <w:tc>
          <w:tcPr>
            <w:tcW w:type="dxa" w:w="1197"/>
          </w:tcPr>
          <w:p>
            <w:pPr>
              <w:spacing w:after="60" w:before="40"/>
            </w:pPr>
            <w:r>
              <w:rPr>
                <w:sz w:val="17"/>
              </w:rPr>
              <w:t>M/S</w:t>
            </w:r>
          </w:p>
        </w:tc>
        <w:tc>
          <w:tcPr>
            <w:tcW w:type="dxa" w:w="3292"/>
          </w:tcPr>
          <w:p>
            <w:pPr>
              <w:spacing w:after="60" w:before="40"/>
            </w:pPr>
            <w:r>
              <w:rPr>
                <w:sz w:val="17"/>
              </w:rPr>
              <w:t>Use gestational stage, litter and lactation week in a supervised method</w:t>
            </w:r>
          </w:p>
        </w:tc>
        <w:tc>
          <w:tcPr>
            <w:tcW w:type="dxa" w:w="2095"/>
          </w:tcPr>
          <w:p>
            <w:pPr>
              <w:spacing w:after="60" w:before="40"/>
            </w:pPr>
            <w:r>
              <w:rPr>
                <w:sz w:val="17"/>
              </w:rPr>
              <w:t>A blanket factor hides essential inputs</w:t>
            </w:r>
          </w:p>
        </w:tc>
        <w:tc>
          <w:tcPr>
            <w:tcW w:type="dxa" w:w="2693"/>
          </w:tcPr>
          <w:p>
            <w:pPr>
              <w:spacing w:after="60" w:before="40"/>
            </w:pPr>
            <w:hyperlink r:id="rId18">
              <w:r>
                <w:rPr>
                  <w:color w:val="165D67"/>
                  <w:u w:val="single"/>
                </w:rPr>
                <w:t>FEDIAF, table VII-8 b</w:t>
              </w:r>
            </w:hyperlink>
          </w:p>
        </w:tc>
        <w:tc>
          <w:tcPr>
            <w:tcW w:type="dxa" w:w="2693"/>
          </w:tcPr>
          <w:p>
            <w:pPr>
              <w:spacing w:after="60" w:before="40"/>
            </w:pPr>
            <w:r>
              <w:rPr>
                <w:sz w:val="17"/>
              </w:rPr>
              <w:t>No unsupervised reproductive plan</w:t>
            </w:r>
          </w:p>
        </w:tc>
      </w:tr>
      <w:tr>
        <w:tc>
          <w:tcPr>
            <w:tcW w:type="dxa" w:w="2992"/>
          </w:tcPr>
          <w:p>
            <w:pPr>
              <w:spacing w:after="60" w:before="40"/>
            </w:pPr>
            <w:r>
              <w:rPr>
                <w:sz w:val="17"/>
              </w:rPr>
              <w:t>Hard work factor 2–5 (T10)</w:t>
            </w:r>
          </w:p>
        </w:tc>
        <w:tc>
          <w:tcPr>
            <w:tcW w:type="dxa" w:w="1197"/>
          </w:tcPr>
          <w:p>
            <w:pPr>
              <w:spacing w:after="60" w:before="40"/>
            </w:pPr>
            <w:r>
              <w:rPr>
                <w:sz w:val="17"/>
              </w:rPr>
              <w:t>M</w:t>
            </w:r>
          </w:p>
        </w:tc>
        <w:tc>
          <w:tcPr>
            <w:tcW w:type="dxa" w:w="3292"/>
          </w:tcPr>
          <w:p>
            <w:pPr>
              <w:spacing w:after="60" w:before="40"/>
            </w:pPr>
            <w:r>
              <w:rPr>
                <w:sz w:val="17"/>
              </w:rPr>
              <w:t>Work intensity has a wider possible range</w:t>
            </w:r>
          </w:p>
        </w:tc>
        <w:tc>
          <w:tcPr>
            <w:tcW w:type="dxa" w:w="2095"/>
          </w:tcPr>
          <w:p>
            <w:pPr>
              <w:spacing w:after="60" w:before="40"/>
            </w:pPr>
            <w:r>
              <w:rPr>
                <w:sz w:val="17"/>
              </w:rPr>
              <w:t>Everyday exercise is not heavy work</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Performance cases require assessment</w:t>
            </w:r>
          </w:p>
        </w:tc>
      </w:tr>
      <w:tr>
        <w:tc>
          <w:tcPr>
            <w:tcW w:type="dxa" w:w="2992"/>
          </w:tcPr>
          <w:p>
            <w:pPr>
              <w:spacing w:after="60" w:before="40"/>
            </w:pPr>
            <w:r>
              <w:rPr>
                <w:sz w:val="17"/>
              </w:rPr>
              <w:t>Square-root shortcut for kg^0.75 (P12)</w:t>
            </w:r>
          </w:p>
        </w:tc>
        <w:tc>
          <w:tcPr>
            <w:tcW w:type="dxa" w:w="1197"/>
          </w:tcPr>
          <w:p>
            <w:pPr>
              <w:spacing w:after="60" w:before="40"/>
            </w:pPr>
            <w:r>
              <w:rPr>
                <w:sz w:val="17"/>
              </w:rPr>
              <w:t>V</w:t>
            </w:r>
          </w:p>
        </w:tc>
        <w:tc>
          <w:tcPr>
            <w:tcW w:type="dxa" w:w="3292"/>
          </w:tcPr>
          <w:p>
            <w:pPr>
              <w:spacing w:after="60" w:before="40"/>
            </w:pPr>
            <w:r>
              <w:rPr>
                <w:sz w:val="17"/>
              </w:rPr>
              <w:t>sqrt(W) × sqrt(sqrt(W)) is equivalent</w:t>
            </w:r>
          </w:p>
        </w:tc>
        <w:tc>
          <w:tcPr>
            <w:tcW w:type="dxa" w:w="2095"/>
          </w:tcPr>
          <w:p>
            <w:pPr>
              <w:spacing w:after="60" w:before="40"/>
            </w:pPr>
            <w:r>
              <w:rPr>
                <w:sz w:val="17"/>
              </w:rPr>
              <w:t>Algebraically W^0.5 × W^0.25</w:t>
            </w:r>
          </w:p>
        </w:tc>
        <w:tc>
          <w:tcPr>
            <w:tcW w:type="dxa" w:w="2693"/>
          </w:tcPr>
          <w:p>
            <w:pPr>
              <w:spacing w:after="60" w:before="40"/>
            </w:pPr>
            <w:r>
              <w:rPr>
                <w:sz w:val="17"/>
              </w:rPr>
              <w:t>Independent arithmetic in section 7</w:t>
            </w:r>
          </w:p>
        </w:tc>
        <w:tc>
          <w:tcPr>
            <w:tcW w:type="dxa" w:w="2693"/>
          </w:tcPr>
          <w:p>
            <w:pPr>
              <w:spacing w:after="60" w:before="40"/>
            </w:pPr>
            <w:r>
              <w:rPr>
                <w:sz w:val="17"/>
              </w:rPr>
              <w:t>Keep full precision</w:t>
            </w:r>
          </w:p>
        </w:tc>
      </w:tr>
      <w:tr>
        <w:tc>
          <w:tcPr>
            <w:tcW w:type="dxa" w:w="2992"/>
          </w:tcPr>
          <w:p>
            <w:pPr>
              <w:spacing w:after="60" w:before="40"/>
            </w:pPr>
            <w:r>
              <w:rPr>
                <w:sz w:val="17"/>
              </w:rPr>
              <w:t>AAFCO protein/fat DM percentages equivalent to per-1000-kcal values (T15)</w:t>
            </w:r>
          </w:p>
        </w:tc>
        <w:tc>
          <w:tcPr>
            <w:tcW w:type="dxa" w:w="1197"/>
          </w:tcPr>
          <w:p>
            <w:pPr>
              <w:spacing w:after="60" w:before="40"/>
            </w:pPr>
            <w:r>
              <w:rPr>
                <w:sz w:val="17"/>
              </w:rPr>
              <w:t>Q</w:t>
            </w:r>
          </w:p>
        </w:tc>
        <w:tc>
          <w:tcPr>
            <w:tcW w:type="dxa" w:w="3292"/>
          </w:tcPr>
          <w:p>
            <w:pPr>
              <w:spacing w:after="60" w:before="40"/>
            </w:pPr>
            <w:r>
              <w:rPr>
                <w:sz w:val="17"/>
              </w:rPr>
              <w:t>Equivalence assumes 4,000 kcal/kg DM; growth protein 56.25 and fat 21.25 g/1000 kcal</w:t>
            </w:r>
          </w:p>
        </w:tc>
        <w:tc>
          <w:tcPr>
            <w:tcW w:type="dxa" w:w="2095"/>
          </w:tcPr>
          <w:p>
            <w:pPr>
              <w:spacing w:after="60" w:before="40"/>
            </w:pPr>
            <w:r>
              <w:rPr>
                <w:sz w:val="17"/>
              </w:rPr>
              <w:t>Percent alone is not a calorie-normalized intake</w:t>
            </w:r>
          </w:p>
        </w:tc>
        <w:tc>
          <w:tcPr>
            <w:tcW w:type="dxa" w:w="2693"/>
          </w:tcPr>
          <w:p>
            <w:pPr>
              <w:spacing w:after="60" w:before="40"/>
            </w:pPr>
            <w:r>
              <w:rPr>
                <w:sz w:val="17"/>
              </w:rPr>
              <w:t xml:space="preserve">Guide values; </w:t>
            </w:r>
            <w:hyperlink r:id="rId13">
              <w:r>
                <w:rPr>
                  <w:color w:val="165D67"/>
                  <w:u w:val="single"/>
                </w:rPr>
                <w:t>FDA profiles</w:t>
              </w:r>
            </w:hyperlink>
          </w:p>
        </w:tc>
        <w:tc>
          <w:tcPr>
            <w:tcW w:type="dxa" w:w="2693"/>
          </w:tcPr>
          <w:p>
            <w:pPr>
              <w:spacing w:after="60" w:before="40"/>
            </w:pPr>
            <w:r>
              <w:rPr>
                <w:sz w:val="17"/>
              </w:rPr>
              <w:t>Density-specific conversion</w:t>
            </w:r>
          </w:p>
        </w:tc>
      </w:tr>
      <w:tr>
        <w:tc>
          <w:tcPr>
            <w:tcW w:type="dxa" w:w="2992"/>
          </w:tcPr>
          <w:p>
            <w:pPr>
              <w:spacing w:after="60" w:before="40"/>
            </w:pPr>
            <w:r>
              <w:rPr>
                <w:sz w:val="17"/>
              </w:rPr>
              <w:t>No carbohydrate minimum, therefore dogs do not need carbohydrates (P17)</w:t>
            </w:r>
          </w:p>
        </w:tc>
        <w:tc>
          <w:tcPr>
            <w:tcW w:type="dxa" w:w="1197"/>
          </w:tcPr>
          <w:p>
            <w:pPr>
              <w:spacing w:after="60" w:before="40"/>
            </w:pPr>
            <w:r>
              <w:rPr>
                <w:sz w:val="17"/>
              </w:rPr>
              <w:t>Q</w:t>
            </w:r>
          </w:p>
        </w:tc>
        <w:tc>
          <w:tcPr>
            <w:tcW w:type="dxa" w:w="3292"/>
          </w:tcPr>
          <w:p>
            <w:pPr>
              <w:spacing w:after="60" w:before="40"/>
            </w:pPr>
            <w:r>
              <w:rPr>
                <w:sz w:val="17"/>
              </w:rPr>
              <w:t>No profile minimum does not mean carbohydrate has no useful role</w:t>
            </w:r>
          </w:p>
        </w:tc>
        <w:tc>
          <w:tcPr>
            <w:tcW w:type="dxa" w:w="2095"/>
          </w:tcPr>
          <w:p>
            <w:pPr>
              <w:spacing w:after="60" w:before="40"/>
            </w:pPr>
            <w:r>
              <w:rPr>
                <w:sz w:val="17"/>
              </w:rPr>
              <w:t>Digestible carbohydrates can supply energy; clinical contexts differ</w:t>
            </w:r>
          </w:p>
        </w:tc>
        <w:tc>
          <w:tcPr>
            <w:tcW w:type="dxa" w:w="2693"/>
          </w:tcPr>
          <w:p>
            <w:pPr>
              <w:spacing w:after="60" w:before="40"/>
            </w:pPr>
            <w:hyperlink r:id="rId11">
              <w:r>
                <w:rPr>
                  <w:color w:val="165D67"/>
                  <w:u w:val="single"/>
                </w:rPr>
                <w:t>FEDIAF carbohydrate review</w:t>
              </w:r>
            </w:hyperlink>
          </w:p>
        </w:tc>
        <w:tc>
          <w:tcPr>
            <w:tcW w:type="dxa" w:w="2693"/>
          </w:tcPr>
          <w:p>
            <w:pPr>
              <w:spacing w:after="60" w:before="40"/>
            </w:pPr>
            <w:r>
              <w:rPr>
                <w:sz w:val="17"/>
              </w:rPr>
              <w:t>No invented carbohydrate target or ban</w:t>
            </w:r>
          </w:p>
        </w:tc>
      </w:tr>
      <w:tr>
        <w:tc>
          <w:tcPr>
            <w:tcW w:type="dxa" w:w="2992"/>
          </w:tcPr>
          <w:p>
            <w:pPr>
              <w:spacing w:after="60" w:before="40"/>
            </w:pPr>
            <w:r>
              <w:rPr>
                <w:sz w:val="17"/>
              </w:rPr>
              <w:t>Most diets supply 30–50% carb calories; 2–5% fiber helps all dogs (P17)</w:t>
            </w:r>
          </w:p>
        </w:tc>
        <w:tc>
          <w:tcPr>
            <w:tcW w:type="dxa" w:w="1197"/>
          </w:tcPr>
          <w:p>
            <w:pPr>
              <w:spacing w:after="60" w:before="40"/>
            </w:pPr>
            <w:r>
              <w:rPr>
                <w:sz w:val="17"/>
              </w:rPr>
              <w:t>M</w:t>
            </w:r>
          </w:p>
        </w:tc>
        <w:tc>
          <w:tcPr>
            <w:tcW w:type="dxa" w:w="3292"/>
          </w:tcPr>
          <w:p>
            <w:pPr>
              <w:spacing w:after="60" w:before="40"/>
            </w:pPr>
            <w:r>
              <w:rPr>
                <w:sz w:val="17"/>
              </w:rPr>
              <w:t>Remove universal targets</w:t>
            </w:r>
          </w:p>
        </w:tc>
        <w:tc>
          <w:tcPr>
            <w:tcW w:type="dxa" w:w="2095"/>
          </w:tcPr>
          <w:p>
            <w:pPr>
              <w:spacing w:after="60" w:before="40"/>
            </w:pPr>
            <w:r>
              <w:rPr>
                <w:sz w:val="17"/>
              </w:rPr>
              <w:t>Fiber type, measurement and tolerance matter</w:t>
            </w:r>
          </w:p>
        </w:tc>
        <w:tc>
          <w:tcPr>
            <w:tcW w:type="dxa" w:w="2693"/>
          </w:tcPr>
          <w:p>
            <w:pPr>
              <w:spacing w:after="60" w:before="40"/>
            </w:pPr>
            <w:hyperlink r:id="rId16">
              <w:r>
                <w:rPr>
                  <w:color w:val="165D67"/>
                  <w:u w:val="single"/>
                </w:rPr>
                <w:t>Merck nutrition</w:t>
              </w:r>
            </w:hyperlink>
          </w:p>
        </w:tc>
        <w:tc>
          <w:tcPr>
            <w:tcW w:type="dxa" w:w="2693"/>
          </w:tcPr>
          <w:p>
            <w:pPr>
              <w:spacing w:after="60" w:before="40"/>
            </w:pPr>
            <w:r>
              <w:rPr>
                <w:sz w:val="17"/>
              </w:rPr>
              <w:t>Store actual data, not assumed percentages</w:t>
            </w:r>
          </w:p>
        </w:tc>
      </w:tr>
      <w:tr>
        <w:tc>
          <w:tcPr>
            <w:tcW w:type="dxa" w:w="2992"/>
          </w:tcPr>
          <w:p>
            <w:pPr>
              <w:spacing w:after="60" w:before="40"/>
            </w:pPr>
            <w:r>
              <w:rPr>
                <w:sz w:val="17"/>
              </w:rPr>
              <w:t>Ten essential amino acids listed (P19)</w:t>
            </w:r>
          </w:p>
        </w:tc>
        <w:tc>
          <w:tcPr>
            <w:tcW w:type="dxa" w:w="1197"/>
          </w:tcPr>
          <w:p>
            <w:pPr>
              <w:spacing w:after="60" w:before="40"/>
            </w:pPr>
            <w:r>
              <w:rPr>
                <w:sz w:val="17"/>
              </w:rPr>
              <w:t>V/M</w:t>
            </w:r>
          </w:p>
        </w:tc>
        <w:tc>
          <w:tcPr>
            <w:tcW w:type="dxa" w:w="3292"/>
          </w:tcPr>
          <w:p>
            <w:pPr>
              <w:spacing w:after="60" w:before="40"/>
            </w:pPr>
            <w:r>
              <w:rPr>
                <w:sz w:val="17"/>
              </w:rPr>
              <w:t>Also enforce combined methionine+cystine and phenylalanine+tyrosine constraints</w:t>
            </w:r>
          </w:p>
        </w:tc>
        <w:tc>
          <w:tcPr>
            <w:tcW w:type="dxa" w:w="2095"/>
          </w:tcPr>
          <w:p>
            <w:pPr>
              <w:spacing w:after="60" w:before="40"/>
            </w:pPr>
            <w:r>
              <w:rPr>
                <w:sz w:val="17"/>
              </w:rPr>
              <w:t>Total protein cannot establish amino-acid adequacy</w:t>
            </w:r>
          </w:p>
        </w:tc>
        <w:tc>
          <w:tcPr>
            <w:tcW w:type="dxa" w:w="2693"/>
          </w:tcPr>
          <w:p>
            <w:pPr>
              <w:spacing w:after="60" w:before="40"/>
            </w:pPr>
            <w:hyperlink r:id="rId18">
              <w:r>
                <w:rPr>
                  <w:color w:val="165D67"/>
                  <w:u w:val="single"/>
                </w:rPr>
                <w:t>FEDIAF, table III-3 b</w:t>
              </w:r>
            </w:hyperlink>
          </w:p>
        </w:tc>
        <w:tc>
          <w:tcPr>
            <w:tcW w:type="dxa" w:w="2693"/>
          </w:tcPr>
          <w:p>
            <w:pPr>
              <w:spacing w:after="60" w:before="40"/>
            </w:pPr>
            <w:r>
              <w:rPr>
                <w:sz w:val="17"/>
              </w:rPr>
              <w:t>Separate nutrient checks</w:t>
            </w:r>
          </w:p>
        </w:tc>
      </w:tr>
      <w:tr>
        <w:tc>
          <w:tcPr>
            <w:tcW w:type="dxa" w:w="2992"/>
          </w:tcPr>
          <w:p>
            <w:pPr>
              <w:spacing w:after="60" w:before="40"/>
            </w:pPr>
            <w:r>
              <w:rPr>
                <w:sz w:val="17"/>
              </w:rPr>
              <w:t>Linoleic acid and EPA/DHA are the fatty-acid requirements (P20)</w:t>
            </w:r>
          </w:p>
        </w:tc>
        <w:tc>
          <w:tcPr>
            <w:tcW w:type="dxa" w:w="1197"/>
          </w:tcPr>
          <w:p>
            <w:pPr>
              <w:spacing w:after="60" w:before="40"/>
            </w:pPr>
            <w:r>
              <w:rPr>
                <w:sz w:val="17"/>
              </w:rPr>
              <w:t>M</w:t>
            </w:r>
          </w:p>
        </w:tc>
        <w:tc>
          <w:tcPr>
            <w:tcW w:type="dxa" w:w="3292"/>
          </w:tcPr>
          <w:p>
            <w:pPr>
              <w:spacing w:after="60" w:before="40"/>
            </w:pPr>
            <w:r>
              <w:rPr>
                <w:sz w:val="17"/>
              </w:rPr>
              <w:t>Include life-stage-specific ALA, arachidonic acid and combined EPA+DHA</w:t>
            </w:r>
          </w:p>
        </w:tc>
        <w:tc>
          <w:tcPr>
            <w:tcW w:type="dxa" w:w="2095"/>
          </w:tcPr>
          <w:p>
            <w:pPr>
              <w:spacing w:after="60" w:before="40"/>
            </w:pPr>
            <w:r>
              <w:rPr>
                <w:sz w:val="17"/>
              </w:rPr>
              <w:t>Adult and growth requirements differ</w:t>
            </w:r>
          </w:p>
        </w:tc>
        <w:tc>
          <w:tcPr>
            <w:tcW w:type="dxa" w:w="2693"/>
          </w:tcPr>
          <w:p>
            <w:pPr>
              <w:spacing w:after="60" w:before="40"/>
            </w:pPr>
            <w:hyperlink r:id="rId18">
              <w:r>
                <w:rPr>
                  <w:color w:val="165D67"/>
                  <w:u w:val="single"/>
                </w:rPr>
                <w:t>FEDIAF, table III-3 b</w:t>
              </w:r>
            </w:hyperlink>
          </w:p>
        </w:tc>
        <w:tc>
          <w:tcPr>
            <w:tcW w:type="dxa" w:w="2693"/>
          </w:tcPr>
          <w:p>
            <w:pPr>
              <w:spacing w:after="60" w:before="40"/>
            </w:pPr>
            <w:r>
              <w:rPr>
                <w:sz w:val="17"/>
              </w:rPr>
              <w:t>No blanket omega-3 dose</w:t>
            </w:r>
          </w:p>
        </w:tc>
      </w:tr>
      <w:tr>
        <w:tc>
          <w:tcPr>
            <w:tcW w:type="dxa" w:w="2992"/>
          </w:tcPr>
          <w:p>
            <w:pPr>
              <w:spacing w:after="60" w:before="40"/>
            </w:pPr>
            <w:r>
              <w:rPr>
                <w:sz w:val="17"/>
              </w:rPr>
              <w:t>Calcium:phosphorus 1:1–2:1 for every dog (P21)</w:t>
            </w:r>
          </w:p>
        </w:tc>
        <w:tc>
          <w:tcPr>
            <w:tcW w:type="dxa" w:w="1197"/>
          </w:tcPr>
          <w:p>
            <w:pPr>
              <w:spacing w:after="60" w:before="40"/>
            </w:pPr>
            <w:r>
              <w:rPr>
                <w:sz w:val="17"/>
              </w:rPr>
              <w:t>Q</w:t>
            </w:r>
          </w:p>
        </w:tc>
        <w:tc>
          <w:tcPr>
            <w:tcW w:type="dxa" w:w="3292"/>
          </w:tcPr>
          <w:p>
            <w:pPr>
              <w:spacing w:after="60" w:before="40"/>
            </w:pPr>
            <w:r>
              <w:rPr>
                <w:sz w:val="17"/>
              </w:rPr>
              <w:t>Growth has tighter stage/size-dependent limits</w:t>
            </w:r>
          </w:p>
        </w:tc>
        <w:tc>
          <w:tcPr>
            <w:tcW w:type="dxa" w:w="2095"/>
          </w:tcPr>
          <w:p>
            <w:pPr>
              <w:spacing w:after="60" w:before="40"/>
            </w:pPr>
            <w:r>
              <w:rPr>
                <w:sz w:val="17"/>
              </w:rPr>
              <w:t>Adult ratio limits cannot be applied to all puppies</w:t>
            </w:r>
          </w:p>
        </w:tc>
        <w:tc>
          <w:tcPr>
            <w:tcW w:type="dxa" w:w="2693"/>
          </w:tcPr>
          <w:p>
            <w:pPr>
              <w:spacing w:after="60" w:before="40"/>
            </w:pPr>
            <w:hyperlink r:id="rId18">
              <w:r>
                <w:rPr>
                  <w:color w:val="165D67"/>
                  <w:u w:val="single"/>
                </w:rPr>
                <w:t>FEDIAF, pp. 16, 21</w:t>
              </w:r>
            </w:hyperlink>
          </w:p>
        </w:tc>
        <w:tc>
          <w:tcPr>
            <w:tcW w:type="dxa" w:w="2693"/>
          </w:tcPr>
          <w:p>
            <w:pPr>
              <w:spacing w:after="60" w:before="40"/>
            </w:pPr>
            <w:r>
              <w:rPr>
                <w:sz w:val="17"/>
              </w:rPr>
              <w:t>Ratio plus absolute nutrient checks</w:t>
            </w:r>
          </w:p>
        </w:tc>
      </w:tr>
      <w:tr>
        <w:tc>
          <w:tcPr>
            <w:tcW w:type="dxa" w:w="2992"/>
          </w:tcPr>
          <w:p>
            <w:pPr>
              <w:spacing w:after="60" w:before="40"/>
            </w:pPr>
            <w:r>
              <w:rPr>
                <w:sz w:val="17"/>
              </w:rPr>
              <w:t>All listed vitamins require a fixed target (P22)</w:t>
            </w:r>
          </w:p>
        </w:tc>
        <w:tc>
          <w:tcPr>
            <w:tcW w:type="dxa" w:w="1197"/>
          </w:tcPr>
          <w:p>
            <w:pPr>
              <w:spacing w:after="60" w:before="40"/>
            </w:pPr>
            <w:r>
              <w:rPr>
                <w:sz w:val="17"/>
              </w:rPr>
              <w:t>M</w:t>
            </w:r>
          </w:p>
        </w:tc>
        <w:tc>
          <w:tcPr>
            <w:tcW w:type="dxa" w:w="3292"/>
          </w:tcPr>
          <w:p>
            <w:pPr>
              <w:spacing w:after="60" w:before="40"/>
            </w:pPr>
            <w:r>
              <w:rPr>
                <w:sz w:val="17"/>
              </w:rPr>
              <w:t>Include full profile; some nutrients have no established numerical minimum</w:t>
            </w:r>
          </w:p>
        </w:tc>
        <w:tc>
          <w:tcPr>
            <w:tcW w:type="dxa" w:w="2095"/>
          </w:tcPr>
          <w:p>
            <w:pPr>
              <w:spacing w:after="60" w:before="40"/>
            </w:pPr>
            <w:r>
              <w:rPr>
                <w:sz w:val="17"/>
              </w:rPr>
              <w:t>A dash is not zero and not a supplement instruction</w:t>
            </w:r>
          </w:p>
        </w:tc>
        <w:tc>
          <w:tcPr>
            <w:tcW w:type="dxa" w:w="2693"/>
          </w:tcPr>
          <w:p>
            <w:pPr>
              <w:spacing w:after="60" w:before="40"/>
            </w:pPr>
            <w:hyperlink r:id="rId18">
              <w:r>
                <w:rPr>
                  <w:color w:val="165D67"/>
                  <w:u w:val="single"/>
                </w:rPr>
                <w:t>FEDIAF, table III-3 b</w:t>
              </w:r>
            </w:hyperlink>
          </w:p>
        </w:tc>
        <w:tc>
          <w:tcPr>
            <w:tcW w:type="dxa" w:w="2693"/>
          </w:tcPr>
          <w:p>
            <w:pPr>
              <w:spacing w:after="60" w:before="40"/>
            </w:pPr>
            <w:r>
              <w:rPr>
                <w:sz w:val="17"/>
              </w:rPr>
              <w:t>Distinguish not-established from missing</w:t>
            </w:r>
          </w:p>
        </w:tc>
      </w:tr>
      <w:tr>
        <w:tc>
          <w:tcPr>
            <w:tcW w:type="dxa" w:w="2992"/>
          </w:tcPr>
          <w:p>
            <w:pPr>
              <w:spacing w:after="60" w:before="40"/>
            </w:pPr>
            <w:r>
              <w:rPr>
                <w:sz w:val="17"/>
              </w:rPr>
              <w:t>Water 50–60 mL/kg/day (P23)</w:t>
            </w:r>
          </w:p>
        </w:tc>
        <w:tc>
          <w:tcPr>
            <w:tcW w:type="dxa" w:w="1197"/>
          </w:tcPr>
          <w:p>
            <w:pPr>
              <w:spacing w:after="60" w:before="40"/>
            </w:pPr>
            <w:r>
              <w:rPr>
                <w:sz w:val="17"/>
              </w:rPr>
              <w:t>Q</w:t>
            </w:r>
          </w:p>
        </w:tc>
        <w:tc>
          <w:tcPr>
            <w:tcW w:type="dxa" w:w="3292"/>
          </w:tcPr>
          <w:p>
            <w:pPr>
              <w:spacing w:after="60" w:before="40"/>
            </w:pPr>
            <w:r>
              <w:rPr>
                <w:sz w:val="17"/>
              </w:rPr>
              <w:t>Rough observation estimate, not a restriction; include food moisture</w:t>
            </w:r>
          </w:p>
        </w:tc>
        <w:tc>
          <w:tcPr>
            <w:tcW w:type="dxa" w:w="2095"/>
          </w:tcPr>
          <w:p>
            <w:pPr>
              <w:spacing w:after="60" w:before="40"/>
            </w:pPr>
            <w:r>
              <w:rPr>
                <w:sz w:val="17"/>
              </w:rPr>
              <w:t>Heat, losses and disease change needs</w:t>
            </w:r>
          </w:p>
        </w:tc>
        <w:tc>
          <w:tcPr>
            <w:tcW w:type="dxa" w:w="2693"/>
          </w:tcPr>
          <w:p>
            <w:pPr>
              <w:spacing w:after="60" w:before="40"/>
            </w:pPr>
            <w:hyperlink r:id="rId16">
              <w:r>
                <w:rPr>
                  <w:color w:val="165D67"/>
                  <w:u w:val="single"/>
                </w:rPr>
                <w:t>Merck nutrition</w:t>
              </w:r>
            </w:hyperlink>
          </w:p>
        </w:tc>
        <w:tc>
          <w:tcPr>
            <w:tcW w:type="dxa" w:w="2693"/>
          </w:tcPr>
          <w:p>
            <w:pPr>
              <w:spacing w:after="60" w:before="40"/>
            </w:pPr>
            <w:r>
              <w:rPr>
                <w:sz w:val="17"/>
              </w:rPr>
              <w:t>Fresh water access; changes trigger review</w:t>
            </w:r>
          </w:p>
        </w:tc>
      </w:tr>
      <w:tr>
        <w:tc>
          <w:tcPr>
            <w:tcW w:type="dxa" w:w="2992"/>
          </w:tcPr>
          <w:p>
            <w:pPr>
              <w:spacing w:after="60" w:before="40"/>
            </w:pPr>
            <w:r>
              <w:rPr>
                <w:sz w:val="17"/>
              </w:rPr>
              <w:t>10 kg example 394 RER and 630 daily kcal (P25–26)</w:t>
            </w:r>
          </w:p>
        </w:tc>
        <w:tc>
          <w:tcPr>
            <w:tcW w:type="dxa" w:w="1197"/>
          </w:tcPr>
          <w:p>
            <w:pPr>
              <w:spacing w:after="60" w:before="40"/>
            </w:pPr>
            <w:r>
              <w:rPr>
                <w:sz w:val="17"/>
              </w:rPr>
              <w:t>V</w:t>
            </w:r>
          </w:p>
        </w:tc>
        <w:tc>
          <w:tcPr>
            <w:tcW w:type="dxa" w:w="3292"/>
          </w:tcPr>
          <w:p>
            <w:pPr>
              <w:spacing w:after="60" w:before="40"/>
            </w:pPr>
            <w:r>
              <w:rPr>
                <w:sz w:val="17"/>
              </w:rPr>
              <w:t>Exact values 393.6389 and 629.8223</w:t>
            </w:r>
          </w:p>
        </w:tc>
        <w:tc>
          <w:tcPr>
            <w:tcW w:type="dxa" w:w="2095"/>
          </w:tcPr>
          <w:p>
            <w:pPr>
              <w:spacing w:after="60" w:before="40"/>
            </w:pPr>
            <w:r>
              <w:rPr>
                <w:sz w:val="17"/>
              </w:rPr>
              <w:t>Rounding is acceptable for explanation</w:t>
            </w:r>
          </w:p>
        </w:tc>
        <w:tc>
          <w:tcPr>
            <w:tcW w:type="dxa" w:w="2693"/>
          </w:tcPr>
          <w:p>
            <w:pPr>
              <w:spacing w:after="60" w:before="40"/>
            </w:pPr>
            <w:r>
              <w:rPr>
                <w:sz w:val="17"/>
              </w:rPr>
              <w:t>Independent arithmetic</w:t>
            </w:r>
          </w:p>
        </w:tc>
        <w:tc>
          <w:tcPr>
            <w:tcW w:type="dxa" w:w="2693"/>
          </w:tcPr>
          <w:p>
            <w:pPr>
              <w:spacing w:after="60" w:before="40"/>
            </w:pPr>
            <w:r>
              <w:rPr>
                <w:sz w:val="17"/>
              </w:rPr>
              <w:t>Do not round intermediate calculations</w:t>
            </w:r>
          </w:p>
        </w:tc>
      </w:tr>
      <w:tr>
        <w:tc>
          <w:tcPr>
            <w:tcW w:type="dxa" w:w="2992"/>
          </w:tcPr>
          <w:p>
            <w:pPr>
              <w:spacing w:after="60" w:before="40"/>
            </w:pPr>
            <w:r>
              <w:rPr>
                <w:sz w:val="17"/>
              </w:rPr>
              <w:t>Minimum protein 28 g, fat 9 g; most diets 40–60/15–25 g (P27–28)</w:t>
            </w:r>
          </w:p>
        </w:tc>
        <w:tc>
          <w:tcPr>
            <w:tcW w:type="dxa" w:w="1197"/>
          </w:tcPr>
          <w:p>
            <w:pPr>
              <w:spacing w:after="60" w:before="40"/>
            </w:pPr>
            <w:r>
              <w:rPr>
                <w:sz w:val="17"/>
              </w:rPr>
              <w:t>Q/M</w:t>
            </w:r>
          </w:p>
        </w:tc>
        <w:tc>
          <w:tcPr>
            <w:tcW w:type="dxa" w:w="3292"/>
          </w:tcPr>
          <w:p>
            <w:pPr>
              <w:spacing w:after="60" w:before="40"/>
            </w:pPr>
            <w:r>
              <w:rPr>
                <w:sz w:val="17"/>
              </w:rPr>
              <w:t>Profile-scaled floors are about 28.34/8.66 g at 45/13.75; remove unspecified “most diets” targets</w:t>
            </w:r>
          </w:p>
        </w:tc>
        <w:tc>
          <w:tcPr>
            <w:tcW w:type="dxa" w:w="2095"/>
          </w:tcPr>
          <w:p>
            <w:pPr>
              <w:spacing w:after="60" w:before="40"/>
            </w:pPr>
            <w:r>
              <w:rPr>
                <w:sz w:val="17"/>
              </w:rPr>
              <w:t>Intake depends on exact product and reference</w:t>
            </w:r>
          </w:p>
        </w:tc>
        <w:tc>
          <w:tcPr>
            <w:tcW w:type="dxa" w:w="2693"/>
          </w:tcPr>
          <w:p>
            <w:pPr>
              <w:spacing w:after="60" w:before="40"/>
            </w:pPr>
            <w:r>
              <w:rPr>
                <w:sz w:val="17"/>
              </w:rPr>
              <w:t>Section 8; guide values</w:t>
            </w:r>
          </w:p>
        </w:tc>
        <w:tc>
          <w:tcPr>
            <w:tcW w:type="dxa" w:w="2693"/>
          </w:tcPr>
          <w:p>
            <w:pPr>
              <w:spacing w:after="60" w:before="40"/>
            </w:pPr>
            <w:r>
              <w:rPr>
                <w:sz w:val="17"/>
              </w:rPr>
              <w:t>No universal grams of macro targets</w:t>
            </w:r>
          </w:p>
        </w:tc>
      </w:tr>
      <w:tr>
        <w:tc>
          <w:tcPr>
            <w:tcW w:type="dxa" w:w="2992"/>
          </w:tcPr>
          <w:p>
            <w:pPr>
              <w:spacing w:after="60" w:before="40"/>
            </w:pPr>
            <w:r>
              <w:rPr>
                <w:sz w:val="17"/>
              </w:rPr>
              <w:t>170 g dry/700 g wet at stated densities (P29–31)</w:t>
            </w:r>
          </w:p>
        </w:tc>
        <w:tc>
          <w:tcPr>
            <w:tcW w:type="dxa" w:w="1197"/>
          </w:tcPr>
          <w:p>
            <w:pPr>
              <w:spacing w:after="60" w:before="40"/>
            </w:pPr>
            <w:r>
              <w:rPr>
                <w:sz w:val="17"/>
              </w:rPr>
              <w:t>V</w:t>
            </w:r>
          </w:p>
        </w:tc>
        <w:tc>
          <w:tcPr>
            <w:tcW w:type="dxa" w:w="3292"/>
          </w:tcPr>
          <w:p>
            <w:pPr>
              <w:spacing w:after="60" w:before="40"/>
            </w:pPr>
            <w:r>
              <w:rPr>
                <w:sz w:val="17"/>
              </w:rPr>
              <w:t>Approximately 170.22/699.80 g without extras</w:t>
            </w:r>
          </w:p>
        </w:tc>
        <w:tc>
          <w:tcPr>
            <w:tcW w:type="dxa" w:w="2095"/>
          </w:tcPr>
          <w:p>
            <w:pPr>
              <w:spacing w:after="60" w:before="40"/>
            </w:pPr>
            <w:r>
              <w:rPr>
                <w:sz w:val="17"/>
              </w:rPr>
              <w:t>Exact label energy is needed</w:t>
            </w:r>
          </w:p>
        </w:tc>
        <w:tc>
          <w:tcPr>
            <w:tcW w:type="dxa" w:w="2693"/>
          </w:tcPr>
          <w:p>
            <w:pPr>
              <w:spacing w:after="60" w:before="40"/>
            </w:pPr>
            <w:r>
              <w:rPr>
                <w:sz w:val="17"/>
              </w:rPr>
              <w:t>Independent arithmetic</w:t>
            </w:r>
          </w:p>
        </w:tc>
        <w:tc>
          <w:tcPr>
            <w:tcW w:type="dxa" w:w="2693"/>
          </w:tcPr>
          <w:p>
            <w:pPr>
              <w:spacing w:after="60" w:before="40"/>
            </w:pPr>
            <w:r>
              <w:rPr>
                <w:sz w:val="17"/>
              </w:rPr>
              <w:t>Food-specific grams</w:t>
            </w:r>
          </w:p>
        </w:tc>
      </w:tr>
      <w:tr>
        <w:tc>
          <w:tcPr>
            <w:tcW w:type="dxa" w:w="2992"/>
          </w:tcPr>
          <w:p>
            <w:pPr>
              <w:spacing w:after="60" w:before="40"/>
            </w:pPr>
            <w:r>
              <w:rPr>
                <w:sz w:val="17"/>
              </w:rPr>
              <w:t>Nursing and weaning combined as 0–2 months (T33)</w:t>
            </w:r>
          </w:p>
        </w:tc>
        <w:tc>
          <w:tcPr>
            <w:tcW w:type="dxa" w:w="1197"/>
          </w:tcPr>
          <w:p>
            <w:pPr>
              <w:spacing w:after="60" w:before="40"/>
            </w:pPr>
            <w:r>
              <w:rPr>
                <w:sz w:val="17"/>
              </w:rPr>
              <w:t>M/S</w:t>
            </w:r>
          </w:p>
        </w:tc>
        <w:tc>
          <w:tcPr>
            <w:tcW w:type="dxa" w:w="3292"/>
          </w:tcPr>
          <w:p>
            <w:pPr>
              <w:spacing w:after="60" w:before="40"/>
            </w:pPr>
            <w:r>
              <w:rPr>
                <w:sz w:val="17"/>
              </w:rPr>
              <w:t>Distinguish neonatal dependency, weaning transition and fully weaned growth</w:t>
            </w:r>
          </w:p>
        </w:tc>
        <w:tc>
          <w:tcPr>
            <w:tcW w:type="dxa" w:w="2095"/>
          </w:tcPr>
          <w:p>
            <w:pPr>
              <w:spacing w:after="60" w:before="40"/>
            </w:pPr>
            <w:r>
              <w:rPr>
                <w:sz w:val="17"/>
              </w:rPr>
              <w:t>Care and feeding methods differ</w:t>
            </w:r>
          </w:p>
        </w:tc>
        <w:tc>
          <w:tcPr>
            <w:tcW w:type="dxa" w:w="2693"/>
          </w:tcPr>
          <w:p>
            <w:pPr>
              <w:spacing w:after="60" w:before="40"/>
            </w:pPr>
            <w:hyperlink r:id="rId19">
              <w:r>
                <w:rPr>
                  <w:color w:val="165D67"/>
                  <w:u w:val="single"/>
                </w:rPr>
                <w:t>Cornell weaning</w:t>
              </w:r>
            </w:hyperlink>
          </w:p>
        </w:tc>
        <w:tc>
          <w:tcPr>
            <w:tcW w:type="dxa" w:w="2693"/>
          </w:tcPr>
          <w:p>
            <w:pPr>
              <w:spacing w:after="60" w:before="40"/>
            </w:pPr>
            <w:r>
              <w:rPr>
                <w:sz w:val="17"/>
              </w:rPr>
              <w:t>No orphan-feeding automation</w:t>
            </w:r>
          </w:p>
        </w:tc>
      </w:tr>
      <w:tr>
        <w:tc>
          <w:tcPr>
            <w:tcW w:type="dxa" w:w="2992"/>
          </w:tcPr>
          <w:p>
            <w:pPr>
              <w:spacing w:after="60" w:before="40"/>
            </w:pPr>
            <w:r>
              <w:rPr>
                <w:sz w:val="17"/>
              </w:rPr>
              <w:t>Age table protein/fat bands are targets (T33)</w:t>
            </w:r>
          </w:p>
        </w:tc>
        <w:tc>
          <w:tcPr>
            <w:tcW w:type="dxa" w:w="1197"/>
          </w:tcPr>
          <w:p>
            <w:pPr>
              <w:spacing w:after="60" w:before="40"/>
            </w:pPr>
            <w:r>
              <w:rPr>
                <w:sz w:val="17"/>
              </w:rPr>
              <w:t>I</w:t>
            </w:r>
          </w:p>
        </w:tc>
        <w:tc>
          <w:tcPr>
            <w:tcW w:type="dxa" w:w="3292"/>
          </w:tcPr>
          <w:p>
            <w:pPr>
              <w:spacing w:after="60" w:before="40"/>
            </w:pPr>
            <w:r>
              <w:rPr>
                <w:sz w:val="17"/>
              </w:rPr>
              <w:t>Replace unsourced bands with one named profile and actual food values</w:t>
            </w:r>
          </w:p>
        </w:tc>
        <w:tc>
          <w:tcPr>
            <w:tcW w:type="dxa" w:w="2095"/>
          </w:tcPr>
          <w:p>
            <w:pPr>
              <w:spacing w:after="60" w:before="40"/>
            </w:pPr>
            <w:r>
              <w:rPr>
                <w:sz w:val="17"/>
              </w:rPr>
              <w:t>For example 22% protein/8% fat is below the guide's own AAFCO growth floors</w:t>
            </w:r>
          </w:p>
        </w:tc>
        <w:tc>
          <w:tcPr>
            <w:tcW w:type="dxa" w:w="2693"/>
          </w:tcPr>
          <w:p>
            <w:pPr>
              <w:spacing w:after="60" w:before="40"/>
            </w:pPr>
            <w:r>
              <w:rPr>
                <w:sz w:val="17"/>
              </w:rPr>
              <w:t>Section 8</w:t>
            </w:r>
          </w:p>
        </w:tc>
        <w:tc>
          <w:tcPr>
            <w:tcW w:type="dxa" w:w="2693"/>
          </w:tcPr>
          <w:p>
            <w:pPr>
              <w:spacing w:after="60" w:before="40"/>
            </w:pPr>
            <w:r>
              <w:rPr>
                <w:sz w:val="17"/>
              </w:rPr>
              <w:t>Validate consistent standards</w:t>
            </w:r>
          </w:p>
        </w:tc>
      </w:tr>
      <w:tr>
        <w:tc>
          <w:tcPr>
            <w:tcW w:type="dxa" w:w="2992"/>
          </w:tcPr>
          <w:p>
            <w:pPr>
              <w:spacing w:after="60" w:before="40"/>
            </w:pPr>
            <w:r>
              <w:rPr>
                <w:sz w:val="17"/>
              </w:rPr>
              <w:t>All dogs adult at 1 year, adult 2–6, senior 7+, very old 12+ (T33)</w:t>
            </w:r>
          </w:p>
        </w:tc>
        <w:tc>
          <w:tcPr>
            <w:tcW w:type="dxa" w:w="1197"/>
          </w:tcPr>
          <w:p>
            <w:pPr>
              <w:spacing w:after="60" w:before="40"/>
            </w:pPr>
            <w:r>
              <w:rPr>
                <w:sz w:val="17"/>
              </w:rPr>
              <w:t>I</w:t>
            </w:r>
          </w:p>
        </w:tc>
        <w:tc>
          <w:tcPr>
            <w:tcW w:type="dxa" w:w="3292"/>
          </w:tcPr>
          <w:p>
            <w:pPr>
              <w:spacing w:after="60" w:before="40"/>
            </w:pPr>
            <w:r>
              <w:rPr>
                <w:sz w:val="17"/>
              </w:rPr>
              <w:t>Adult status depends on completed growth; senior status uses size/lifespan/clinical context</w:t>
            </w:r>
          </w:p>
        </w:tc>
        <w:tc>
          <w:tcPr>
            <w:tcW w:type="dxa" w:w="2095"/>
          </w:tcPr>
          <w:p>
            <w:pPr>
              <w:spacing w:after="60" w:before="40"/>
            </w:pPr>
            <w:r>
              <w:rPr>
                <w:sz w:val="17"/>
              </w:rPr>
              <w:t>Calendar age is not a nutrient profile</w:t>
            </w:r>
          </w:p>
        </w:tc>
        <w:tc>
          <w:tcPr>
            <w:tcW w:type="dxa" w:w="2693"/>
          </w:tcPr>
          <w:p>
            <w:pPr>
              <w:spacing w:after="60" w:before="40"/>
            </w:pPr>
            <w:hyperlink r:id="rId15">
              <w:r>
                <w:rPr>
                  <w:color w:val="165D67"/>
                  <w:u w:val="single"/>
                </w:rPr>
                <w:t>AAHA senior</w:t>
              </w:r>
            </w:hyperlink>
          </w:p>
        </w:tc>
        <w:tc>
          <w:tcPr>
            <w:tcW w:type="dxa" w:w="2693"/>
          </w:tcPr>
          <w:p>
            <w:pPr>
              <w:spacing w:after="60" w:before="40"/>
            </w:pPr>
            <w:r>
              <w:rPr>
                <w:sz w:val="17"/>
              </w:rPr>
              <w:t>No fixed-age diet switch</w:t>
            </w:r>
          </w:p>
        </w:tc>
      </w:tr>
      <w:tr>
        <w:tc>
          <w:tcPr>
            <w:tcW w:type="dxa" w:w="2992"/>
          </w:tcPr>
          <w:p>
            <w:pPr>
              <w:spacing w:after="60" w:before="40"/>
            </w:pPr>
            <w:r>
              <w:rPr>
                <w:sz w:val="17"/>
              </w:rPr>
              <w:t>Seniors get 1.2–1.4 and very old 1.4–1.6 (T33, P40)</w:t>
            </w:r>
          </w:p>
        </w:tc>
        <w:tc>
          <w:tcPr>
            <w:tcW w:type="dxa" w:w="1197"/>
          </w:tcPr>
          <w:p>
            <w:pPr>
              <w:spacing w:after="60" w:before="40"/>
            </w:pPr>
            <w:r>
              <w:rPr>
                <w:sz w:val="17"/>
              </w:rPr>
              <w:t>I</w:t>
            </w:r>
          </w:p>
        </w:tc>
        <w:tc>
          <w:tcPr>
            <w:tcW w:type="dxa" w:w="3292"/>
          </w:tcPr>
          <w:p>
            <w:pPr>
              <w:spacing w:after="60" w:before="40"/>
            </w:pPr>
            <w:r>
              <w:rPr>
                <w:sz w:val="17"/>
              </w:rPr>
              <w:t>Select method from actual intake, BCS/MCS and activity</w:t>
            </w:r>
          </w:p>
        </w:tc>
        <w:tc>
          <w:tcPr>
            <w:tcW w:type="dxa" w:w="2095"/>
          </w:tcPr>
          <w:p>
            <w:pPr>
              <w:spacing w:after="60" w:before="40"/>
            </w:pPr>
            <w:r>
              <w:rPr>
                <w:sz w:val="17"/>
              </w:rPr>
              <w:t>Unexplained weight loss needs assessment</w:t>
            </w:r>
          </w:p>
        </w:tc>
        <w:tc>
          <w:tcPr>
            <w:tcW w:type="dxa" w:w="2693"/>
          </w:tcPr>
          <w:p>
            <w:pPr>
              <w:spacing w:after="60" w:before="40"/>
            </w:pPr>
            <w:hyperlink r:id="rId15">
              <w:r>
                <w:rPr>
                  <w:color w:val="165D67"/>
                  <w:u w:val="single"/>
                </w:rPr>
                <w:t>AAHA senior</w:t>
              </w:r>
            </w:hyperlink>
          </w:p>
        </w:tc>
        <w:tc>
          <w:tcPr>
            <w:tcW w:type="dxa" w:w="2693"/>
          </w:tcPr>
          <w:p>
            <w:pPr>
              <w:spacing w:after="60" w:before="40"/>
            </w:pPr>
            <w:r>
              <w:rPr>
                <w:sz w:val="17"/>
              </w:rPr>
              <w:t>Retain adult nutrient framework unless clinically changed</w:t>
            </w:r>
          </w:p>
        </w:tc>
      </w:tr>
      <w:tr>
        <w:tc>
          <w:tcPr>
            <w:tcW w:type="dxa" w:w="2992"/>
          </w:tcPr>
          <w:p>
            <w:pPr>
              <w:spacing w:after="60" w:before="40"/>
            </w:pPr>
            <w:r>
              <w:rPr>
                <w:sz w:val="17"/>
              </w:rPr>
              <w:t>Never cow's milk; fixed food-switch ages; protein preserved (P35)</w:t>
            </w:r>
          </w:p>
        </w:tc>
        <w:tc>
          <w:tcPr>
            <w:tcW w:type="dxa" w:w="1197"/>
          </w:tcPr>
          <w:p>
            <w:pPr>
              <w:spacing w:after="60" w:before="40"/>
            </w:pPr>
            <w:r>
              <w:rPr>
                <w:sz w:val="17"/>
              </w:rPr>
              <w:t>Q</w:t>
            </w:r>
          </w:p>
        </w:tc>
        <w:tc>
          <w:tcPr>
            <w:tcW w:type="dxa" w:w="3292"/>
          </w:tcPr>
          <w:p>
            <w:pPr>
              <w:spacing w:after="60" w:before="40"/>
            </w:pPr>
            <w:r>
              <w:rPr>
                <w:sz w:val="17"/>
              </w:rPr>
              <w:t>Canine milk replacer for dependent puppies; growth-food transition based on maturity; no blanket healthy-senior protein cut</w:t>
            </w:r>
          </w:p>
        </w:tc>
        <w:tc>
          <w:tcPr>
            <w:tcW w:type="dxa" w:w="2095"/>
          </w:tcPr>
          <w:p>
            <w:pPr>
              <w:spacing w:after="60" w:before="40"/>
            </w:pPr>
            <w:r>
              <w:rPr>
                <w:sz w:val="17"/>
              </w:rPr>
              <w:t>Different statements have different contexts</w:t>
            </w:r>
          </w:p>
        </w:tc>
        <w:tc>
          <w:tcPr>
            <w:tcW w:type="dxa" w:w="2693"/>
          </w:tcPr>
          <w:p>
            <w:pPr>
              <w:spacing w:after="60" w:before="40"/>
            </w:pPr>
            <w:hyperlink r:id="rId19">
              <w:r>
                <w:rPr>
                  <w:color w:val="165D67"/>
                  <w:u w:val="single"/>
                </w:rPr>
                <w:t>Cornell weaning</w:t>
              </w:r>
            </w:hyperlink>
            <w:r>
              <w:rPr>
                <w:sz w:val="17"/>
              </w:rPr>
              <w:t xml:space="preserve">, </w:t>
            </w:r>
            <w:hyperlink r:id="rId20">
              <w:r>
                <w:rPr>
                  <w:color w:val="165D67"/>
                  <w:u w:val="single"/>
                </w:rPr>
                <w:t>AAHA age-specific diets</w:t>
              </w:r>
            </w:hyperlink>
          </w:p>
        </w:tc>
        <w:tc>
          <w:tcPr>
            <w:tcW w:type="dxa" w:w="2693"/>
          </w:tcPr>
          <w:p>
            <w:pPr>
              <w:spacing w:after="60" w:before="40"/>
            </w:pPr>
            <w:r>
              <w:rPr>
                <w:sz w:val="17"/>
              </w:rPr>
              <w:t>Separate education from executable age rules</w:t>
            </w:r>
          </w:p>
        </w:tc>
      </w:tr>
      <w:tr>
        <w:tc>
          <w:tcPr>
            <w:tcW w:type="dxa" w:w="2992"/>
          </w:tcPr>
          <w:p>
            <w:pPr>
              <w:spacing w:after="60" w:before="40"/>
            </w:pPr>
            <w:r>
              <w:rPr>
                <w:sz w:val="17"/>
              </w:rPr>
              <w:t>4 kg/8 kg puppy examples 590/670 kcal (P37–38)</w:t>
            </w:r>
          </w:p>
        </w:tc>
        <w:tc>
          <w:tcPr>
            <w:tcW w:type="dxa" w:w="1197"/>
          </w:tcPr>
          <w:p>
            <w:pPr>
              <w:spacing w:after="60" w:before="40"/>
            </w:pPr>
            <w:r>
              <w:rPr>
                <w:sz w:val="17"/>
              </w:rPr>
              <w:t>Q</w:t>
            </w:r>
          </w:p>
        </w:tc>
        <w:tc>
          <w:tcPr>
            <w:tcW w:type="dxa" w:w="3292"/>
          </w:tcPr>
          <w:p>
            <w:pPr>
              <w:spacing w:after="60" w:before="40"/>
            </w:pPr>
            <w:r>
              <w:rPr>
                <w:sz w:val="17"/>
              </w:rPr>
              <w:t>Exact AAHA examples 593.97/665.96; rounded approximations</w:t>
            </w:r>
          </w:p>
        </w:tc>
        <w:tc>
          <w:tcPr>
            <w:tcW w:type="dxa" w:w="2095"/>
          </w:tcPr>
          <w:p>
            <w:pPr>
              <w:spacing w:after="60" w:before="40"/>
            </w:pPr>
            <w:r>
              <w:rPr>
                <w:sz w:val="17"/>
              </w:rPr>
              <w:t>The nutritional profile still requires review</w:t>
            </w:r>
          </w:p>
        </w:tc>
        <w:tc>
          <w:tcPr>
            <w:tcW w:type="dxa" w:w="2693"/>
          </w:tcPr>
          <w:p>
            <w:pPr>
              <w:spacing w:after="60" w:before="40"/>
            </w:pPr>
            <w:r>
              <w:rPr>
                <w:sz w:val="17"/>
              </w:rPr>
              <w:t>Independent arithmetic</w:t>
            </w:r>
          </w:p>
        </w:tc>
        <w:tc>
          <w:tcPr>
            <w:tcW w:type="dxa" w:w="2693"/>
          </w:tcPr>
          <w:p>
            <w:pPr>
              <w:spacing w:after="60" w:before="40"/>
            </w:pPr>
            <w:r>
              <w:rPr>
                <w:sz w:val="17"/>
              </w:rPr>
              <w:t>Document rounding and formula choice</w:t>
            </w:r>
          </w:p>
        </w:tc>
      </w:tr>
      <w:tr>
        <w:tc>
          <w:tcPr>
            <w:tcW w:type="dxa" w:w="2992"/>
          </w:tcPr>
          <w:p>
            <w:pPr>
              <w:spacing w:after="60" w:before="40"/>
            </w:pPr>
            <w:r>
              <w:rPr>
                <w:sz w:val="17"/>
              </w:rPr>
              <w:t>Recalculate growth every 1–2 weeks (P41)</w:t>
            </w:r>
          </w:p>
        </w:tc>
        <w:tc>
          <w:tcPr>
            <w:tcW w:type="dxa" w:w="1197"/>
          </w:tcPr>
          <w:p>
            <w:pPr>
              <w:spacing w:after="60" w:before="40"/>
            </w:pPr>
            <w:r>
              <w:rPr>
                <w:sz w:val="17"/>
              </w:rPr>
              <w:t>Q</w:t>
            </w:r>
          </w:p>
        </w:tc>
        <w:tc>
          <w:tcPr>
            <w:tcW w:type="dxa" w:w="3292"/>
          </w:tcPr>
          <w:p>
            <w:pPr>
              <w:spacing w:after="60" w:before="40"/>
            </w:pPr>
            <w:r>
              <w:rPr>
                <w:sz w:val="17"/>
              </w:rPr>
              <w:t>Frequent weights and growth-curve review, individualized by veterinarian</w:t>
            </w:r>
          </w:p>
        </w:tc>
        <w:tc>
          <w:tcPr>
            <w:tcW w:type="dxa" w:w="2095"/>
          </w:tcPr>
          <w:p>
            <w:pPr>
              <w:spacing w:after="60" w:before="40"/>
            </w:pPr>
            <w:r>
              <w:rPr>
                <w:sz w:val="17"/>
              </w:rPr>
              <w:t>Growth can be rapid</w:t>
            </w:r>
          </w:p>
        </w:tc>
        <w:tc>
          <w:tcPr>
            <w:tcW w:type="dxa" w:w="2693"/>
          </w:tcPr>
          <w:p>
            <w:pPr>
              <w:spacing w:after="60" w:before="40"/>
            </w:pPr>
            <w:hyperlink r:id="rId18">
              <w:r>
                <w:rPr>
                  <w:color w:val="165D67"/>
                  <w:u w:val="single"/>
                </w:rPr>
                <w:t>FEDIAF growth</w:t>
              </w:r>
            </w:hyperlink>
          </w:p>
        </w:tc>
        <w:tc>
          <w:tcPr>
            <w:tcW w:type="dxa" w:w="2693"/>
          </w:tcPr>
          <w:p>
            <w:pPr>
              <w:spacing w:after="60" w:before="40"/>
            </w:pPr>
            <w:r>
              <w:rPr>
                <w:sz w:val="17"/>
              </w:rPr>
              <w:t>Weekly reminder proposed; no automatic increase</w:t>
            </w:r>
          </w:p>
        </w:tc>
      </w:tr>
      <w:tr>
        <w:tc>
          <w:tcPr>
            <w:tcW w:type="dxa" w:w="2992"/>
          </w:tcPr>
          <w:p>
            <w:pPr>
              <w:spacing w:after="60" w:before="40"/>
            </w:pPr>
            <w:r>
              <w:rPr>
                <w:sz w:val="17"/>
              </w:rPr>
              <w:t>Large/giant puppies calcium 0.8–1.2% (P45)</w:t>
            </w:r>
          </w:p>
        </w:tc>
        <w:tc>
          <w:tcPr>
            <w:tcW w:type="dxa" w:w="1197"/>
          </w:tcPr>
          <w:p>
            <w:pPr>
              <w:spacing w:after="60" w:before="40"/>
            </w:pPr>
            <w:r>
              <w:rPr>
                <w:sz w:val="17"/>
              </w:rPr>
              <w:t>I/S</w:t>
            </w:r>
          </w:p>
        </w:tc>
        <w:tc>
          <w:tcPr>
            <w:tcW w:type="dxa" w:w="3292"/>
          </w:tcPr>
          <w:p>
            <w:pPr>
              <w:spacing w:after="60" w:before="40"/>
            </w:pPr>
            <w:r>
              <w:rPr>
                <w:sz w:val="17"/>
              </w:rPr>
              <w:t>Use stage/size-specific energy-normalized values</w:t>
            </w:r>
          </w:p>
        </w:tc>
        <w:tc>
          <w:tcPr>
            <w:tcW w:type="dxa" w:w="2095"/>
          </w:tcPr>
          <w:p>
            <w:pPr>
              <w:spacing w:after="60" w:before="40"/>
            </w:pPr>
            <w:r>
              <w:rPr>
                <w:sz w:val="17"/>
              </w:rPr>
              <w:t>Can be inadequate for early or larger-dog growth</w:t>
            </w:r>
          </w:p>
        </w:tc>
        <w:tc>
          <w:tcPr>
            <w:tcW w:type="dxa" w:w="2693"/>
          </w:tcPr>
          <w:p>
            <w:pPr>
              <w:spacing w:after="60" w:before="40"/>
            </w:pPr>
            <w:hyperlink r:id="rId18">
              <w:r>
                <w:rPr>
                  <w:color w:val="165D67"/>
                  <w:u w:val="single"/>
                </w:rPr>
                <w:t>FEDIAF, pp. 16, 21</w:t>
              </w:r>
            </w:hyperlink>
          </w:p>
        </w:tc>
        <w:tc>
          <w:tcPr>
            <w:tcW w:type="dxa" w:w="2693"/>
          </w:tcPr>
          <w:p>
            <w:pPr>
              <w:spacing w:after="60" w:before="40"/>
            </w:pPr>
            <w:r>
              <w:rPr>
                <w:sz w:val="17"/>
              </w:rPr>
              <w:t>Block uncontrolled calcium additions</w:t>
            </w:r>
          </w:p>
        </w:tc>
      </w:tr>
      <w:tr>
        <w:tc>
          <w:tcPr>
            <w:tcW w:type="dxa" w:w="2992"/>
          </w:tcPr>
          <w:p>
            <w:pPr>
              <w:spacing w:after="60" w:before="40"/>
            </w:pPr>
            <w:r>
              <w:rPr>
                <w:sz w:val="17"/>
              </w:rPr>
              <w:t>Chihuahua/Shih Tzu example calories 220 at 2.5 kg and 430 at 6 kg (T48)</w:t>
            </w:r>
          </w:p>
        </w:tc>
        <w:tc>
          <w:tcPr>
            <w:tcW w:type="dxa" w:w="1197"/>
          </w:tcPr>
          <w:p>
            <w:pPr>
              <w:spacing w:after="60" w:before="40"/>
            </w:pPr>
            <w:r>
              <w:rPr>
                <w:sz w:val="17"/>
              </w:rPr>
              <w:t>Q</w:t>
            </w:r>
          </w:p>
        </w:tc>
        <w:tc>
          <w:tcPr>
            <w:tcW w:type="dxa" w:w="3292"/>
          </w:tcPr>
          <w:p>
            <w:pPr>
              <w:spacing w:after="60" w:before="40"/>
            </w:pPr>
            <w:r>
              <w:rPr>
                <w:sz w:val="17"/>
              </w:rPr>
              <w:t>At factor 1.6: 222.68 and 429.37 kcal</w:t>
            </w:r>
          </w:p>
        </w:tc>
        <w:tc>
          <w:tcPr>
            <w:tcW w:type="dxa" w:w="2095"/>
          </w:tcPr>
          <w:p>
            <w:pPr>
              <w:spacing w:after="60" w:before="40"/>
            </w:pPr>
            <w:r>
              <w:rPr>
                <w:sz w:val="17"/>
              </w:rPr>
              <w:t>Correct estimates, not breed prescriptions</w:t>
            </w:r>
          </w:p>
        </w:tc>
        <w:tc>
          <w:tcPr>
            <w:tcW w:type="dxa" w:w="2693"/>
          </w:tcPr>
          <w:p>
            <w:pPr>
              <w:spacing w:after="60" w:before="40"/>
            </w:pPr>
            <w:r>
              <w:rPr>
                <w:sz w:val="17"/>
              </w:rPr>
              <w:t>Independent arithmetic</w:t>
            </w:r>
          </w:p>
        </w:tc>
        <w:tc>
          <w:tcPr>
            <w:tcW w:type="dxa" w:w="2693"/>
          </w:tcPr>
          <w:p>
            <w:pPr>
              <w:spacing w:after="60" w:before="40"/>
            </w:pPr>
            <w:r>
              <w:rPr>
                <w:sz w:val="17"/>
              </w:rPr>
              <w:t>Do not infer ideal weight from breed</w:t>
            </w:r>
          </w:p>
        </w:tc>
      </w:tr>
      <w:tr>
        <w:tc>
          <w:tcPr>
            <w:tcW w:type="dxa" w:w="2992"/>
          </w:tcPr>
          <w:p>
            <w:pPr>
              <w:spacing w:after="60" w:before="40"/>
            </w:pPr>
            <w:r>
              <w:rPr>
                <w:sz w:val="17"/>
              </w:rPr>
              <w:t>Labrador/Beagle/Pug obesity; Dachshund keep slim (P51–52)</w:t>
            </w:r>
          </w:p>
        </w:tc>
        <w:tc>
          <w:tcPr>
            <w:tcW w:type="dxa" w:w="1197"/>
          </w:tcPr>
          <w:p>
            <w:pPr>
              <w:spacing w:after="60" w:before="40"/>
            </w:pPr>
            <w:r>
              <w:rPr>
                <w:sz w:val="17"/>
              </w:rPr>
              <w:t>Q</w:t>
            </w:r>
          </w:p>
        </w:tc>
        <w:tc>
          <w:tcPr>
            <w:tcW w:type="dxa" w:w="3292"/>
          </w:tcPr>
          <w:p>
            <w:pPr>
              <w:spacing w:after="60" w:before="40"/>
            </w:pPr>
            <w:r>
              <w:rPr>
                <w:sz w:val="17"/>
              </w:rPr>
              <w:t>Support body-condition monitoring for every dog</w:t>
            </w:r>
          </w:p>
        </w:tc>
        <w:tc>
          <w:tcPr>
            <w:tcW w:type="dxa" w:w="2095"/>
          </w:tcPr>
          <w:p>
            <w:pPr>
              <w:spacing w:after="60" w:before="40"/>
            </w:pPr>
            <w:r>
              <w:rPr>
                <w:sz w:val="17"/>
              </w:rPr>
              <w:t>Breed risk does not prove obesity or dictate a formula</w:t>
            </w:r>
          </w:p>
        </w:tc>
        <w:tc>
          <w:tcPr>
            <w:tcW w:type="dxa" w:w="2693"/>
          </w:tcPr>
          <w:p>
            <w:pPr>
              <w:spacing w:after="60" w:before="40"/>
            </w:pPr>
            <w:hyperlink r:id="rId17">
              <w:r>
                <w:rPr>
                  <w:color w:val="165D67"/>
                  <w:u w:val="single"/>
                </w:rPr>
                <w:t>AAHA obesity prevention</w:t>
              </w:r>
            </w:hyperlink>
          </w:p>
        </w:tc>
        <w:tc>
          <w:tcPr>
            <w:tcW w:type="dxa" w:w="2693"/>
          </w:tcPr>
          <w:p>
            <w:pPr>
              <w:spacing w:after="60" w:before="40"/>
            </w:pPr>
            <w:r>
              <w:rPr>
                <w:sz w:val="17"/>
              </w:rPr>
              <w:t>Risk education, not hidden penalties</w:t>
            </w:r>
          </w:p>
        </w:tc>
      </w:tr>
      <w:tr>
        <w:tc>
          <w:tcPr>
            <w:tcW w:type="dxa" w:w="2992"/>
          </w:tcPr>
          <w:p>
            <w:pPr>
              <w:spacing w:after="60" w:before="40"/>
            </w:pPr>
            <w:r>
              <w:rPr>
                <w:sz w:val="17"/>
              </w:rPr>
              <w:t>Dalmatian avoid all high-purine foods (P53)</w:t>
            </w:r>
          </w:p>
        </w:tc>
        <w:tc>
          <w:tcPr>
            <w:tcW w:type="dxa" w:w="1197"/>
          </w:tcPr>
          <w:p>
            <w:pPr>
              <w:spacing w:after="60" w:before="40"/>
            </w:pPr>
            <w:r>
              <w:rPr>
                <w:sz w:val="17"/>
              </w:rPr>
              <w:t>Q/S</w:t>
            </w:r>
          </w:p>
        </w:tc>
        <w:tc>
          <w:tcPr>
            <w:tcW w:type="dxa" w:w="3292"/>
          </w:tcPr>
          <w:p>
            <w:pPr>
              <w:spacing w:after="60" w:before="40"/>
            </w:pPr>
            <w:r>
              <w:rPr>
                <w:sz w:val="17"/>
              </w:rPr>
              <w:t>Hyperuricosuria/stone history calls for clinician assessment</w:t>
            </w:r>
          </w:p>
        </w:tc>
        <w:tc>
          <w:tcPr>
            <w:tcW w:type="dxa" w:w="2095"/>
          </w:tcPr>
          <w:p>
            <w:pPr>
              <w:spacing w:after="60" w:before="40"/>
            </w:pPr>
            <w:r>
              <w:rPr>
                <w:sz w:val="17"/>
              </w:rPr>
              <w:t>Risk and genotype vary</w:t>
            </w:r>
          </w:p>
        </w:tc>
        <w:tc>
          <w:tcPr>
            <w:tcW w:type="dxa" w:w="2693"/>
          </w:tcPr>
          <w:p>
            <w:pPr>
              <w:spacing w:after="60" w:before="40"/>
            </w:pPr>
            <w:r>
              <w:rPr>
                <w:sz w:val="17"/>
              </w:rPr>
              <w:t>Section 14 sources</w:t>
            </w:r>
          </w:p>
        </w:tc>
        <w:tc>
          <w:tcPr>
            <w:tcW w:type="dxa" w:w="2693"/>
          </w:tcPr>
          <w:p>
            <w:pPr>
              <w:spacing w:after="60" w:before="40"/>
            </w:pPr>
            <w:r>
              <w:rPr>
                <w:sz w:val="17"/>
              </w:rPr>
              <w:t>No automatic therapeutic purine restriction</w:t>
            </w:r>
          </w:p>
        </w:tc>
      </w:tr>
      <w:tr>
        <w:tc>
          <w:tcPr>
            <w:tcW w:type="dxa" w:w="2992"/>
          </w:tcPr>
          <w:p>
            <w:pPr>
              <w:spacing w:after="60" w:before="40"/>
            </w:pPr>
            <w:r>
              <w:rPr>
                <w:sz w:val="17"/>
              </w:rPr>
              <w:t>Bedlington/Westie low copper; Doberman/Golden taurine/carnitine (P54, P56)</w:t>
            </w:r>
          </w:p>
        </w:tc>
        <w:tc>
          <w:tcPr>
            <w:tcW w:type="dxa" w:w="1197"/>
          </w:tcPr>
          <w:p>
            <w:pPr>
              <w:spacing w:after="60" w:before="40"/>
            </w:pPr>
            <w:r>
              <w:rPr>
                <w:sz w:val="17"/>
              </w:rPr>
              <w:t>Q/S</w:t>
            </w:r>
          </w:p>
        </w:tc>
        <w:tc>
          <w:tcPr>
            <w:tcW w:type="dxa" w:w="3292"/>
          </w:tcPr>
          <w:p>
            <w:pPr>
              <w:spacing w:after="60" w:before="40"/>
            </w:pPr>
            <w:r>
              <w:rPr>
                <w:sz w:val="17"/>
              </w:rPr>
              <w:t>Breed risk triggers assessment, not supplements or restrictions</w:t>
            </w:r>
          </w:p>
        </w:tc>
        <w:tc>
          <w:tcPr>
            <w:tcW w:type="dxa" w:w="2095"/>
          </w:tcPr>
          <w:p>
            <w:pPr>
              <w:spacing w:after="60" w:before="40"/>
            </w:pPr>
            <w:r>
              <w:rPr>
                <w:sz w:val="17"/>
              </w:rPr>
              <w:t>Diagnosis and etiology matter</w:t>
            </w:r>
          </w:p>
        </w:tc>
        <w:tc>
          <w:tcPr>
            <w:tcW w:type="dxa" w:w="2693"/>
          </w:tcPr>
          <w:p>
            <w:pPr>
              <w:spacing w:after="60" w:before="40"/>
            </w:pPr>
            <w:hyperlink r:id="rId20">
              <w:r>
                <w:rPr>
                  <w:color w:val="165D67"/>
                  <w:u w:val="single"/>
                </w:rPr>
                <w:t>AAHA breed diets</w:t>
              </w:r>
            </w:hyperlink>
          </w:p>
        </w:tc>
        <w:tc>
          <w:tcPr>
            <w:tcW w:type="dxa" w:w="2693"/>
          </w:tcPr>
          <w:p>
            <w:pPr>
              <w:spacing w:after="60" w:before="40"/>
            </w:pPr>
            <w:r>
              <w:rPr>
                <w:sz w:val="17"/>
              </w:rPr>
              <w:t>No breed-based disease recipe</w:t>
            </w:r>
          </w:p>
        </w:tc>
      </w:tr>
      <w:tr>
        <w:tc>
          <w:tcPr>
            <w:tcW w:type="dxa" w:w="2992"/>
          </w:tcPr>
          <w:p>
            <w:pPr>
              <w:spacing w:after="60" w:before="40"/>
            </w:pPr>
            <w:r>
              <w:rPr>
                <w:sz w:val="17"/>
              </w:rPr>
              <w:t>Smaller meals and no exercise after meals prevents bloat (P55)</w:t>
            </w:r>
          </w:p>
        </w:tc>
        <w:tc>
          <w:tcPr>
            <w:tcW w:type="dxa" w:w="1197"/>
          </w:tcPr>
          <w:p>
            <w:pPr>
              <w:spacing w:after="60" w:before="40"/>
            </w:pPr>
            <w:r>
              <w:rPr>
                <w:sz w:val="17"/>
              </w:rPr>
              <w:t>Q</w:t>
            </w:r>
          </w:p>
        </w:tc>
        <w:tc>
          <w:tcPr>
            <w:tcW w:type="dxa" w:w="3292"/>
          </w:tcPr>
          <w:p>
            <w:pPr>
              <w:spacing w:after="60" w:before="40"/>
            </w:pPr>
            <w:r>
              <w:rPr>
                <w:sz w:val="17"/>
              </w:rPr>
              <w:t>Avoid a prevention guarantee or fixed exercise interval</w:t>
            </w:r>
          </w:p>
        </w:tc>
        <w:tc>
          <w:tcPr>
            <w:tcW w:type="dxa" w:w="2095"/>
          </w:tcPr>
          <w:p>
            <w:pPr>
              <w:spacing w:after="60" w:before="40"/>
            </w:pPr>
            <w:r>
              <w:rPr>
                <w:sz w:val="17"/>
              </w:rPr>
              <w:t>Risk is multifactorial</w:t>
            </w:r>
          </w:p>
        </w:tc>
        <w:tc>
          <w:tcPr>
            <w:tcW w:type="dxa" w:w="2693"/>
          </w:tcPr>
          <w:p>
            <w:pPr>
              <w:spacing w:after="60" w:before="40"/>
            </w:pPr>
            <w:r>
              <w:rPr>
                <w:sz w:val="17"/>
              </w:rPr>
              <w:t>Section 14 sources</w:t>
            </w:r>
          </w:p>
        </w:tc>
        <w:tc>
          <w:tcPr>
            <w:tcW w:type="dxa" w:w="2693"/>
          </w:tcPr>
          <w:p>
            <w:pPr>
              <w:spacing w:after="60" w:before="40"/>
            </w:pPr>
            <w:r>
              <w:rPr>
                <w:sz w:val="17"/>
              </w:rPr>
              <w:t>Emergency signs and risk education</w:t>
            </w:r>
          </w:p>
        </w:tc>
      </w:tr>
      <w:tr>
        <w:tc>
          <w:tcPr>
            <w:tcW w:type="dxa" w:w="2992"/>
          </w:tcPr>
          <w:p>
            <w:pPr>
              <w:spacing w:after="60" w:before="40"/>
            </w:pPr>
            <w:r>
              <w:rPr>
                <w:sz w:val="17"/>
              </w:rPr>
              <w:t>Aspin fixed 10–20 kg and other normal breed ranges (T59, P57)</w:t>
            </w:r>
          </w:p>
        </w:tc>
        <w:tc>
          <w:tcPr>
            <w:tcW w:type="dxa" w:w="1197"/>
          </w:tcPr>
          <w:p>
            <w:pPr>
              <w:spacing w:after="60" w:before="40"/>
            </w:pPr>
            <w:r>
              <w:rPr>
                <w:sz w:val="17"/>
              </w:rPr>
              <w:t>Q/I</w:t>
            </w:r>
          </w:p>
        </w:tc>
        <w:tc>
          <w:tcPr>
            <w:tcW w:type="dxa" w:w="3292"/>
          </w:tcPr>
          <w:p>
            <w:pPr>
              <w:spacing w:after="60" w:before="40"/>
            </w:pPr>
            <w:r>
              <w:rPr>
                <w:sz w:val="17"/>
              </w:rPr>
              <w:t>Reference descriptors only; Aspins are highly variable</w:t>
            </w:r>
          </w:p>
        </w:tc>
        <w:tc>
          <w:tcPr>
            <w:tcW w:type="dxa" w:w="2095"/>
          </w:tcPr>
          <w:p>
            <w:pPr>
              <w:spacing w:after="60" w:before="40"/>
            </w:pPr>
            <w:r>
              <w:rPr>
                <w:sz w:val="17"/>
              </w:rPr>
              <w:t>Breed range cannot establish an individual's target</w:t>
            </w:r>
          </w:p>
        </w:tc>
        <w:tc>
          <w:tcPr>
            <w:tcW w:type="dxa" w:w="2693"/>
          </w:tcPr>
          <w:p>
            <w:pPr>
              <w:spacing w:after="60" w:before="40"/>
            </w:pPr>
            <w:hyperlink r:id="rId21">
              <w:r>
                <w:rPr>
                  <w:color w:val="165D67"/>
                  <w:u w:val="single"/>
                </w:rPr>
                <w:t>WSAVA BCS</w:t>
              </w:r>
            </w:hyperlink>
          </w:p>
        </w:tc>
        <w:tc>
          <w:tcPr>
            <w:tcW w:type="dxa" w:w="2693"/>
          </w:tcPr>
          <w:p>
            <w:pPr>
              <w:spacing w:after="60" w:before="40"/>
            </w:pPr>
            <w:r>
              <w:rPr>
                <w:sz w:val="17"/>
              </w:rPr>
              <w:t>Actual measurements and BCS override breed averages</w:t>
            </w:r>
          </w:p>
        </w:tc>
      </w:tr>
      <w:tr>
        <w:tc>
          <w:tcPr>
            <w:tcW w:type="dxa" w:w="2992"/>
          </w:tcPr>
          <w:p>
            <w:pPr>
              <w:spacing w:after="60" w:before="40"/>
            </w:pPr>
            <w:r>
              <w:rPr>
                <w:sz w:val="17"/>
              </w:rPr>
              <w:t>Ideal BCS 4–5 with ribs/waist/tuck (P61)</w:t>
            </w:r>
          </w:p>
        </w:tc>
        <w:tc>
          <w:tcPr>
            <w:tcW w:type="dxa" w:w="1197"/>
          </w:tcPr>
          <w:p>
            <w:pPr>
              <w:spacing w:after="60" w:before="40"/>
            </w:pPr>
            <w:r>
              <w:rPr>
                <w:sz w:val="17"/>
              </w:rPr>
              <w:t>V/Q</w:t>
            </w:r>
          </w:p>
        </w:tc>
        <w:tc>
          <w:tcPr>
            <w:tcW w:type="dxa" w:w="3292"/>
          </w:tcPr>
          <w:p>
            <w:pPr>
              <w:spacing w:after="60" w:before="40"/>
            </w:pPr>
            <w:r>
              <w:rPr>
                <w:sz w:val="17"/>
              </w:rPr>
              <w:t>Owner chart and tactile guidance, reviewed when uncertain</w:t>
            </w:r>
          </w:p>
        </w:tc>
        <w:tc>
          <w:tcPr>
            <w:tcW w:type="dxa" w:w="2095"/>
          </w:tcPr>
          <w:p>
            <w:pPr>
              <w:spacing w:after="60" w:before="40"/>
            </w:pPr>
            <w:r>
              <w:rPr>
                <w:sz w:val="17"/>
              </w:rPr>
              <w:t>Visual inspection alone can be misleading</w:t>
            </w:r>
          </w:p>
        </w:tc>
        <w:tc>
          <w:tcPr>
            <w:tcW w:type="dxa" w:w="2693"/>
          </w:tcPr>
          <w:p>
            <w:pPr>
              <w:spacing w:after="60" w:before="40"/>
            </w:pPr>
            <w:hyperlink r:id="rId21">
              <w:r>
                <w:rPr>
                  <w:color w:val="165D67"/>
                  <w:u w:val="single"/>
                </w:rPr>
                <w:t>WSAVA BCS</w:t>
              </w:r>
            </w:hyperlink>
          </w:p>
        </w:tc>
        <w:tc>
          <w:tcPr>
            <w:tcW w:type="dxa" w:w="2693"/>
          </w:tcPr>
          <w:p>
            <w:pPr>
              <w:spacing w:after="60" w:before="40"/>
            </w:pPr>
            <w:r>
              <w:rPr>
                <w:sz w:val="17"/>
              </w:rPr>
              <w:t>Nine-point scale and assessor provenance</w:t>
            </w:r>
          </w:p>
        </w:tc>
      </w:tr>
      <w:tr>
        <w:tc>
          <w:tcPr>
            <w:tcW w:type="dxa" w:w="2992"/>
          </w:tcPr>
          <w:p>
            <w:pPr>
              <w:spacing w:after="60" w:before="40"/>
            </w:pPr>
            <w:r>
              <w:rPr>
                <w:sz w:val="17"/>
              </w:rPr>
              <w:t>Adjust maintenance by 10% every 2 weeks (T62)</w:t>
            </w:r>
          </w:p>
        </w:tc>
        <w:tc>
          <w:tcPr>
            <w:tcW w:type="dxa" w:w="1197"/>
          </w:tcPr>
          <w:p>
            <w:pPr>
              <w:spacing w:after="60" w:before="40"/>
            </w:pPr>
            <w:r>
              <w:rPr>
                <w:sz w:val="17"/>
              </w:rPr>
              <w:t>Q</w:t>
            </w:r>
          </w:p>
        </w:tc>
        <w:tc>
          <w:tcPr>
            <w:tcW w:type="dxa" w:w="3292"/>
          </w:tcPr>
          <w:p>
            <w:pPr>
              <w:spacing w:after="60" w:before="40"/>
            </w:pPr>
            <w:r>
              <w:rPr>
                <w:sz w:val="17"/>
              </w:rPr>
              <w:t>Reassess logs and trend first; small confirmed changes are a policy, not a law</w:t>
            </w:r>
          </w:p>
        </w:tc>
        <w:tc>
          <w:tcPr>
            <w:tcW w:type="dxa" w:w="2095"/>
          </w:tcPr>
          <w:p>
            <w:pPr>
              <w:spacing w:after="60" w:before="40"/>
            </w:pPr>
            <w:r>
              <w:rPr>
                <w:sz w:val="17"/>
              </w:rPr>
              <w:t>Noise and illness can mimic trend</w:t>
            </w:r>
          </w:p>
        </w:tc>
        <w:tc>
          <w:tcPr>
            <w:tcW w:type="dxa" w:w="2693"/>
          </w:tcPr>
          <w:p>
            <w:pPr>
              <w:spacing w:after="60" w:before="40"/>
            </w:pPr>
            <w:hyperlink r:id="rId22">
              <w:r>
                <w:rPr>
                  <w:color w:val="165D67"/>
                  <w:u w:val="single"/>
                </w:rPr>
                <w:t>AAHA feeding</w:t>
              </w:r>
            </w:hyperlink>
          </w:p>
        </w:tc>
        <w:tc>
          <w:tcPr>
            <w:tcW w:type="dxa" w:w="2693"/>
          </w:tcPr>
          <w:p>
            <w:pPr>
              <w:spacing w:after="60" w:before="40"/>
            </w:pPr>
            <w:r>
              <w:rPr>
                <w:sz w:val="17"/>
              </w:rPr>
              <w:t>Proposed changes require owner confirmation</w:t>
            </w:r>
          </w:p>
        </w:tc>
      </w:tr>
      <w:tr>
        <w:tc>
          <w:tcPr>
            <w:tcW w:type="dxa" w:w="2992"/>
          </w:tcPr>
          <w:p>
            <w:pPr>
              <w:spacing w:after="60" w:before="40"/>
            </w:pPr>
            <w:r>
              <w:rPr>
                <w:sz w:val="17"/>
              </w:rPr>
              <w:t>Loss 1–2% per week; active weight-loss factor up to 1.2 (T62)</w:t>
            </w:r>
          </w:p>
        </w:tc>
        <w:tc>
          <w:tcPr>
            <w:tcW w:type="dxa" w:w="1197"/>
          </w:tcPr>
          <w:p>
            <w:pPr>
              <w:spacing w:after="60" w:before="40"/>
            </w:pPr>
            <w:r>
              <w:rPr>
                <w:sz w:val="17"/>
              </w:rPr>
              <w:t>Q/S</w:t>
            </w:r>
          </w:p>
        </w:tc>
        <w:tc>
          <w:tcPr>
            <w:tcW w:type="dxa" w:w="3292"/>
          </w:tcPr>
          <w:p>
            <w:pPr>
              <w:spacing w:after="60" w:before="40"/>
            </w:pPr>
            <w:r>
              <w:rPr>
                <w:sz w:val="17"/>
              </w:rPr>
              <w:t>Clinician monitors loss and muscle retention</w:t>
            </w:r>
          </w:p>
        </w:tc>
        <w:tc>
          <w:tcPr>
            <w:tcW w:type="dxa" w:w="2095"/>
          </w:tcPr>
          <w:p>
            <w:pPr>
              <w:spacing w:after="60" w:before="40"/>
            </w:pPr>
            <w:r>
              <w:rPr>
                <w:sz w:val="17"/>
              </w:rPr>
              <w:t>No auto-added activity factor</w:t>
            </w:r>
          </w:p>
        </w:tc>
        <w:tc>
          <w:tcPr>
            <w:tcW w:type="dxa" w:w="2693"/>
          </w:tcPr>
          <w:p>
            <w:pPr>
              <w:spacing w:after="60" w:before="40"/>
            </w:pPr>
            <w:hyperlink r:id="rId23">
              <w:r>
                <w:rPr>
                  <w:color w:val="165D67"/>
                  <w:u w:val="single"/>
                </w:rPr>
                <w:t>AAHA weight guidance</w:t>
              </w:r>
            </w:hyperlink>
          </w:p>
        </w:tc>
        <w:tc>
          <w:tcPr>
            <w:tcW w:type="dxa" w:w="2693"/>
          </w:tcPr>
          <w:p>
            <w:pPr>
              <w:spacing w:after="60" w:before="40"/>
            </w:pPr>
            <w:r>
              <w:rPr>
                <w:sz w:val="17"/>
              </w:rPr>
              <w:t>Supervised target and stopping criteria</w:t>
            </w:r>
          </w:p>
        </w:tc>
      </w:tr>
      <w:tr>
        <w:tc>
          <w:tcPr>
            <w:tcW w:type="dxa" w:w="2992"/>
          </w:tcPr>
          <w:p>
            <w:pPr>
              <w:spacing w:after="60" w:before="40"/>
            </w:pPr>
            <w:r>
              <w:rPr>
                <w:sz w:val="17"/>
              </w:rPr>
              <w:t>Gain by 10–20%, also multiply normal factor by 1.2–1.4 (T62)</w:t>
            </w:r>
          </w:p>
        </w:tc>
        <w:tc>
          <w:tcPr>
            <w:tcW w:type="dxa" w:w="1197"/>
          </w:tcPr>
          <w:p>
            <w:pPr>
              <w:spacing w:after="60" w:before="40"/>
            </w:pPr>
            <w:r>
              <w:rPr>
                <w:sz w:val="17"/>
              </w:rPr>
              <w:t>I/S</w:t>
            </w:r>
          </w:p>
        </w:tc>
        <w:tc>
          <w:tcPr>
            <w:tcW w:type="dxa" w:w="3292"/>
          </w:tcPr>
          <w:p>
            <w:pPr>
              <w:spacing w:after="60" w:before="40"/>
            </w:pPr>
            <w:r>
              <w:rPr>
                <w:sz w:val="17"/>
              </w:rPr>
              <w:t>Do not stack the two adjustments; assess underweight/unexplained loss first</w:t>
            </w:r>
          </w:p>
        </w:tc>
        <w:tc>
          <w:tcPr>
            <w:tcW w:type="dxa" w:w="2095"/>
          </w:tcPr>
          <w:p>
            <w:pPr>
              <w:spacing w:after="60" w:before="40"/>
            </w:pPr>
            <w:r>
              <w:rPr>
                <w:sz w:val="17"/>
              </w:rPr>
              <w:t>Risks overfeeding and missing disease</w:t>
            </w:r>
          </w:p>
        </w:tc>
        <w:tc>
          <w:tcPr>
            <w:tcW w:type="dxa" w:w="2693"/>
          </w:tcPr>
          <w:p>
            <w:pPr>
              <w:spacing w:after="60" w:before="40"/>
            </w:pPr>
            <w:hyperlink r:id="rId12">
              <w:r>
                <w:rPr>
                  <w:color w:val="165D67"/>
                  <w:u w:val="single"/>
                </w:rPr>
                <w:t>AAHA assessment</w:t>
              </w:r>
            </w:hyperlink>
          </w:p>
        </w:tc>
        <w:tc>
          <w:tcPr>
            <w:tcW w:type="dxa" w:w="2693"/>
          </w:tcPr>
          <w:p>
            <w:pPr>
              <w:spacing w:after="60" w:before="40"/>
            </w:pPr>
            <w:r>
              <w:rPr>
                <w:sz w:val="17"/>
              </w:rPr>
              <w:t>No unsupervised gain target</w:t>
            </w:r>
          </w:p>
        </w:tc>
      </w:tr>
      <w:tr>
        <w:tc>
          <w:tcPr>
            <w:tcW w:type="dxa" w:w="2992"/>
          </w:tcPr>
          <w:p>
            <w:pPr>
              <w:spacing w:after="60" w:before="40"/>
            </w:pPr>
            <w:r>
              <w:rPr>
                <w:sz w:val="17"/>
              </w:rPr>
              <w:t>Exercise minutes define exact activity factor and high-fat target (T64)</w:t>
            </w:r>
          </w:p>
        </w:tc>
        <w:tc>
          <w:tcPr>
            <w:tcW w:type="dxa" w:w="1197"/>
          </w:tcPr>
          <w:p>
            <w:pPr>
              <w:spacing w:after="60" w:before="40"/>
            </w:pPr>
            <w:r>
              <w:rPr>
                <w:sz w:val="17"/>
              </w:rPr>
              <w:t>I</w:t>
            </w:r>
          </w:p>
        </w:tc>
        <w:tc>
          <w:tcPr>
            <w:tcW w:type="dxa" w:w="3292"/>
          </w:tcPr>
          <w:p>
            <w:pPr>
              <w:spacing w:after="60" w:before="40"/>
            </w:pPr>
            <w:r>
              <w:rPr>
                <w:sz w:val="17"/>
              </w:rPr>
              <w:t>Duration is one history field; intensity, environment and response matter</w:t>
            </w:r>
          </w:p>
        </w:tc>
        <w:tc>
          <w:tcPr>
            <w:tcW w:type="dxa" w:w="2095"/>
          </w:tcPr>
          <w:p>
            <w:pPr>
              <w:spacing w:after="60" w:before="40"/>
            </w:pPr>
            <w:r>
              <w:rPr>
                <w:sz w:val="17"/>
              </w:rPr>
              <w:t>No validated universal duration-to-calorie map</w:t>
            </w:r>
          </w:p>
        </w:tc>
        <w:tc>
          <w:tcPr>
            <w:tcW w:type="dxa" w:w="2693"/>
          </w:tcPr>
          <w:p>
            <w:pPr>
              <w:spacing w:after="60" w:before="40"/>
            </w:pPr>
            <w:hyperlink r:id="rId14">
              <w:r>
                <w:rPr>
                  <w:color w:val="165D67"/>
                  <w:u w:val="single"/>
                </w:rPr>
                <w:t>AAHA energy</w:t>
              </w:r>
            </w:hyperlink>
          </w:p>
        </w:tc>
        <w:tc>
          <w:tcPr>
            <w:tcW w:type="dxa" w:w="2693"/>
          </w:tcPr>
          <w:p>
            <w:pPr>
              <w:spacing w:after="60" w:before="40"/>
            </w:pPr>
            <w:r>
              <w:rPr>
                <w:sz w:val="17"/>
              </w:rPr>
              <w:t>No automatic 15–25% fat prescription</w:t>
            </w:r>
          </w:p>
        </w:tc>
      </w:tr>
      <w:tr>
        <w:tc>
          <w:tcPr>
            <w:tcW w:type="dxa" w:w="2992"/>
          </w:tcPr>
          <w:p>
            <w:pPr>
              <w:spacing w:after="60" w:before="40"/>
            </w:pPr>
            <w:r>
              <w:rPr>
                <w:sz w:val="17"/>
              </w:rPr>
              <w:t>Pregnancy normal first 6 weeks, then puppy food/free feeding in nursing (T66)</w:t>
            </w:r>
          </w:p>
        </w:tc>
        <w:tc>
          <w:tcPr>
            <w:tcW w:type="dxa" w:w="1197"/>
          </w:tcPr>
          <w:p>
            <w:pPr>
              <w:spacing w:after="60" w:before="40"/>
            </w:pPr>
            <w:r>
              <w:rPr>
                <w:sz w:val="17"/>
              </w:rPr>
              <w:t>Q/S</w:t>
            </w:r>
          </w:p>
        </w:tc>
        <w:tc>
          <w:tcPr>
            <w:tcW w:type="dxa" w:w="3292"/>
          </w:tcPr>
          <w:p>
            <w:pPr>
              <w:spacing w:after="60" w:before="40"/>
            </w:pPr>
            <w:r>
              <w:rPr>
                <w:sz w:val="17"/>
              </w:rPr>
              <w:t>Use an appropriate reproduction diet and supervised stage-specific intake</w:t>
            </w:r>
          </w:p>
        </w:tc>
        <w:tc>
          <w:tcPr>
            <w:tcW w:type="dxa" w:w="2095"/>
          </w:tcPr>
          <w:p>
            <w:pPr>
              <w:spacing w:after="60" w:before="40"/>
            </w:pPr>
            <w:r>
              <w:rPr>
                <w:sz w:val="17"/>
              </w:rPr>
              <w:t>References divide gestation differently; puppy labels may exclude growth contexts</w:t>
            </w:r>
          </w:p>
        </w:tc>
        <w:tc>
          <w:tcPr>
            <w:tcW w:type="dxa" w:w="2693"/>
          </w:tcPr>
          <w:p>
            <w:pPr>
              <w:spacing w:after="60" w:before="40"/>
            </w:pPr>
            <w:hyperlink r:id="rId18">
              <w:r>
                <w:rPr>
                  <w:color w:val="165D67"/>
                  <w:u w:val="single"/>
                </w:rPr>
                <w:t>FEDIAF reproduction</w:t>
              </w:r>
            </w:hyperlink>
          </w:p>
        </w:tc>
        <w:tc>
          <w:tcPr>
            <w:tcW w:type="dxa" w:w="2693"/>
          </w:tcPr>
          <w:p>
            <w:pPr>
              <w:spacing w:after="60" w:before="40"/>
            </w:pPr>
            <w:r>
              <w:rPr>
                <w:sz w:val="17"/>
              </w:rPr>
              <w:t>Explicit gestational stage; clinician approval</w:t>
            </w:r>
          </w:p>
        </w:tc>
      </w:tr>
      <w:tr>
        <w:tc>
          <w:tcPr>
            <w:tcW w:type="dxa" w:w="2992"/>
          </w:tcPr>
          <w:p>
            <w:pPr>
              <w:spacing w:after="60" w:before="40"/>
            </w:pPr>
            <w:r>
              <w:rPr>
                <w:sz w:val="17"/>
              </w:rPr>
              <w:t>Avoid extra calcium during pregnancy (T66)</w:t>
            </w:r>
          </w:p>
        </w:tc>
        <w:tc>
          <w:tcPr>
            <w:tcW w:type="dxa" w:w="1197"/>
          </w:tcPr>
          <w:p>
            <w:pPr>
              <w:spacing w:after="60" w:before="40"/>
            </w:pPr>
            <w:r>
              <w:rPr>
                <w:sz w:val="17"/>
              </w:rPr>
              <w:t>Q/S</w:t>
            </w:r>
          </w:p>
        </w:tc>
        <w:tc>
          <w:tcPr>
            <w:tcW w:type="dxa" w:w="3292"/>
          </w:tcPr>
          <w:p>
            <w:pPr>
              <w:spacing w:after="60" w:before="40"/>
            </w:pPr>
            <w:r>
              <w:rPr>
                <w:sz w:val="17"/>
              </w:rPr>
              <w:t>No owner-directed calcium supplementation</w:t>
            </w:r>
          </w:p>
        </w:tc>
        <w:tc>
          <w:tcPr>
            <w:tcW w:type="dxa" w:w="2095"/>
          </w:tcPr>
          <w:p>
            <w:pPr>
              <w:spacing w:after="60" w:before="40"/>
            </w:pPr>
            <w:r>
              <w:rPr>
                <w:sz w:val="17"/>
              </w:rPr>
              <w:t>Supplementation decisions need clinical oversight</w:t>
            </w:r>
          </w:p>
        </w:tc>
        <w:tc>
          <w:tcPr>
            <w:tcW w:type="dxa" w:w="2693"/>
          </w:tcPr>
          <w:p>
            <w:pPr>
              <w:spacing w:after="60" w:before="40"/>
            </w:pPr>
            <w:hyperlink r:id="rId24">
              <w:r>
                <w:rPr>
                  <w:color w:val="165D67"/>
                  <w:u w:val="single"/>
                </w:rPr>
                <w:t>Merck reproduction</w:t>
              </w:r>
            </w:hyperlink>
          </w:p>
        </w:tc>
        <w:tc>
          <w:tcPr>
            <w:tcW w:type="dxa" w:w="2693"/>
          </w:tcPr>
          <w:p>
            <w:pPr>
              <w:spacing w:after="60" w:before="40"/>
            </w:pPr>
            <w:r>
              <w:rPr>
                <w:sz w:val="17"/>
              </w:rPr>
              <w:t>Do not generate a calcium dosing rule</w:t>
            </w:r>
          </w:p>
        </w:tc>
      </w:tr>
      <w:tr>
        <w:tc>
          <w:tcPr>
            <w:tcW w:type="dxa" w:w="2992"/>
          </w:tcPr>
          <w:p>
            <w:pPr>
              <w:spacing w:after="60" w:before="40"/>
            </w:pPr>
            <w:r>
              <w:rPr>
                <w:sz w:val="17"/>
              </w:rPr>
              <w:t>Medical condition diet directions (T69)</w:t>
            </w:r>
          </w:p>
        </w:tc>
        <w:tc>
          <w:tcPr>
            <w:tcW w:type="dxa" w:w="1197"/>
          </w:tcPr>
          <w:p>
            <w:pPr>
              <w:spacing w:after="60" w:before="40"/>
            </w:pPr>
            <w:r>
              <w:rPr>
                <w:sz w:val="17"/>
              </w:rPr>
              <w:t>Q/S</w:t>
            </w:r>
          </w:p>
        </w:tc>
        <w:tc>
          <w:tcPr>
            <w:tcW w:type="dxa" w:w="3292"/>
          </w:tcPr>
          <w:p>
            <w:pPr>
              <w:spacing w:after="60" w:before="40"/>
            </w:pPr>
            <w:r>
              <w:rPr>
                <w:sz w:val="17"/>
              </w:rPr>
              <w:t>See section 15; record diagnosis, diet and prescribing veterinarian</w:t>
            </w:r>
          </w:p>
        </w:tc>
        <w:tc>
          <w:tcPr>
            <w:tcW w:type="dxa" w:w="2095"/>
          </w:tcPr>
          <w:p>
            <w:pPr>
              <w:spacing w:after="60" w:before="40"/>
            </w:pPr>
            <w:r>
              <w:rPr>
                <w:sz w:val="17"/>
              </w:rPr>
              <w:t>Disease stage/comorbidities determine restrictions</w:t>
            </w:r>
          </w:p>
        </w:tc>
        <w:tc>
          <w:tcPr>
            <w:tcW w:type="dxa" w:w="2693"/>
          </w:tcPr>
          <w:p>
            <w:pPr>
              <w:spacing w:after="60" w:before="40"/>
            </w:pPr>
            <w:hyperlink r:id="rId25">
              <w:r>
                <w:rPr>
                  <w:color w:val="165D67"/>
                  <w:u w:val="single"/>
                </w:rPr>
                <w:t>AAHA therapeutic diets</w:t>
              </w:r>
            </w:hyperlink>
          </w:p>
        </w:tc>
        <w:tc>
          <w:tcPr>
            <w:tcW w:type="dxa" w:w="2693"/>
          </w:tcPr>
          <w:p>
            <w:pPr>
              <w:spacing w:after="60" w:before="40"/>
            </w:pPr>
            <w:r>
              <w:rPr>
                <w:sz w:val="17"/>
              </w:rPr>
              <w:t>Disable automatic therapeutic formulation</w:t>
            </w:r>
          </w:p>
        </w:tc>
      </w:tr>
      <w:tr>
        <w:tc>
          <w:tcPr>
            <w:tcW w:type="dxa" w:w="2992"/>
          </w:tcPr>
          <w:p>
            <w:pPr>
              <w:spacing w:after="60" w:before="40"/>
            </w:pPr>
            <w:r>
              <w:rPr>
                <w:sz w:val="17"/>
              </w:rPr>
              <w:t>Philippines always 25–35°C, dry Dec–May/rain Jun–Nov (P71)</w:t>
            </w:r>
          </w:p>
        </w:tc>
        <w:tc>
          <w:tcPr>
            <w:tcW w:type="dxa" w:w="1197"/>
          </w:tcPr>
          <w:p>
            <w:pPr>
              <w:spacing w:after="60" w:before="40"/>
            </w:pPr>
            <w:r>
              <w:rPr>
                <w:sz w:val="17"/>
              </w:rPr>
              <w:t>Q/I</w:t>
            </w:r>
          </w:p>
        </w:tc>
        <w:tc>
          <w:tcPr>
            <w:tcW w:type="dxa" w:w="3292"/>
          </w:tcPr>
          <w:p>
            <w:pPr>
              <w:spacing w:after="60" w:before="40"/>
            </w:pPr>
            <w:r>
              <w:rPr>
                <w:sz w:val="17"/>
              </w:rPr>
              <w:t>Season description is broadly supported; altitude/regional temperatures vary</w:t>
            </w:r>
          </w:p>
        </w:tc>
        <w:tc>
          <w:tcPr>
            <w:tcW w:type="dxa" w:w="2095"/>
          </w:tcPr>
          <w:p>
            <w:pPr>
              <w:spacing w:after="60" w:before="40"/>
            </w:pPr>
            <w:r>
              <w:rPr>
                <w:sz w:val="17"/>
              </w:rPr>
              <w:t>Weather is not one national constant</w:t>
            </w:r>
          </w:p>
        </w:tc>
        <w:tc>
          <w:tcPr>
            <w:tcW w:type="dxa" w:w="2693"/>
          </w:tcPr>
          <w:p>
            <w:pPr>
              <w:spacing w:after="60" w:before="40"/>
            </w:pPr>
            <w:hyperlink r:id="rId26">
              <w:r>
                <w:rPr>
                  <w:color w:val="165D67"/>
                  <w:u w:val="single"/>
                </w:rPr>
                <w:t>PAGASA</w:t>
              </w:r>
            </w:hyperlink>
          </w:p>
        </w:tc>
        <w:tc>
          <w:tcPr>
            <w:tcW w:type="dxa" w:w="2693"/>
          </w:tcPr>
          <w:p>
            <w:pPr>
              <w:spacing w:after="60" w:before="40"/>
            </w:pPr>
            <w:r>
              <w:rPr>
                <w:sz w:val="17"/>
              </w:rPr>
              <w:t>Local handling advice; no fixed temperature multiplier</w:t>
            </w:r>
          </w:p>
        </w:tc>
      </w:tr>
      <w:tr>
        <w:tc>
          <w:tcPr>
            <w:tcW w:type="dxa" w:w="2992"/>
          </w:tcPr>
          <w:p>
            <w:pPr>
              <w:spacing w:after="60" w:before="40"/>
            </w:pPr>
            <w:r>
              <w:rPr>
                <w:sz w:val="17"/>
              </w:rPr>
              <w:t>Cut heat calories 5–10%; early/late feeding and fresh water (P72–74)</w:t>
            </w:r>
          </w:p>
        </w:tc>
        <w:tc>
          <w:tcPr>
            <w:tcW w:type="dxa" w:w="1197"/>
          </w:tcPr>
          <w:p>
            <w:pPr>
              <w:spacing w:after="60" w:before="40"/>
            </w:pPr>
            <w:r>
              <w:rPr>
                <w:sz w:val="17"/>
              </w:rPr>
              <w:t>M/Q</w:t>
            </w:r>
          </w:p>
        </w:tc>
        <w:tc>
          <w:tcPr>
            <w:tcW w:type="dxa" w:w="3292"/>
          </w:tcPr>
          <w:p>
            <w:pPr>
              <w:spacing w:after="60" w:before="40"/>
            </w:pPr>
            <w:r>
              <w:rPr>
                <w:sz w:val="17"/>
              </w:rPr>
              <w:t>No validated fixed cut; choose safe times and monitor intake/condition</w:t>
            </w:r>
          </w:p>
        </w:tc>
        <w:tc>
          <w:tcPr>
            <w:tcW w:type="dxa" w:w="2095"/>
          </w:tcPr>
          <w:p>
            <w:pPr>
              <w:spacing w:after="60" w:before="40"/>
            </w:pPr>
            <w:r>
              <w:rPr>
                <w:sz w:val="17"/>
              </w:rPr>
              <w:t>Appetite loss can also signal disease</w:t>
            </w:r>
          </w:p>
        </w:tc>
        <w:tc>
          <w:tcPr>
            <w:tcW w:type="dxa" w:w="2693"/>
          </w:tcPr>
          <w:p>
            <w:pPr>
              <w:spacing w:after="60" w:before="40"/>
            </w:pPr>
            <w:hyperlink r:id="rId26">
              <w:r>
                <w:rPr>
                  <w:color w:val="165D67"/>
                  <w:u w:val="single"/>
                </w:rPr>
                <w:t>PAGASA</w:t>
              </w:r>
            </w:hyperlink>
            <w:r>
              <w:rPr>
                <w:sz w:val="17"/>
              </w:rPr>
              <w:t xml:space="preserve">, </w:t>
            </w:r>
            <w:hyperlink r:id="rId12">
              <w:r>
                <w:rPr>
                  <w:color w:val="165D67"/>
                  <w:u w:val="single"/>
                </w:rPr>
                <w:t>AAHA assessment</w:t>
              </w:r>
            </w:hyperlink>
          </w:p>
        </w:tc>
        <w:tc>
          <w:tcPr>
            <w:tcW w:type="dxa" w:w="2693"/>
          </w:tcPr>
          <w:p>
            <w:pPr>
              <w:spacing w:after="60" w:before="40"/>
            </w:pPr>
            <w:r>
              <w:rPr>
                <w:sz w:val="17"/>
              </w:rPr>
              <w:t>Do not diagnose “just heat”</w:t>
            </w:r>
          </w:p>
        </w:tc>
      </w:tr>
      <w:tr>
        <w:tc>
          <w:tcPr>
            <w:tcW w:type="dxa" w:w="2992"/>
          </w:tcPr>
          <w:p>
            <w:pPr>
              <w:spacing w:after="60" w:before="40"/>
            </w:pPr>
            <w:r>
              <w:rPr>
                <w:sz w:val="17"/>
              </w:rPr>
              <w:t>Wet/raw/homemade food can sit out 1–2 hours; airtight dry storage (P75)</w:t>
            </w:r>
          </w:p>
        </w:tc>
        <w:tc>
          <w:tcPr>
            <w:tcW w:type="dxa" w:w="1197"/>
          </w:tcPr>
          <w:p>
            <w:pPr>
              <w:spacing w:after="60" w:before="40"/>
            </w:pPr>
            <w:r>
              <w:rPr>
                <w:sz w:val="17"/>
              </w:rPr>
              <w:t>Q</w:t>
            </w:r>
          </w:p>
        </w:tc>
        <w:tc>
          <w:tcPr>
            <w:tcW w:type="dxa" w:w="3292"/>
          </w:tcPr>
          <w:p>
            <w:pPr>
              <w:spacing w:after="60" w:before="40"/>
            </w:pPr>
            <w:r>
              <w:rPr>
                <w:sz w:val="17"/>
              </w:rPr>
              <w:t>Use time and temperature, label instructions, clean original-bag storage</w:t>
            </w:r>
          </w:p>
        </w:tc>
        <w:tc>
          <w:tcPr>
            <w:tcW w:type="dxa" w:w="2095"/>
          </w:tcPr>
          <w:p>
            <w:pPr>
              <w:spacing w:after="60" w:before="40"/>
            </w:pPr>
            <w:r>
              <w:rPr>
                <w:sz w:val="17"/>
              </w:rPr>
              <w:t>Tropical exposure can require the shorter limit</w:t>
            </w:r>
          </w:p>
        </w:tc>
        <w:tc>
          <w:tcPr>
            <w:tcW w:type="dxa" w:w="2693"/>
          </w:tcPr>
          <w:p>
            <w:pPr>
              <w:spacing w:after="60" w:before="40"/>
            </w:pPr>
            <w:hyperlink r:id="rId27">
              <w:r>
                <w:rPr>
                  <w:color w:val="165D67"/>
                  <w:u w:val="single"/>
                </w:rPr>
                <w:t>USDA leftovers</w:t>
              </w:r>
            </w:hyperlink>
            <w:r>
              <w:rPr>
                <w:sz w:val="17"/>
              </w:rPr>
              <w:t xml:space="preserve">, </w:t>
            </w:r>
            <w:hyperlink r:id="rId28">
              <w:r>
                <w:rPr>
                  <w:color w:val="165D67"/>
                  <w:u w:val="single"/>
                </w:rPr>
                <w:t>FDA storage</w:t>
              </w:r>
            </w:hyperlink>
          </w:p>
        </w:tc>
        <w:tc>
          <w:tcPr>
            <w:tcW w:type="dxa" w:w="2693"/>
          </w:tcPr>
          <w:p>
            <w:pPr>
              <w:spacing w:after="60" w:before="40"/>
            </w:pPr>
            <w:r>
              <w:rPr>
                <w:sz w:val="17"/>
              </w:rPr>
              <w:t>Timers and preparation metadata</w:t>
            </w:r>
          </w:p>
        </w:tc>
      </w:tr>
      <w:tr>
        <w:tc>
          <w:tcPr>
            <w:tcW w:type="dxa" w:w="2992"/>
          </w:tcPr>
          <w:p>
            <w:pPr>
              <w:spacing w:after="60" w:before="40"/>
            </w:pPr>
            <w:r>
              <w:rPr>
                <w:sz w:val="17"/>
              </w:rPr>
              <w:t>Heatstroke risk, parasites and rainy-season diseases explain appetite changes (P76–78)</w:t>
            </w:r>
          </w:p>
        </w:tc>
        <w:tc>
          <w:tcPr>
            <w:tcW w:type="dxa" w:w="1197"/>
          </w:tcPr>
          <w:p>
            <w:pPr>
              <w:spacing w:after="60" w:before="40"/>
            </w:pPr>
            <w:r>
              <w:rPr>
                <w:sz w:val="17"/>
              </w:rPr>
              <w:t>Q/M</w:t>
            </w:r>
          </w:p>
        </w:tc>
        <w:tc>
          <w:tcPr>
            <w:tcW w:type="dxa" w:w="3292"/>
          </w:tcPr>
          <w:p>
            <w:pPr>
              <w:spacing w:after="60" w:before="40"/>
            </w:pPr>
            <w:r>
              <w:rPr>
                <w:sz w:val="17"/>
              </w:rPr>
              <w:t>Teach signs and referral, not seasonal diagnosis</w:t>
            </w:r>
          </w:p>
        </w:tc>
        <w:tc>
          <w:tcPr>
            <w:tcW w:type="dxa" w:w="2095"/>
          </w:tcPr>
          <w:p>
            <w:pPr>
              <w:spacing w:after="60" w:before="40"/>
            </w:pPr>
            <w:r>
              <w:rPr>
                <w:sz w:val="17"/>
              </w:rPr>
              <w:t>Seasonality is not a diagnostic test</w:t>
            </w:r>
          </w:p>
        </w:tc>
        <w:tc>
          <w:tcPr>
            <w:tcW w:type="dxa" w:w="2693"/>
          </w:tcPr>
          <w:p>
            <w:pPr>
              <w:spacing w:after="60" w:before="40"/>
            </w:pPr>
            <w:hyperlink r:id="rId12">
              <w:r>
                <w:rPr>
                  <w:color w:val="165D67"/>
                  <w:u w:val="single"/>
                </w:rPr>
                <w:t>AAHA assessment</w:t>
              </w:r>
            </w:hyperlink>
          </w:p>
        </w:tc>
        <w:tc>
          <w:tcPr>
            <w:tcW w:type="dxa" w:w="2693"/>
          </w:tcPr>
          <w:p>
            <w:pPr>
              <w:spacing w:after="60" w:before="40"/>
            </w:pPr>
            <w:r>
              <w:rPr>
                <w:sz w:val="17"/>
              </w:rPr>
              <w:t>Symptom screening before calories</w:t>
            </w:r>
          </w:p>
        </w:tc>
      </w:tr>
      <w:tr>
        <w:tc>
          <w:tcPr>
            <w:tcW w:type="dxa" w:w="2992"/>
          </w:tcPr>
          <w:p>
            <w:pPr>
              <w:spacing w:after="60" w:before="40"/>
            </w:pPr>
            <w:r>
              <w:rPr>
                <w:sz w:val="17"/>
              </w:rPr>
              <w:t>Chicken/fish/egg/rice/kamote/kalabasa/malunggay “usually safe” (P79)</w:t>
            </w:r>
          </w:p>
        </w:tc>
        <w:tc>
          <w:tcPr>
            <w:tcW w:type="dxa" w:w="1197"/>
          </w:tcPr>
          <w:p>
            <w:pPr>
              <w:spacing w:after="60" w:before="40"/>
            </w:pPr>
            <w:r>
              <w:rPr>
                <w:sz w:val="17"/>
              </w:rPr>
              <w:t>Q/M</w:t>
            </w:r>
          </w:p>
        </w:tc>
        <w:tc>
          <w:tcPr>
            <w:tcW w:type="dxa" w:w="3292"/>
          </w:tcPr>
          <w:p>
            <w:pPr>
              <w:spacing w:after="60" w:before="40"/>
            </w:pPr>
            <w:r>
              <w:rPr>
                <w:sz w:val="17"/>
              </w:rPr>
              <w:t>Preparation, portions, allergies and evidence differ; malunggay needs review</w:t>
            </w:r>
          </w:p>
        </w:tc>
        <w:tc>
          <w:tcPr>
            <w:tcW w:type="dxa" w:w="2095"/>
          </w:tcPr>
          <w:p>
            <w:pPr>
              <w:spacing w:after="60" w:before="40"/>
            </w:pPr>
            <w:r>
              <w:rPr>
                <w:sz w:val="17"/>
              </w:rPr>
              <w:t>Ingredient safety is not complete-diet suitability</w:t>
            </w:r>
          </w:p>
        </w:tc>
        <w:tc>
          <w:tcPr>
            <w:tcW w:type="dxa" w:w="2693"/>
          </w:tcPr>
          <w:p>
            <w:pPr>
              <w:spacing w:after="60" w:before="40"/>
            </w:pPr>
            <w:hyperlink r:id="rId29">
              <w:r>
                <w:rPr>
                  <w:color w:val="165D67"/>
                  <w:u w:val="single"/>
                </w:rPr>
                <w:t>PhilFCT</w:t>
              </w:r>
            </w:hyperlink>
            <w:r>
              <w:rPr>
                <w:sz w:val="17"/>
              </w:rPr>
              <w:t>, section 11</w:t>
            </w:r>
          </w:p>
        </w:tc>
        <w:tc>
          <w:tcPr>
            <w:tcW w:type="dxa" w:w="2693"/>
          </w:tcPr>
          <w:p>
            <w:pPr>
              <w:spacing w:after="60" w:before="40"/>
            </w:pPr>
            <w:r>
              <w:rPr>
                <w:sz w:val="17"/>
              </w:rPr>
              <w:t>Ingredient records with restrictions</w:t>
            </w:r>
          </w:p>
        </w:tc>
      </w:tr>
      <w:tr>
        <w:tc>
          <w:tcPr>
            <w:tcW w:type="dxa" w:w="2992"/>
          </w:tcPr>
          <w:p>
            <w:pPr>
              <w:spacing w:after="60" w:before="40"/>
            </w:pPr>
            <w:r>
              <w:rPr>
                <w:sz w:val="17"/>
              </w:rPr>
              <w:t>Onion, garlic, bones, salty/soy/vinegar scraps are equal dangers (P80)</w:t>
            </w:r>
          </w:p>
        </w:tc>
        <w:tc>
          <w:tcPr>
            <w:tcW w:type="dxa" w:w="1197"/>
          </w:tcPr>
          <w:p>
            <w:pPr>
              <w:spacing w:after="60" w:before="40"/>
            </w:pPr>
            <w:r>
              <w:rPr>
                <w:sz w:val="17"/>
              </w:rPr>
              <w:t>Q/I</w:t>
            </w:r>
          </w:p>
        </w:tc>
        <w:tc>
          <w:tcPr>
            <w:tcW w:type="dxa" w:w="3292"/>
          </w:tcPr>
          <w:p>
            <w:pPr>
              <w:spacing w:after="60" w:before="40"/>
            </w:pPr>
            <w:r>
              <w:rPr>
                <w:sz w:val="17"/>
              </w:rPr>
              <w:t>Separate toxic allium, bone injury and recipe-dependent salt/fat; vinegar is not the same toxicant</w:t>
            </w:r>
          </w:p>
        </w:tc>
        <w:tc>
          <w:tcPr>
            <w:tcW w:type="dxa" w:w="2095"/>
          </w:tcPr>
          <w:p>
            <w:pPr>
              <w:spacing w:after="60" w:before="40"/>
            </w:pPr>
            <w:r>
              <w:rPr>
                <w:sz w:val="17"/>
              </w:rPr>
              <w:t>Avoid conflating mechanisms</w:t>
            </w:r>
          </w:p>
        </w:tc>
        <w:tc>
          <w:tcPr>
            <w:tcW w:type="dxa" w:w="2693"/>
          </w:tcPr>
          <w:p>
            <w:pPr>
              <w:spacing w:after="60" w:before="40"/>
            </w:pPr>
            <w:hyperlink r:id="rId30">
              <w:r>
                <w:rPr>
                  <w:color w:val="165D67"/>
                  <w:u w:val="single"/>
                </w:rPr>
                <w:t>FDA hazards</w:t>
              </w:r>
            </w:hyperlink>
          </w:p>
        </w:tc>
        <w:tc>
          <w:tcPr>
            <w:tcW w:type="dxa" w:w="2693"/>
          </w:tcPr>
          <w:p>
            <w:pPr>
              <w:spacing w:after="60" w:before="40"/>
            </w:pPr>
            <w:r>
              <w:rPr>
                <w:sz w:val="17"/>
              </w:rPr>
              <w:t>Categorized hazard engine</w:t>
            </w:r>
          </w:p>
        </w:tc>
      </w:tr>
      <w:tr>
        <w:tc>
          <w:tcPr>
            <w:tcW w:type="dxa" w:w="2992"/>
          </w:tcPr>
          <w:p>
            <w:pPr>
              <w:spacing w:after="60" w:before="40"/>
            </w:pPr>
            <w:r>
              <w:rPr>
                <w:sz w:val="17"/>
              </w:rPr>
              <w:t>Rice and scraps lack calcium/vitamins (P81)</w:t>
            </w:r>
          </w:p>
        </w:tc>
        <w:tc>
          <w:tcPr>
            <w:tcW w:type="dxa" w:w="1197"/>
          </w:tcPr>
          <w:p>
            <w:pPr>
              <w:spacing w:after="60" w:before="40"/>
            </w:pPr>
            <w:r>
              <w:rPr>
                <w:sz w:val="17"/>
              </w:rPr>
              <w:t>Q</w:t>
            </w:r>
          </w:p>
        </w:tc>
        <w:tc>
          <w:tcPr>
            <w:tcW w:type="dxa" w:w="3292"/>
          </w:tcPr>
          <w:p>
            <w:pPr>
              <w:spacing w:after="60" w:before="40"/>
            </w:pPr>
            <w:r>
              <w:rPr>
                <w:sz w:val="17"/>
              </w:rPr>
              <w:t>Such mixtures cannot be assumed complete</w:t>
            </w:r>
          </w:p>
        </w:tc>
        <w:tc>
          <w:tcPr>
            <w:tcW w:type="dxa" w:w="2095"/>
          </w:tcPr>
          <w:p>
            <w:pPr>
              <w:spacing w:after="60" w:before="40"/>
            </w:pPr>
            <w:r>
              <w:rPr>
                <w:sz w:val="17"/>
              </w:rPr>
              <w:t>More ingredients alone do not balance a recipe</w:t>
            </w:r>
          </w:p>
        </w:tc>
        <w:tc>
          <w:tcPr>
            <w:tcW w:type="dxa" w:w="2693"/>
          </w:tcPr>
          <w:p>
            <w:pPr>
              <w:spacing w:after="60" w:before="40"/>
            </w:pPr>
            <w:hyperlink r:id="rId31">
              <w:r>
                <w:rPr>
                  <w:color w:val="165D67"/>
                  <w:u w:val="single"/>
                </w:rPr>
                <w:t>UC Davis research</w:t>
              </w:r>
            </w:hyperlink>
          </w:p>
        </w:tc>
        <w:tc>
          <w:tcPr>
            <w:tcW w:type="dxa" w:w="2693"/>
          </w:tcPr>
          <w:p>
            <w:pPr>
              <w:spacing w:after="60" w:before="40"/>
            </w:pPr>
            <w:r>
              <w:rPr>
                <w:sz w:val="17"/>
              </w:rPr>
              <w:t>Homemade completeness blocked</w:t>
            </w:r>
          </w:p>
        </w:tc>
      </w:tr>
      <w:tr>
        <w:tc>
          <w:tcPr>
            <w:tcW w:type="dxa" w:w="2992"/>
          </w:tcPr>
          <w:p>
            <w:pPr>
              <w:spacing w:after="60" w:before="40"/>
            </w:pPr>
            <w:r>
              <w:rPr>
                <w:sz w:val="17"/>
              </w:rPr>
              <w:t>Allergy vs intolerance distinction and common foods (T83, P85)</w:t>
            </w:r>
          </w:p>
        </w:tc>
        <w:tc>
          <w:tcPr>
            <w:tcW w:type="dxa" w:w="1197"/>
          </w:tcPr>
          <w:p>
            <w:pPr>
              <w:spacing w:after="60" w:before="40"/>
            </w:pPr>
            <w:r>
              <w:rPr>
                <w:sz w:val="17"/>
              </w:rPr>
              <w:t>Q</w:t>
            </w:r>
          </w:p>
        </w:tc>
        <w:tc>
          <w:tcPr>
            <w:tcW w:type="dxa" w:w="3292"/>
          </w:tcPr>
          <w:p>
            <w:pPr>
              <w:spacing w:after="60" w:before="40"/>
            </w:pPr>
            <w:r>
              <w:rPr>
                <w:sz w:val="17"/>
              </w:rPr>
              <w:t>Ingredient history and diagnosis, not a universal blacklist</w:t>
            </w:r>
          </w:p>
        </w:tc>
        <w:tc>
          <w:tcPr>
            <w:tcW w:type="dxa" w:w="2095"/>
          </w:tcPr>
          <w:p>
            <w:pPr>
              <w:spacing w:after="60" w:before="40"/>
            </w:pPr>
            <w:r>
              <w:rPr>
                <w:sz w:val="17"/>
              </w:rPr>
              <w:t>Signs overlap with other conditions</w:t>
            </w:r>
          </w:p>
        </w:tc>
        <w:tc>
          <w:tcPr>
            <w:tcW w:type="dxa" w:w="2693"/>
          </w:tcPr>
          <w:p>
            <w:pPr>
              <w:spacing w:after="60" w:before="40"/>
            </w:pPr>
            <w:hyperlink r:id="rId32">
              <w:r>
                <w:rPr>
                  <w:color w:val="165D67"/>
                  <w:u w:val="single"/>
                </w:rPr>
                <w:t>AAHA allergy</w:t>
              </w:r>
            </w:hyperlink>
          </w:p>
        </w:tc>
        <w:tc>
          <w:tcPr>
            <w:tcW w:type="dxa" w:w="2693"/>
          </w:tcPr>
          <w:p>
            <w:pPr>
              <w:spacing w:after="60" w:before="40"/>
            </w:pPr>
            <w:r>
              <w:rPr>
                <w:sz w:val="17"/>
              </w:rPr>
              <w:t>Suspected and confirmed status separate</w:t>
            </w:r>
          </w:p>
        </w:tc>
      </w:tr>
      <w:tr>
        <w:tc>
          <w:tcPr>
            <w:tcW w:type="dxa" w:w="2992"/>
          </w:tcPr>
          <w:p>
            <w:pPr>
              <w:spacing w:after="60" w:before="40"/>
            </w:pPr>
            <w:r>
              <w:rPr>
                <w:sz w:val="17"/>
              </w:rPr>
              <w:t>Novel protein for 8–12 weeks confirms allergy (P86, P90)</w:t>
            </w:r>
          </w:p>
        </w:tc>
        <w:tc>
          <w:tcPr>
            <w:tcW w:type="dxa" w:w="1197"/>
          </w:tcPr>
          <w:p>
            <w:pPr>
              <w:spacing w:after="60" w:before="40"/>
            </w:pPr>
            <w:r>
              <w:rPr>
                <w:sz w:val="17"/>
              </w:rPr>
              <w:t>I/S</w:t>
            </w:r>
          </w:p>
        </w:tc>
        <w:tc>
          <w:tcPr>
            <w:tcW w:type="dxa" w:w="3292"/>
          </w:tcPr>
          <w:p>
            <w:pPr>
              <w:spacing w:after="60" w:before="40"/>
            </w:pPr>
            <w:r>
              <w:rPr>
                <w:sz w:val="17"/>
              </w:rPr>
              <w:t>Supervised strict trial, then challenge where appropriate</w:t>
            </w:r>
          </w:p>
        </w:tc>
        <w:tc>
          <w:tcPr>
            <w:tcW w:type="dxa" w:w="2095"/>
          </w:tcPr>
          <w:p>
            <w:pPr>
              <w:spacing w:after="60" w:before="40"/>
            </w:pPr>
            <w:r>
              <w:rPr>
                <w:sz w:val="17"/>
              </w:rPr>
              <w:t>Novelty alone does not confirm diagnosis or prevent contamination</w:t>
            </w:r>
          </w:p>
        </w:tc>
        <w:tc>
          <w:tcPr>
            <w:tcW w:type="dxa" w:w="2693"/>
          </w:tcPr>
          <w:p>
            <w:pPr>
              <w:spacing w:after="60" w:before="40"/>
            </w:pPr>
            <w:hyperlink r:id="rId33">
              <w:r>
                <w:rPr>
                  <w:color w:val="165D67"/>
                  <w:u w:val="single"/>
                </w:rPr>
                <w:t>AAHA allergy trial</w:t>
              </w:r>
            </w:hyperlink>
          </w:p>
        </w:tc>
        <w:tc>
          <w:tcPr>
            <w:tcW w:type="dxa" w:w="2693"/>
          </w:tcPr>
          <w:p>
            <w:pPr>
              <w:spacing w:after="60" w:before="40"/>
            </w:pPr>
            <w:r>
              <w:rPr>
                <w:sz w:val="17"/>
              </w:rPr>
              <w:t>No autonomous elimination recipes</w:t>
            </w:r>
          </w:p>
        </w:tc>
      </w:tr>
      <w:tr>
        <w:tc>
          <w:tcPr>
            <w:tcW w:type="dxa" w:w="2992"/>
          </w:tcPr>
          <w:p>
            <w:pPr>
              <w:spacing w:after="60" w:before="40"/>
            </w:pPr>
            <w:r>
              <w:rPr>
                <w:sz w:val="17"/>
              </w:rPr>
              <w:t>Exclude hidden chicken fat, gravy, meat meal (P88–89)</w:t>
            </w:r>
          </w:p>
        </w:tc>
        <w:tc>
          <w:tcPr>
            <w:tcW w:type="dxa" w:w="1197"/>
          </w:tcPr>
          <w:p>
            <w:pPr>
              <w:spacing w:after="60" w:before="40"/>
            </w:pPr>
            <w:r>
              <w:rPr>
                <w:sz w:val="17"/>
              </w:rPr>
              <w:t>Q</w:t>
            </w:r>
          </w:p>
        </w:tc>
        <w:tc>
          <w:tcPr>
            <w:tcW w:type="dxa" w:w="3292"/>
          </w:tcPr>
          <w:p>
            <w:pPr>
              <w:spacing w:after="60" w:before="40"/>
            </w:pPr>
            <w:r>
              <w:rPr>
                <w:sz w:val="17"/>
              </w:rPr>
              <w:t>Identify actual species, protein residues and manufacturer controls</w:t>
            </w:r>
          </w:p>
        </w:tc>
        <w:tc>
          <w:tcPr>
            <w:tcW w:type="dxa" w:w="2095"/>
          </w:tcPr>
          <w:p>
            <w:pPr>
              <w:spacing w:after="60" w:before="40"/>
            </w:pPr>
            <w:r>
              <w:rPr>
                <w:sz w:val="17"/>
              </w:rPr>
              <w:t>Purified fat is not identical to protein, but label uncertainty remains</w:t>
            </w:r>
          </w:p>
        </w:tc>
        <w:tc>
          <w:tcPr>
            <w:tcW w:type="dxa" w:w="2693"/>
          </w:tcPr>
          <w:p>
            <w:pPr>
              <w:spacing w:after="60" w:before="40"/>
            </w:pPr>
            <w:hyperlink r:id="rId33">
              <w:r>
                <w:rPr>
                  <w:color w:val="165D67"/>
                  <w:u w:val="single"/>
                </w:rPr>
                <w:t>AAHA allergy trial</w:t>
              </w:r>
            </w:hyperlink>
          </w:p>
        </w:tc>
        <w:tc>
          <w:tcPr>
            <w:tcW w:type="dxa" w:w="2693"/>
          </w:tcPr>
          <w:p>
            <w:pPr>
              <w:spacing w:after="60" w:before="40"/>
            </w:pPr>
            <w:r>
              <w:rPr>
                <w:sz w:val="17"/>
              </w:rPr>
              <w:t>No ingredient-name-only “allergy safe” badge</w:t>
            </w:r>
          </w:p>
        </w:tc>
      </w:tr>
      <w:tr>
        <w:tc>
          <w:tcPr>
            <w:tcW w:type="dxa" w:w="2992"/>
          </w:tcPr>
          <w:p>
            <w:pPr>
              <w:spacing w:after="60" w:before="40"/>
            </w:pPr>
            <w:r>
              <w:rPr>
                <w:sz w:val="17"/>
              </w:rPr>
              <w:t>Food reaction diary (P91)</w:t>
            </w:r>
          </w:p>
        </w:tc>
        <w:tc>
          <w:tcPr>
            <w:tcW w:type="dxa" w:w="1197"/>
          </w:tcPr>
          <w:p>
            <w:pPr>
              <w:spacing w:after="60" w:before="40"/>
            </w:pPr>
            <w:r>
              <w:rPr>
                <w:sz w:val="17"/>
              </w:rPr>
              <w:t>V</w:t>
            </w:r>
          </w:p>
        </w:tc>
        <w:tc>
          <w:tcPr>
            <w:tcW w:type="dxa" w:w="3292"/>
          </w:tcPr>
          <w:p>
            <w:pPr>
              <w:spacing w:after="60" w:before="40"/>
            </w:pPr>
            <w:r>
              <w:rPr>
                <w:sz w:val="17"/>
              </w:rPr>
              <w:t>Record timing, food versions, symptoms and clinician review</w:t>
            </w:r>
          </w:p>
        </w:tc>
        <w:tc>
          <w:tcPr>
            <w:tcW w:type="dxa" w:w="2095"/>
          </w:tcPr>
          <w:p>
            <w:pPr>
              <w:spacing w:after="60" w:before="40"/>
            </w:pPr>
            <w:r>
              <w:rPr>
                <w:sz w:val="17"/>
              </w:rPr>
              <w:t>Useful history, not proof of cause</w:t>
            </w:r>
          </w:p>
        </w:tc>
        <w:tc>
          <w:tcPr>
            <w:tcW w:type="dxa" w:w="2693"/>
          </w:tcPr>
          <w:p>
            <w:pPr>
              <w:spacing w:after="60" w:before="40"/>
            </w:pPr>
            <w:hyperlink r:id="rId32">
              <w:r>
                <w:rPr>
                  <w:color w:val="165D67"/>
                  <w:u w:val="single"/>
                </w:rPr>
                <w:t>AAHA allergy</w:t>
              </w:r>
            </w:hyperlink>
          </w:p>
        </w:tc>
        <w:tc>
          <w:tcPr>
            <w:tcW w:type="dxa" w:w="2693"/>
          </w:tcPr>
          <w:p>
            <w:pPr>
              <w:spacing w:after="60" w:before="40"/>
            </w:pPr>
            <w:r>
              <w:rPr>
                <w:sz w:val="17"/>
              </w:rPr>
              <w:t>No causal inference from one reaction</w:t>
            </w:r>
          </w:p>
        </w:tc>
      </w:tr>
      <w:tr>
        <w:tc>
          <w:tcPr>
            <w:tcW w:type="dxa" w:w="2992"/>
          </w:tcPr>
          <w:p>
            <w:pPr>
              <w:spacing w:after="60" w:before="40"/>
            </w:pPr>
            <w:r>
              <w:rPr>
                <w:sz w:val="17"/>
              </w:rPr>
              <w:t>Toxic-food list (P93)</w:t>
            </w:r>
          </w:p>
        </w:tc>
        <w:tc>
          <w:tcPr>
            <w:tcW w:type="dxa" w:w="1197"/>
          </w:tcPr>
          <w:p>
            <w:pPr>
              <w:spacing w:after="60" w:before="40"/>
            </w:pPr>
            <w:r>
              <w:rPr>
                <w:sz w:val="17"/>
              </w:rPr>
              <w:t>V/M</w:t>
            </w:r>
          </w:p>
        </w:tc>
        <w:tc>
          <w:tcPr>
            <w:tcW w:type="dxa" w:w="3292"/>
          </w:tcPr>
          <w:p>
            <w:pPr>
              <w:spacing w:after="60" w:before="40"/>
            </w:pPr>
            <w:r>
              <w:rPr>
                <w:sz w:val="17"/>
              </w:rPr>
              <w:t>Add caffeine, raw yeast dough, spoilage and physical hazards</w:t>
            </w:r>
          </w:p>
        </w:tc>
        <w:tc>
          <w:tcPr>
            <w:tcW w:type="dxa" w:w="2095"/>
          </w:tcPr>
          <w:p>
            <w:pPr>
              <w:spacing w:after="60" w:before="40"/>
            </w:pPr>
            <w:r>
              <w:rPr>
                <w:sz w:val="17"/>
              </w:rPr>
              <w:t>List is incomplete</w:t>
            </w:r>
          </w:p>
        </w:tc>
        <w:tc>
          <w:tcPr>
            <w:tcW w:type="dxa" w:w="2693"/>
          </w:tcPr>
          <w:p>
            <w:pPr>
              <w:spacing w:after="60" w:before="40"/>
            </w:pPr>
            <w:hyperlink r:id="rId30">
              <w:r>
                <w:rPr>
                  <w:color w:val="165D67"/>
                  <w:u w:val="single"/>
                </w:rPr>
                <w:t>FDA hazards</w:t>
              </w:r>
            </w:hyperlink>
            <w:r>
              <w:rPr>
                <w:sz w:val="17"/>
              </w:rPr>
              <w:t>, section 11</w:t>
            </w:r>
          </w:p>
        </w:tc>
        <w:tc>
          <w:tcPr>
            <w:tcW w:type="dxa" w:w="2693"/>
          </w:tcPr>
          <w:p>
            <w:pPr>
              <w:spacing w:after="60" w:before="40"/>
            </w:pPr>
            <w:r>
              <w:rPr>
                <w:sz w:val="17"/>
              </w:rPr>
              <w:t>Block hazards; ingestion referral</w:t>
            </w:r>
          </w:p>
        </w:tc>
      </w:tr>
      <w:tr>
        <w:tc>
          <w:tcPr>
            <w:tcW w:type="dxa" w:w="2992"/>
          </w:tcPr>
          <w:p>
            <w:pPr>
              <w:spacing w:after="60" w:before="40"/>
            </w:pPr>
            <w:r>
              <w:rPr>
                <w:sz w:val="17"/>
              </w:rPr>
              <w:t>Exact kcal for grams, named standard, monitoring (P95, P97, P99)</w:t>
            </w:r>
          </w:p>
        </w:tc>
        <w:tc>
          <w:tcPr>
            <w:tcW w:type="dxa" w:w="1197"/>
          </w:tcPr>
          <w:p>
            <w:pPr>
              <w:spacing w:after="60" w:before="40"/>
            </w:pPr>
            <w:r>
              <w:rPr>
                <w:sz w:val="17"/>
              </w:rPr>
              <w:t>V/Q</w:t>
            </w:r>
          </w:p>
        </w:tc>
        <w:tc>
          <w:tcPr>
            <w:tcW w:type="dxa" w:w="3292"/>
          </w:tcPr>
          <w:p>
            <w:pPr>
              <w:spacing w:after="60" w:before="40"/>
            </w:pPr>
            <w:r>
              <w:rPr>
                <w:sz w:val="17"/>
              </w:rPr>
              <w:t>Retain, with versioned source and individual review</w:t>
            </w:r>
          </w:p>
        </w:tc>
        <w:tc>
          <w:tcPr>
            <w:tcW w:type="dxa" w:w="2095"/>
          </w:tcPr>
          <w:p>
            <w:pPr>
              <w:spacing w:after="60" w:before="40"/>
            </w:pPr>
            <w:r>
              <w:rPr>
                <w:sz w:val="17"/>
              </w:rPr>
              <w:t>Sound implementation foundation</w:t>
            </w:r>
          </w:p>
        </w:tc>
        <w:tc>
          <w:tcPr>
            <w:tcW w:type="dxa" w:w="2693"/>
          </w:tcPr>
          <w:p>
            <w:pPr>
              <w:spacing w:after="60" w:before="40"/>
            </w:pPr>
            <w:hyperlink r:id="rId22">
              <w:r>
                <w:rPr>
                  <w:color w:val="165D67"/>
                  <w:u w:val="single"/>
                </w:rPr>
                <w:t>AAHA feeding</w:t>
              </w:r>
            </w:hyperlink>
          </w:p>
        </w:tc>
        <w:tc>
          <w:tcPr>
            <w:tcW w:type="dxa" w:w="2693"/>
          </w:tcPr>
          <w:p>
            <w:pPr>
              <w:spacing w:after="60" w:before="40"/>
            </w:pPr>
            <w:r>
              <w:rPr>
                <w:sz w:val="17"/>
              </w:rPr>
              <w:t>Immutable calculation history</w:t>
            </w:r>
          </w:p>
        </w:tc>
      </w:tr>
      <w:tr>
        <w:tc>
          <w:tcPr>
            <w:tcW w:type="dxa" w:w="2992"/>
          </w:tcPr>
          <w:p>
            <w:pPr>
              <w:spacing w:after="60" w:before="40"/>
            </w:pPr>
            <w:r>
              <w:rPr>
                <w:sz w:val="17"/>
              </w:rPr>
              <w:t>Add calcium/vitamins/minerals and homemade food is complete (P98)</w:t>
            </w:r>
          </w:p>
        </w:tc>
        <w:tc>
          <w:tcPr>
            <w:tcW w:type="dxa" w:w="1197"/>
          </w:tcPr>
          <w:p>
            <w:pPr>
              <w:spacing w:after="60" w:before="40"/>
            </w:pPr>
            <w:r>
              <w:rPr>
                <w:sz w:val="17"/>
              </w:rPr>
              <w:t>I/S</w:t>
            </w:r>
          </w:p>
        </w:tc>
        <w:tc>
          <w:tcPr>
            <w:tcW w:type="dxa" w:w="3292"/>
          </w:tcPr>
          <w:p>
            <w:pPr>
              <w:spacing w:after="60" w:before="40"/>
            </w:pPr>
            <w:r>
              <w:rPr>
                <w:sz w:val="17"/>
              </w:rPr>
              <w:t>Exact formulated recipe and premix, all nutrient constraints and professional validation required</w:t>
            </w:r>
          </w:p>
        </w:tc>
        <w:tc>
          <w:tcPr>
            <w:tcW w:type="dxa" w:w="2095"/>
          </w:tcPr>
          <w:p>
            <w:pPr>
              <w:spacing w:after="60" w:before="40"/>
            </w:pPr>
            <w:r>
              <w:rPr>
                <w:sz w:val="17"/>
              </w:rPr>
              <w:t>Generic supplements can leave deficits or create excess</w:t>
            </w:r>
          </w:p>
        </w:tc>
        <w:tc>
          <w:tcPr>
            <w:tcW w:type="dxa" w:w="2693"/>
          </w:tcPr>
          <w:p>
            <w:pPr>
              <w:spacing w:after="60" w:before="40"/>
            </w:pPr>
            <w:hyperlink r:id="rId34">
              <w:r>
                <w:rPr>
                  <w:color w:val="165D67"/>
                  <w:u w:val="single"/>
                </w:rPr>
                <w:t>UC Davis nutrition</w:t>
              </w:r>
            </w:hyperlink>
          </w:p>
        </w:tc>
        <w:tc>
          <w:tcPr>
            <w:tcW w:type="dxa" w:w="2693"/>
          </w:tcPr>
          <w:p>
            <w:pPr>
              <w:spacing w:after="60" w:before="40"/>
            </w:pPr>
            <w:r>
              <w:rPr>
                <w:sz w:val="17"/>
              </w:rPr>
              <w:t>No generic supplement solution</w:t>
            </w:r>
          </w:p>
        </w:tc>
      </w:tr>
      <w:tr>
        <w:tc>
          <w:tcPr>
            <w:tcW w:type="dxa" w:w="2992"/>
          </w:tcPr>
          <w:p>
            <w:pPr>
              <w:spacing w:after="60" w:before="40"/>
            </w:pPr>
            <w:r>
              <w:rPr>
                <w:sz w:val="17"/>
              </w:rPr>
              <w:t>General information and veterinary consultation (P102)</w:t>
            </w:r>
          </w:p>
        </w:tc>
        <w:tc>
          <w:tcPr>
            <w:tcW w:type="dxa" w:w="1197"/>
          </w:tcPr>
          <w:p>
            <w:pPr>
              <w:spacing w:after="60" w:before="40"/>
            </w:pPr>
            <w:r>
              <w:rPr>
                <w:sz w:val="17"/>
              </w:rPr>
              <w:t>V</w:t>
            </w:r>
          </w:p>
        </w:tc>
        <w:tc>
          <w:tcPr>
            <w:tcW w:type="dxa" w:w="3292"/>
          </w:tcPr>
          <w:p>
            <w:pPr>
              <w:spacing w:after="60" w:before="40"/>
            </w:pPr>
            <w:r>
              <w:rPr>
                <w:sz w:val="17"/>
              </w:rPr>
              <w:t>Keep clinical boundaries in actual behavior</w:t>
            </w:r>
          </w:p>
        </w:tc>
        <w:tc>
          <w:tcPr>
            <w:tcW w:type="dxa" w:w="2095"/>
          </w:tcPr>
          <w:p>
            <w:pPr>
              <w:spacing w:after="60" w:before="40"/>
            </w:pPr>
            <w:r>
              <w:rPr>
                <w:sz w:val="17"/>
              </w:rPr>
              <w:t>A disclaimer alone does not prevent unsafe outputs</w:t>
            </w:r>
          </w:p>
        </w:tc>
        <w:tc>
          <w:tcPr>
            <w:tcW w:type="dxa" w:w="2693"/>
          </w:tcPr>
          <w:p>
            <w:pPr>
              <w:spacing w:after="60" w:before="40"/>
            </w:pPr>
            <w:r>
              <w:rPr>
                <w:sz w:val="17"/>
              </w:rPr>
              <w:t>Vetify design policy</w:t>
            </w:r>
          </w:p>
        </w:tc>
        <w:tc>
          <w:tcPr>
            <w:tcW w:type="dxa" w:w="2693"/>
          </w:tcPr>
          <w:p>
            <w:pPr>
              <w:spacing w:after="60" w:before="40"/>
            </w:pPr>
            <w:r>
              <w:rPr>
                <w:sz w:val="17"/>
              </w:rPr>
              <w:t>Enforced blockers and review workflow</w:t>
            </w:r>
          </w:p>
        </w:tc>
      </w:tr>
    </w:tbl>
    <w:p>
      <w:pPr>
        <w:spacing w:after="0"/>
      </w:pPr>
    </w:p>
    <w:p>
      <w:pPr>
        <w:sectPr>
          <w:pgSz w:w="16834" w:h="11909" w:orient="landscape"/>
          <w:pgMar w:top="936" w:right="936" w:bottom="936" w:left="936" w:header="432" w:footer="432" w:gutter="0"/>
          <w:cols w:space="720"/>
          <w:docGrid w:linePitch="360"/>
        </w:sectPr>
      </w:pPr>
    </w:p>
    <w:p>
      <w:r>
        <w:rPr>
          <w:b/>
        </w:rPr>
        <w:t>Correction to the pasted task, rather than the guide:</w:t>
      </w:r>
      <w:r>
        <w:t xml:space="preserve"> </w:t>
      </w:r>
      <w:r>
        <w:rPr>
          <w:rFonts w:ascii="Consolas" w:hAnsi="Consolas"/>
          <w:sz w:val="18"/>
        </w:rPr>
        <w:t>DM nutrient % = as-fed nutrient % / DM fraction</w:t>
      </w:r>
      <w:r>
        <w:t xml:space="preserve">, without a second multiplication by 100. If both numerator and denominator are numeric percentages, the formula is </w:t>
      </w:r>
      <w:r>
        <w:rPr>
          <w:rFonts w:ascii="Consolas" w:hAnsi="Consolas"/>
          <w:sz w:val="18"/>
        </w:rPr>
        <w:t>(as-fed % / DM %) × 100</w:t>
      </w:r>
      <w:r>
        <w:t>. Section 9 demonstrates both forms. This correction prevents a 100-fold error.</w:t>
      </w:r>
    </w:p>
    <w:p>
      <w:bookmarkStart w:id="4" w:name="section_4"/>
      <w:pPr>
        <w:pStyle w:val="Heading1"/>
      </w:pPr>
      <w:r>
        <w:t>4. Research Methodology and References</w:t>
      </w:r>
      <w:bookmarkEnd w:id="4"/>
    </w:p>
    <w:p>
      <w:pPr>
        <w:pStyle w:val="Heading2"/>
      </w:pPr>
      <w:r>
        <w:t>4.1 Method</w:t>
      </w:r>
    </w:p>
    <w:p>
      <w:r>
        <w:t>Extract the entire Word body in document order, retain table cells, inventory numerical statements, compare primary sources, and check calculations independently. Search for current editions as of the research date, read table footnotes and units, and separate original claims from derived calculations and proposed application rules. Sources with no displayed publication date are marked undated instead of assigning their crawl date as a publication date.</w:t>
      </w:r>
    </w:p>
    <w:p>
      <w:pPr>
        <w:pStyle w:val="Heading2"/>
      </w:pPr>
      <w:r>
        <w:t>4.2 Reference roles and currency</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Reference</w:t>
            </w:r>
          </w:p>
        </w:tc>
        <w:tc>
          <w:tcPr>
            <w:tcW w:type="dxa" w:w="3346"/>
            <w:shd w:fill="154F59"/>
          </w:tcPr>
          <w:p>
            <w:pPr>
              <w:spacing w:after="60" w:before="40"/>
            </w:pPr>
            <w:r>
              <w:rPr>
                <w:b/>
                <w:color w:val="FFFFFF"/>
                <w:sz w:val="19"/>
              </w:rPr>
              <w:t>Verified edition/date</w:t>
            </w:r>
          </w:p>
        </w:tc>
        <w:tc>
          <w:tcPr>
            <w:tcW w:type="dxa" w:w="3346"/>
            <w:shd w:fill="154F59"/>
          </w:tcPr>
          <w:p>
            <w:pPr>
              <w:spacing w:after="60" w:before="40"/>
            </w:pPr>
            <w:r>
              <w:rPr>
                <w:b/>
                <w:color w:val="FFFFFF"/>
                <w:sz w:val="19"/>
              </w:rPr>
              <w:t>Role and limitation</w:t>
            </w:r>
          </w:p>
        </w:tc>
      </w:tr>
      <w:tr>
        <w:tc>
          <w:tcPr>
            <w:tcW w:type="dxa" w:w="3346"/>
          </w:tcPr>
          <w:p>
            <w:pPr>
              <w:spacing w:after="60" w:before="40"/>
            </w:pPr>
            <w:r>
              <w:rPr>
                <w:sz w:val="19"/>
              </w:rPr>
              <w:t>FEDIAF Nutritional Guidelines</w:t>
            </w:r>
          </w:p>
        </w:tc>
        <w:tc>
          <w:tcPr>
            <w:tcW w:type="dxa" w:w="3346"/>
          </w:tcPr>
          <w:p>
            <w:pPr>
              <w:spacing w:after="60" w:before="40"/>
            </w:pPr>
            <w:r>
              <w:rPr>
                <w:sz w:val="19"/>
              </w:rPr>
              <w:t>September 2025, official 98-page English PDF; current public download on research date</w:t>
            </w:r>
          </w:p>
        </w:tc>
        <w:tc>
          <w:tcPr>
            <w:tcW w:type="dxa" w:w="3346"/>
          </w:tcPr>
          <w:p>
            <w:pPr>
              <w:spacing w:after="60" w:before="40"/>
            </w:pPr>
            <w:r>
              <w:rPr>
                <w:sz w:val="19"/>
              </w:rPr>
              <w:t>Proposed numerical profile; canine tables only; healthy animals and practical diets; commercial reuse requires source-rights review</w:t>
            </w:r>
          </w:p>
        </w:tc>
      </w:tr>
      <w:tr>
        <w:tc>
          <w:tcPr>
            <w:tcW w:type="dxa" w:w="3346"/>
          </w:tcPr>
          <w:p>
            <w:pPr>
              <w:spacing w:after="60" w:before="40"/>
            </w:pPr>
            <w:r>
              <w:rPr>
                <w:sz w:val="19"/>
              </w:rPr>
              <w:t>AAHA Nutrition and Weight Management</w:t>
            </w:r>
          </w:p>
        </w:tc>
        <w:tc>
          <w:tcPr>
            <w:tcW w:type="dxa" w:w="3346"/>
          </w:tcPr>
          <w:p>
            <w:pPr>
              <w:spacing w:after="60" w:before="40"/>
            </w:pPr>
            <w:r>
              <w:rPr>
                <w:sz w:val="19"/>
              </w:rPr>
              <w:t>2021, published June 2021</w:t>
            </w:r>
          </w:p>
        </w:tc>
        <w:tc>
          <w:tcPr>
            <w:tcW w:type="dxa" w:w="3346"/>
          </w:tcPr>
          <w:p>
            <w:pPr>
              <w:spacing w:after="60" w:before="40"/>
            </w:pPr>
            <w:r>
              <w:rPr>
                <w:sz w:val="19"/>
              </w:rPr>
              <w:t>Clinical assessment, energy estimates, treat budget and follow-up, not a universal prescription</w:t>
            </w:r>
          </w:p>
        </w:tc>
      </w:tr>
      <w:tr>
        <w:tc>
          <w:tcPr>
            <w:tcW w:type="dxa" w:w="3346"/>
          </w:tcPr>
          <w:p>
            <w:pPr>
              <w:spacing w:after="60" w:before="40"/>
            </w:pPr>
            <w:r>
              <w:rPr>
                <w:sz w:val="19"/>
              </w:rPr>
              <w:t>AAFCO Official Publication</w:t>
            </w:r>
          </w:p>
        </w:tc>
        <w:tc>
          <w:tcPr>
            <w:tcW w:type="dxa" w:w="3346"/>
          </w:tcPr>
          <w:p>
            <w:pPr>
              <w:spacing w:after="60" w:before="40"/>
            </w:pPr>
            <w:r>
              <w:rPr>
                <w:sz w:val="19"/>
              </w:rPr>
              <w:t>2026 is offered by AAFCO</w:t>
            </w:r>
          </w:p>
        </w:tc>
        <w:tc>
          <w:tcPr>
            <w:tcW w:type="dxa" w:w="3346"/>
          </w:tcPr>
          <w:p>
            <w:pPr>
              <w:spacing w:after="60" w:before="40"/>
            </w:pPr>
            <w:r>
              <w:rPr>
                <w:sz w:val="19"/>
              </w:rPr>
              <w:t>Current licensed reference must be obtained before claiming exact 2026 profile compliance; public historical tables are not a substitute for edition verification</w:t>
            </w:r>
          </w:p>
        </w:tc>
      </w:tr>
      <w:tr>
        <w:tc>
          <w:tcPr>
            <w:tcW w:type="dxa" w:w="3346"/>
          </w:tcPr>
          <w:p>
            <w:pPr>
              <w:spacing w:after="60" w:before="40"/>
            </w:pPr>
            <w:r>
              <w:rPr>
                <w:sz w:val="19"/>
              </w:rPr>
              <w:t>NRC Nutrient Requirements</w:t>
            </w:r>
          </w:p>
        </w:tc>
        <w:tc>
          <w:tcPr>
            <w:tcW w:type="dxa" w:w="3346"/>
          </w:tcPr>
          <w:p>
            <w:pPr>
              <w:spacing w:after="60" w:before="40"/>
            </w:pPr>
            <w:r>
              <w:rPr>
                <w:sz w:val="19"/>
              </w:rPr>
              <w:t>2006, National Academies</w:t>
            </w:r>
          </w:p>
        </w:tc>
        <w:tc>
          <w:tcPr>
            <w:tcW w:type="dxa" w:w="3346"/>
          </w:tcPr>
          <w:p>
            <w:pPr>
              <w:spacing w:after="60" w:before="40"/>
            </w:pPr>
            <w:r>
              <w:rPr>
                <w:sz w:val="19"/>
              </w:rPr>
              <w:t>Scientific foundation; distinguish minimum requirement, allowance and tolerable upper limit; the book's title includes another species but only canine material is used</w:t>
            </w:r>
          </w:p>
        </w:tc>
      </w:tr>
      <w:tr>
        <w:tc>
          <w:tcPr>
            <w:tcW w:type="dxa" w:w="3346"/>
          </w:tcPr>
          <w:p>
            <w:pPr>
              <w:spacing w:after="60" w:before="40"/>
            </w:pPr>
            <w:r>
              <w:rPr>
                <w:sz w:val="19"/>
              </w:rPr>
              <w:t>WSAVA nutrition toolkit</w:t>
            </w:r>
          </w:p>
        </w:tc>
        <w:tc>
          <w:tcPr>
            <w:tcW w:type="dxa" w:w="3346"/>
          </w:tcPr>
          <w:p>
            <w:pPr>
              <w:spacing w:after="60" w:before="40"/>
            </w:pPr>
            <w:r>
              <w:rPr>
                <w:sz w:val="19"/>
              </w:rPr>
              <w:t>2011 assessment foundation; selecting-food update 2021; body-condition chart June 2025</w:t>
            </w:r>
          </w:p>
        </w:tc>
        <w:tc>
          <w:tcPr>
            <w:tcW w:type="dxa" w:w="3346"/>
          </w:tcPr>
          <w:p>
            <w:pPr>
              <w:spacing w:after="60" w:before="40"/>
            </w:pPr>
            <w:r>
              <w:rPr>
                <w:sz w:val="19"/>
              </w:rPr>
              <w:t>Screening, BCS/MCS, diet history and manufacturer questions; does not approve brands</w:t>
            </w:r>
          </w:p>
        </w:tc>
      </w:tr>
      <w:tr>
        <w:tc>
          <w:tcPr>
            <w:tcW w:type="dxa" w:w="3346"/>
          </w:tcPr>
          <w:p>
            <w:pPr>
              <w:spacing w:after="60" w:before="40"/>
            </w:pPr>
            <w:r>
              <w:rPr>
                <w:sz w:val="19"/>
              </w:rPr>
              <w:t>AAHA senior-care nutrition</w:t>
            </w:r>
          </w:p>
        </w:tc>
        <w:tc>
          <w:tcPr>
            <w:tcW w:type="dxa" w:w="3346"/>
          </w:tcPr>
          <w:p>
            <w:pPr>
              <w:spacing w:after="60" w:before="40"/>
            </w:pPr>
            <w:r>
              <w:rPr>
                <w:sz w:val="19"/>
              </w:rPr>
              <w:t>2023 guideline, nutrition page published December 2022</w:t>
            </w:r>
          </w:p>
        </w:tc>
        <w:tc>
          <w:tcPr>
            <w:tcW w:type="dxa" w:w="3346"/>
          </w:tcPr>
          <w:p>
            <w:pPr>
              <w:spacing w:after="60" w:before="40"/>
            </w:pPr>
            <w:r>
              <w:rPr>
                <w:sz w:val="19"/>
              </w:rPr>
              <w:t>Aging assessment; no automatic clinical diagnosis</w:t>
            </w:r>
          </w:p>
        </w:tc>
      </w:tr>
      <w:tr>
        <w:tc>
          <w:tcPr>
            <w:tcW w:type="dxa" w:w="3346"/>
          </w:tcPr>
          <w:p>
            <w:pPr>
              <w:spacing w:after="60" w:before="40"/>
            </w:pPr>
            <w:r>
              <w:rPr>
                <w:sz w:val="19"/>
              </w:rPr>
              <w:t>AAHA allergic-skin guidelines</w:t>
            </w:r>
          </w:p>
        </w:tc>
        <w:tc>
          <w:tcPr>
            <w:tcW w:type="dxa" w:w="3346"/>
          </w:tcPr>
          <w:p>
            <w:pPr>
              <w:spacing w:after="60" w:before="40"/>
            </w:pPr>
            <w:r>
              <w:rPr>
                <w:sz w:val="19"/>
              </w:rPr>
              <w:t>2023, November/December journal publication</w:t>
            </w:r>
          </w:p>
        </w:tc>
        <w:tc>
          <w:tcPr>
            <w:tcW w:type="dxa" w:w="3346"/>
          </w:tcPr>
          <w:p>
            <w:pPr>
              <w:spacing w:after="60" w:before="40"/>
            </w:pPr>
            <w:r>
              <w:rPr>
                <w:sz w:val="19"/>
              </w:rPr>
              <w:t>Diet-trial safeguards</w:t>
            </w:r>
          </w:p>
        </w:tc>
      </w:tr>
      <w:tr>
        <w:tc>
          <w:tcPr>
            <w:tcW w:type="dxa" w:w="3346"/>
          </w:tcPr>
          <w:p>
            <w:pPr>
              <w:spacing w:after="60" w:before="40"/>
            </w:pPr>
            <w:r>
              <w:rPr>
                <w:sz w:val="19"/>
              </w:rPr>
              <w:t>AAHA Diabetes Management for Dogs</w:t>
            </w:r>
          </w:p>
        </w:tc>
        <w:tc>
          <w:tcPr>
            <w:tcW w:type="dxa" w:w="3346"/>
          </w:tcPr>
          <w:p>
            <w:pPr>
              <w:spacing w:after="60" w:before="40"/>
            </w:pPr>
            <w:r>
              <w:rPr>
                <w:sz w:val="19"/>
              </w:rPr>
              <w:t>31 August 2026</w:t>
            </w:r>
          </w:p>
        </w:tc>
        <w:tc>
          <w:tcPr>
            <w:tcW w:type="dxa" w:w="3346"/>
          </w:tcPr>
          <w:p>
            <w:pPr>
              <w:spacing w:after="60" w:before="40"/>
            </w:pPr>
            <w:r>
              <w:rPr>
                <w:sz w:val="19"/>
              </w:rPr>
              <w:t>Current condition-specific guidance, used for referral boundaries rather than prescriptions</w:t>
            </w:r>
          </w:p>
        </w:tc>
      </w:tr>
      <w:tr>
        <w:tc>
          <w:tcPr>
            <w:tcW w:type="dxa" w:w="3346"/>
          </w:tcPr>
          <w:p>
            <w:pPr>
              <w:spacing w:after="60" w:before="40"/>
            </w:pPr>
            <w:r>
              <w:rPr>
                <w:sz w:val="19"/>
              </w:rPr>
              <w:t>Merck Veterinary Manual</w:t>
            </w:r>
          </w:p>
        </w:tc>
        <w:tc>
          <w:tcPr>
            <w:tcW w:type="dxa" w:w="3346"/>
          </w:tcPr>
          <w:p>
            <w:pPr>
              <w:spacing w:after="60" w:before="40"/>
            </w:pPr>
            <w:r>
              <w:rPr>
                <w:sz w:val="19"/>
              </w:rPr>
              <w:t>Nutrition review November 2023 where displayed; individual toxicology pages vary</w:t>
            </w:r>
          </w:p>
        </w:tc>
        <w:tc>
          <w:tcPr>
            <w:tcW w:type="dxa" w:w="3346"/>
          </w:tcPr>
          <w:p>
            <w:pPr>
              <w:spacing w:after="60" w:before="40"/>
            </w:pPr>
            <w:r>
              <w:rPr>
                <w:sz w:val="19"/>
              </w:rPr>
              <w:t>Reviewed clinical reference, not a license to automate patient-specific treatment</w:t>
            </w:r>
          </w:p>
        </w:tc>
      </w:tr>
      <w:tr>
        <w:tc>
          <w:tcPr>
            <w:tcW w:type="dxa" w:w="3346"/>
          </w:tcPr>
          <w:p>
            <w:pPr>
              <w:spacing w:after="60" w:before="40"/>
            </w:pPr>
            <w:r>
              <w:rPr>
                <w:sz w:val="19"/>
              </w:rPr>
              <w:t>DOST-FNRI PhilFCT; USDA FoodData Central</w:t>
            </w:r>
          </w:p>
        </w:tc>
        <w:tc>
          <w:tcPr>
            <w:tcW w:type="dxa" w:w="3346"/>
          </w:tcPr>
          <w:p>
            <w:pPr>
              <w:spacing w:after="60" w:before="40"/>
            </w:pPr>
            <w:r>
              <w:rPr>
                <w:sz w:val="19"/>
              </w:rPr>
              <w:t>Live databases; verify individual record/version dates</w:t>
            </w:r>
          </w:p>
        </w:tc>
        <w:tc>
          <w:tcPr>
            <w:tcW w:type="dxa" w:w="3346"/>
          </w:tcPr>
          <w:p>
            <w:pPr>
              <w:spacing w:after="60" w:before="40"/>
            </w:pPr>
            <w:r>
              <w:rPr>
                <w:sz w:val="19"/>
              </w:rPr>
              <w:t>Ingredient composition; human-food energy is not automatically measured canine ME</w:t>
            </w:r>
          </w:p>
        </w:tc>
      </w:tr>
      <w:tr>
        <w:tc>
          <w:tcPr>
            <w:tcW w:type="dxa" w:w="3346"/>
          </w:tcPr>
          <w:p>
            <w:pPr>
              <w:spacing w:after="60" w:before="40"/>
            </w:pPr>
            <w:r>
              <w:rPr>
                <w:sz w:val="19"/>
              </w:rPr>
              <w:t>USDA/FDA/PAGASA</w:t>
            </w:r>
          </w:p>
        </w:tc>
        <w:tc>
          <w:tcPr>
            <w:tcW w:type="dxa" w:w="3346"/>
          </w:tcPr>
          <w:p>
            <w:pPr>
              <w:spacing w:after="60" w:before="40"/>
            </w:pPr>
            <w:r>
              <w:rPr>
                <w:sz w:val="19"/>
              </w:rPr>
              <w:t>Live official guidance; date each record where available</w:t>
            </w:r>
          </w:p>
        </w:tc>
        <w:tc>
          <w:tcPr>
            <w:tcW w:type="dxa" w:w="3346"/>
          </w:tcPr>
          <w:p>
            <w:pPr>
              <w:spacing w:after="60" w:before="40"/>
            </w:pPr>
            <w:r>
              <w:rPr>
                <w:sz w:val="19"/>
              </w:rPr>
              <w:t>Handling, product evidence, recalls and Philippine climate</w:t>
            </w:r>
          </w:p>
        </w:tc>
      </w:tr>
    </w:tbl>
    <w:p>
      <w:pPr>
        <w:spacing w:after="0"/>
      </w:pPr>
    </w:p>
    <w:p>
      <w:r>
        <w:t>Direct links and publication/access metadata are consolidated in section 23. FEDIAF pp. 15–17 contain canine nutrient units; p. 21 has conditional footnotes; pp. 22–27 provide canine substantiation; p. 56 contains canine growth/reproduction equations. The other-species pages are excluded from this design.</w:t>
      </w:r>
    </w:p>
    <w:p>
      <w:pPr>
        <w:pStyle w:val="Heading2"/>
      </w:pPr>
      <w:r>
        <w:t>4.3 Selection and governance</w:t>
      </w:r>
    </w:p>
    <w:p>
      <w:r>
        <w:t>The primary _proposal_ is FEDIAF 2025 numerical rules, supported by AAHA clinical workflow. Production selection is a reviewed versioned standard package, not the word “AAFCO/NRC” in a general guide. Do not combine the lowest minimums or largest maxima from different standards. If a product declares a different accepted adequacy standard, retain its declaration and evidence separately from a computational comparison.</w:t>
      </w:r>
    </w:p>
    <w:p>
      <w:r>
        <w:t>FEDIAF's website explicitly states conditions for duplication and commercial use. Resolve permission for embedding its publication or derived production datasets before release. Obtain current AAFCO access if evaluating its complete numeric profile. Record access/license status for PhilFCT and manufacturer data. These are implementation release gates; no publication is being republished as Vetify's own standard.</w:t>
      </w:r>
    </w:p>
    <w:p>
      <w:r>
        <w:t>Clinical reviewer sign-off should cover profile selection, all numerical imports, footnote branches, supported population, units, UI wording and reference-update policy. Current public evidence does not constitute that sign-off.</w:t>
      </w:r>
    </w:p>
    <w:p>
      <w:bookmarkStart w:id="5" w:name="section_5"/>
      <w:pPr>
        <w:pStyle w:val="Heading1"/>
      </w:pPr>
      <w:r>
        <w:t>5. Dog Profile Requirements</w:t>
      </w:r>
      <w:bookmarkEnd w:id="5"/>
    </w:p>
    <w:p>
      <w:pPr>
        <w:pStyle w:val="Heading2"/>
      </w:pPr>
      <w:r>
        <w:t>5.1 Input contract</w:t>
      </w:r>
    </w:p>
    <w:p>
      <w:r>
        <w:rPr>
          <w:b/>
        </w:rPr>
        <w:t>M</w:t>
      </w:r>
      <w:r>
        <w:t xml:space="preserve"> means mandatory for an automatically calculated plan, not for creating a basic dog record. </w:t>
      </w:r>
      <w:r>
        <w:rPr>
          <w:b/>
        </w:rPr>
        <w:t>C</w:t>
      </w:r>
      <w:r>
        <w:t xml:space="preserve"> means conditional; </w:t>
      </w:r>
      <w:r>
        <w:rPr>
          <w:b/>
        </w:rPr>
        <w:t>O</w:t>
      </w:r>
      <w:r>
        <w:t xml:space="preserve"> means optional. An explicit </w:t>
      </w:r>
      <w:r>
        <w:rPr>
          <w:rFonts w:ascii="Consolas" w:hAnsi="Consolas"/>
          <w:sz w:val="18"/>
        </w:rPr>
        <w:t>unknown</w:t>
      </w:r>
      <w:r>
        <w:t xml:space="preserve"> answer is different from </w:t>
      </w:r>
      <w:r>
        <w:rPr>
          <w:rFonts w:ascii="Consolas" w:hAnsi="Consolas"/>
          <w:sz w:val="18"/>
        </w:rPr>
        <w:t>false</w:t>
      </w:r>
      <w:r>
        <w:t>. Health screening asks about known diagnoses, prescribed food, appetite changes and weight changes; it does not require a healthy owner to enter laboratory results. Optional missing fields cannot silently become normal findings.</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Field</w:t>
            </w:r>
          </w:p>
        </w:tc>
        <w:tc>
          <w:tcPr>
            <w:tcW w:type="dxa" w:w="3740"/>
            <w:shd w:fill="154F59"/>
          </w:tcPr>
          <w:p>
            <w:pPr>
              <w:spacing w:after="60" w:before="40"/>
            </w:pPr>
            <w:r>
              <w:rPr>
                <w:b/>
                <w:color w:val="FFFFFF"/>
                <w:sz w:val="17"/>
              </w:rPr>
              <w:t>Required</w:t>
            </w:r>
          </w:p>
        </w:tc>
        <w:tc>
          <w:tcPr>
            <w:tcW w:type="dxa" w:w="3740"/>
            <w:shd w:fill="154F59"/>
          </w:tcPr>
          <w:p>
            <w:pPr>
              <w:spacing w:after="60" w:before="40"/>
            </w:pPr>
            <w:r>
              <w:rPr>
                <w:b/>
                <w:color w:val="FFFFFF"/>
                <w:sz w:val="17"/>
              </w:rPr>
              <w:t>Type and validation</w:t>
            </w:r>
          </w:p>
        </w:tc>
        <w:tc>
          <w:tcPr>
            <w:tcW w:type="dxa" w:w="3740"/>
            <w:shd w:fill="154F59"/>
          </w:tcPr>
          <w:p>
            <w:pPr>
              <w:spacing w:after="60" w:before="40"/>
            </w:pPr>
            <w:r>
              <w:rPr>
                <w:b/>
                <w:color w:val="FFFFFF"/>
                <w:sz w:val="17"/>
              </w:rPr>
              <w:t>Purpose and calculation effect</w:t>
            </w:r>
          </w:p>
        </w:tc>
      </w:tr>
      <w:tr>
        <w:tc>
          <w:tcPr>
            <w:tcW w:type="dxa" w:w="3740"/>
          </w:tcPr>
          <w:p>
            <w:pPr>
              <w:spacing w:after="60" w:before="40"/>
            </w:pPr>
            <w:r>
              <w:rPr>
                <w:rFonts w:ascii="Consolas" w:hAnsi="Consolas"/>
                <w:sz w:val="17"/>
              </w:rPr>
              <w:t>id</w:t>
            </w:r>
            <w:r>
              <w:rPr>
                <w:sz w:val="17"/>
              </w:rPr>
              <w:t xml:space="preserve">, </w:t>
            </w:r>
            <w:r>
              <w:rPr>
                <w:rFonts w:ascii="Consolas" w:hAnsi="Consolas"/>
                <w:sz w:val="17"/>
              </w:rPr>
              <w:t>ownerId</w:t>
            </w:r>
            <w:r>
              <w:rPr>
                <w:sz w:val="17"/>
              </w:rPr>
              <w:t xml:space="preserve">, </w:t>
            </w:r>
            <w:r>
              <w:rPr>
                <w:rFonts w:ascii="Consolas" w:hAnsi="Consolas"/>
                <w:sz w:val="17"/>
              </w:rPr>
              <w:t>revision</w:t>
            </w:r>
          </w:p>
        </w:tc>
        <w:tc>
          <w:tcPr>
            <w:tcW w:type="dxa" w:w="3740"/>
          </w:tcPr>
          <w:p>
            <w:pPr>
              <w:spacing w:after="60" w:before="40"/>
            </w:pPr>
            <w:r>
              <w:rPr>
                <w:sz w:val="17"/>
              </w:rPr>
              <w:t>Server</w:t>
            </w:r>
          </w:p>
        </w:tc>
        <w:tc>
          <w:tcPr>
            <w:tcW w:type="dxa" w:w="3740"/>
          </w:tcPr>
          <w:p>
            <w:pPr>
              <w:spacing w:after="60" w:before="40"/>
            </w:pPr>
            <w:r>
              <w:rPr>
                <w:sz w:val="17"/>
              </w:rPr>
              <w:t>ObjectId/string external principal; positive integer revision</w:t>
            </w:r>
          </w:p>
        </w:tc>
        <w:tc>
          <w:tcPr>
            <w:tcW w:type="dxa" w:w="3740"/>
          </w:tcPr>
          <w:p>
            <w:pPr>
              <w:spacing w:after="60" w:before="40"/>
            </w:pPr>
            <w:r>
              <w:rPr>
                <w:sz w:val="17"/>
              </w:rPr>
              <w:t>Owner isolation, optimistic concurrency and snapshots; never accept owner identity from the request body</w:t>
            </w:r>
          </w:p>
        </w:tc>
      </w:tr>
      <w:tr>
        <w:tc>
          <w:tcPr>
            <w:tcW w:type="dxa" w:w="3740"/>
          </w:tcPr>
          <w:p>
            <w:pPr>
              <w:spacing w:after="60" w:before="40"/>
            </w:pPr>
            <w:r>
              <w:rPr>
                <w:rFonts w:ascii="Consolas" w:hAnsi="Consolas"/>
                <w:sz w:val="17"/>
              </w:rPr>
              <w:t>species</w:t>
            </w:r>
          </w:p>
        </w:tc>
        <w:tc>
          <w:tcPr>
            <w:tcW w:type="dxa" w:w="3740"/>
          </w:tcPr>
          <w:p>
            <w:pPr>
              <w:spacing w:after="60" w:before="40"/>
            </w:pPr>
            <w:r>
              <w:rPr>
                <w:sz w:val="17"/>
              </w:rPr>
              <w:t>M</w:t>
            </w:r>
          </w:p>
        </w:tc>
        <w:tc>
          <w:tcPr>
            <w:tcW w:type="dxa" w:w="3740"/>
          </w:tcPr>
          <w:p>
            <w:pPr>
              <w:spacing w:after="60" w:before="40"/>
            </w:pPr>
            <w:r>
              <w:rPr>
                <w:sz w:val="17"/>
              </w:rPr>
              <w:t xml:space="preserve">Literal </w:t>
            </w:r>
            <w:r>
              <w:rPr>
                <w:rFonts w:ascii="Consolas" w:hAnsi="Consolas"/>
                <w:sz w:val="17"/>
              </w:rPr>
              <w:t>dog</w:t>
            </w:r>
          </w:p>
        </w:tc>
        <w:tc>
          <w:tcPr>
            <w:tcW w:type="dxa" w:w="3740"/>
          </w:tcPr>
          <w:p>
            <w:pPr>
              <w:spacing w:after="60" w:before="40"/>
            </w:pPr>
            <w:r>
              <w:rPr>
                <w:sz w:val="17"/>
              </w:rPr>
              <w:t>Reject other species in this feature</w:t>
            </w:r>
          </w:p>
        </w:tc>
      </w:tr>
      <w:tr>
        <w:tc>
          <w:tcPr>
            <w:tcW w:type="dxa" w:w="3740"/>
          </w:tcPr>
          <w:p>
            <w:pPr>
              <w:spacing w:after="60" w:before="40"/>
            </w:pPr>
            <w:r>
              <w:rPr>
                <w:rFonts w:ascii="Consolas" w:hAnsi="Consolas"/>
                <w:sz w:val="17"/>
              </w:rPr>
              <w:t>name</w:t>
            </w:r>
          </w:p>
        </w:tc>
        <w:tc>
          <w:tcPr>
            <w:tcW w:type="dxa" w:w="3740"/>
          </w:tcPr>
          <w:p>
            <w:pPr>
              <w:spacing w:after="60" w:before="40"/>
            </w:pPr>
            <w:r>
              <w:rPr>
                <w:sz w:val="17"/>
              </w:rPr>
              <w:t>M</w:t>
            </w:r>
          </w:p>
        </w:tc>
        <w:tc>
          <w:tcPr>
            <w:tcW w:type="dxa" w:w="3740"/>
          </w:tcPr>
          <w:p>
            <w:pPr>
              <w:spacing w:after="60" w:before="40"/>
            </w:pPr>
            <w:r>
              <w:rPr>
                <w:sz w:val="17"/>
              </w:rPr>
              <w:t>Trimmed string, 1–80 characters</w:t>
            </w:r>
          </w:p>
        </w:tc>
        <w:tc>
          <w:tcPr>
            <w:tcW w:type="dxa" w:w="3740"/>
          </w:tcPr>
          <w:p>
            <w:pPr>
              <w:spacing w:after="60" w:before="40"/>
            </w:pPr>
            <w:r>
              <w:rPr>
                <w:sz w:val="17"/>
              </w:rPr>
              <w:t>Identification; no calorie effect</w:t>
            </w:r>
          </w:p>
        </w:tc>
      </w:tr>
      <w:tr>
        <w:tc>
          <w:tcPr>
            <w:tcW w:type="dxa" w:w="3740"/>
          </w:tcPr>
          <w:p>
            <w:pPr>
              <w:spacing w:after="60" w:before="40"/>
            </w:pPr>
            <w:r>
              <w:rPr>
                <w:rFonts w:ascii="Consolas" w:hAnsi="Consolas"/>
                <w:sz w:val="17"/>
              </w:rPr>
              <w:t>birthDate</w:t>
            </w:r>
          </w:p>
        </w:tc>
        <w:tc>
          <w:tcPr>
            <w:tcW w:type="dxa" w:w="3740"/>
          </w:tcPr>
          <w:p>
            <w:pPr>
              <w:spacing w:after="60" w:before="40"/>
            </w:pPr>
            <w:r>
              <w:rPr>
                <w:sz w:val="17"/>
              </w:rPr>
              <w:t>C</w:t>
            </w:r>
          </w:p>
        </w:tc>
        <w:tc>
          <w:tcPr>
            <w:tcW w:type="dxa" w:w="3740"/>
          </w:tcPr>
          <w:p>
            <w:pPr>
              <w:spacing w:after="60" w:before="40"/>
            </w:pPr>
            <w:r>
              <w:rPr>
                <w:sz w:val="17"/>
              </w:rPr>
              <w:t>ISO date, not future</w:t>
            </w:r>
          </w:p>
        </w:tc>
        <w:tc>
          <w:tcPr>
            <w:tcW w:type="dxa" w:w="3740"/>
          </w:tcPr>
          <w:p>
            <w:pPr>
              <w:spacing w:after="60" w:before="40"/>
            </w:pPr>
            <w:r>
              <w:rPr>
                <w:sz w:val="17"/>
              </w:rPr>
              <w:t>Exact age; use birth-date source if present</w:t>
            </w:r>
          </w:p>
        </w:tc>
      </w:tr>
      <w:tr>
        <w:tc>
          <w:tcPr>
            <w:tcW w:type="dxa" w:w="3740"/>
          </w:tcPr>
          <w:p>
            <w:pPr>
              <w:spacing w:after="60" w:before="40"/>
            </w:pPr>
            <w:r>
              <w:rPr>
                <w:rFonts w:ascii="Consolas" w:hAnsi="Consolas"/>
                <w:sz w:val="17"/>
              </w:rPr>
              <w:t>estimatedAgeMonths</w:t>
            </w:r>
            <w:r>
              <w:rPr>
                <w:sz w:val="17"/>
              </w:rPr>
              <w:t xml:space="preserve">, </w:t>
            </w:r>
            <w:r>
              <w:rPr>
                <w:rFonts w:ascii="Consolas" w:hAnsi="Consolas"/>
                <w:sz w:val="17"/>
              </w:rPr>
              <w:t>ageEstimatedAt</w:t>
            </w:r>
          </w:p>
        </w:tc>
        <w:tc>
          <w:tcPr>
            <w:tcW w:type="dxa" w:w="3740"/>
          </w:tcPr>
          <w:p>
            <w:pPr>
              <w:spacing w:after="60" w:before="40"/>
            </w:pPr>
            <w:r>
              <w:rPr>
                <w:sz w:val="17"/>
              </w:rPr>
              <w:t>C</w:t>
            </w:r>
          </w:p>
        </w:tc>
        <w:tc>
          <w:tcPr>
            <w:tcW w:type="dxa" w:w="3740"/>
          </w:tcPr>
          <w:p>
            <w:pPr>
              <w:spacing w:after="60" w:before="40"/>
            </w:pPr>
            <w:r>
              <w:rPr>
                <w:sz w:val="17"/>
              </w:rPr>
              <w:t>Nonnegative finite number and ISO date; date required with estimate</w:t>
            </w:r>
          </w:p>
        </w:tc>
        <w:tc>
          <w:tcPr>
            <w:tcW w:type="dxa" w:w="3740"/>
          </w:tcPr>
          <w:p>
            <w:pPr>
              <w:spacing w:after="60" w:before="40"/>
            </w:pPr>
            <w:r>
              <w:rPr>
                <w:sz w:val="17"/>
              </w:rPr>
              <w:t>Alternative to birth date; age advances from estimate date; reject conflicting alternatives</w:t>
            </w:r>
          </w:p>
        </w:tc>
      </w:tr>
      <w:tr>
        <w:tc>
          <w:tcPr>
            <w:tcW w:type="dxa" w:w="3740"/>
          </w:tcPr>
          <w:p>
            <w:pPr>
              <w:spacing w:after="60" w:before="40"/>
            </w:pPr>
            <w:r>
              <w:rPr>
                <w:rFonts w:ascii="Consolas" w:hAnsi="Consolas"/>
                <w:sz w:val="17"/>
              </w:rPr>
              <w:t>ageConfidence</w:t>
            </w:r>
          </w:p>
        </w:tc>
        <w:tc>
          <w:tcPr>
            <w:tcW w:type="dxa" w:w="3740"/>
          </w:tcPr>
          <w:p>
            <w:pPr>
              <w:spacing w:after="60" w:before="40"/>
            </w:pPr>
            <w:r>
              <w:rPr>
                <w:sz w:val="17"/>
              </w:rPr>
              <w:t>M</w:t>
            </w:r>
          </w:p>
        </w:tc>
        <w:tc>
          <w:tcPr>
            <w:tcW w:type="dxa" w:w="3740"/>
          </w:tcPr>
          <w:p>
            <w:pPr>
              <w:spacing w:after="60" w:before="40"/>
            </w:pPr>
            <w:r>
              <w:rPr>
                <w:rFonts w:ascii="Consolas" w:hAnsi="Consolas"/>
                <w:sz w:val="17"/>
              </w:rPr>
              <w:t>exact</w:t>
            </w:r>
            <w:r>
              <w:rPr>
                <w:sz w:val="17"/>
              </w:rPr>
              <w:t xml:space="preserve">, </w:t>
            </w:r>
            <w:r>
              <w:rPr>
                <w:rFonts w:ascii="Consolas" w:hAnsi="Consolas"/>
                <w:sz w:val="17"/>
              </w:rPr>
              <w:t>estimated</w:t>
            </w:r>
            <w:r>
              <w:rPr>
                <w:sz w:val="17"/>
              </w:rPr>
              <w:t xml:space="preserve">, </w:t>
            </w:r>
            <w:r>
              <w:rPr>
                <w:rFonts w:ascii="Consolas" w:hAnsi="Consolas"/>
                <w:sz w:val="17"/>
              </w:rPr>
              <w:t>unknown</w:t>
            </w:r>
          </w:p>
        </w:tc>
        <w:tc>
          <w:tcPr>
            <w:tcW w:type="dxa" w:w="3740"/>
          </w:tcPr>
          <w:p>
            <w:pPr>
              <w:spacing w:after="60" w:before="40"/>
            </w:pPr>
            <w:r>
              <w:rPr>
                <w:sz w:val="17"/>
              </w:rPr>
              <w:t>Uncertain puppy boundaries require review; unknown age blocks automatic stage selection</w:t>
            </w:r>
          </w:p>
        </w:tc>
      </w:tr>
      <w:tr>
        <w:tc>
          <w:tcPr>
            <w:tcW w:type="dxa" w:w="3740"/>
          </w:tcPr>
          <w:p>
            <w:pPr>
              <w:spacing w:after="60" w:before="40"/>
            </w:pPr>
            <w:r>
              <w:rPr>
                <w:rFonts w:ascii="Consolas" w:hAnsi="Consolas"/>
                <w:sz w:val="17"/>
              </w:rPr>
              <w:t>breed</w:t>
            </w:r>
            <w:r>
              <w:rPr>
                <w:sz w:val="17"/>
              </w:rPr>
              <w:t xml:space="preserve">, </w:t>
            </w:r>
            <w:r>
              <w:rPr>
                <w:rFonts w:ascii="Consolas" w:hAnsi="Consolas"/>
                <w:sz w:val="17"/>
              </w:rPr>
              <w:t>mixedBreed</w:t>
            </w:r>
          </w:p>
        </w:tc>
        <w:tc>
          <w:tcPr>
            <w:tcW w:type="dxa" w:w="3740"/>
          </w:tcPr>
          <w:p>
            <w:pPr>
              <w:spacing w:after="60" w:before="40"/>
            </w:pPr>
            <w:r>
              <w:rPr>
                <w:sz w:val="17"/>
              </w:rPr>
              <w:t>O</w:t>
            </w:r>
          </w:p>
        </w:tc>
        <w:tc>
          <w:tcPr>
            <w:tcW w:type="dxa" w:w="3740"/>
          </w:tcPr>
          <w:p>
            <w:pPr>
              <w:spacing w:after="60" w:before="40"/>
            </w:pPr>
            <w:r>
              <w:rPr>
                <w:sz w:val="17"/>
              </w:rPr>
              <w:t>Catalog ID plus free text; mixed flag</w:t>
            </w:r>
          </w:p>
        </w:tc>
        <w:tc>
          <w:tcPr>
            <w:tcW w:type="dxa" w:w="3740"/>
          </w:tcPr>
          <w:p>
            <w:pPr>
              <w:spacing w:after="60" w:before="40"/>
            </w:pPr>
            <w:r>
              <w:rPr>
                <w:sz w:val="17"/>
              </w:rPr>
              <w:t>Growth/clinical screening context; no fixed breed multiplier or hard diagnostic weight maximum</w:t>
            </w:r>
          </w:p>
        </w:tc>
      </w:tr>
      <w:tr>
        <w:tc>
          <w:tcPr>
            <w:tcW w:type="dxa" w:w="3740"/>
          </w:tcPr>
          <w:p>
            <w:pPr>
              <w:spacing w:after="60" w:before="40"/>
            </w:pPr>
            <w:r>
              <w:rPr>
                <w:rFonts w:ascii="Consolas" w:hAnsi="Consolas"/>
                <w:sz w:val="17"/>
              </w:rPr>
              <w:t>currentWeightKg</w:t>
            </w:r>
            <w:r>
              <w:rPr>
                <w:sz w:val="17"/>
              </w:rPr>
              <w:t xml:space="preserve">, </w:t>
            </w:r>
            <w:r>
              <w:rPr>
                <w:rFonts w:ascii="Consolas" w:hAnsi="Consolas"/>
                <w:sz w:val="17"/>
              </w:rPr>
              <w:t>weighedAt</w:t>
            </w:r>
          </w:p>
        </w:tc>
        <w:tc>
          <w:tcPr>
            <w:tcW w:type="dxa" w:w="3740"/>
          </w:tcPr>
          <w:p>
            <w:pPr>
              <w:spacing w:after="60" w:before="40"/>
            </w:pPr>
            <w:r>
              <w:rPr>
                <w:sz w:val="17"/>
              </w:rPr>
              <w:t>M</w:t>
            </w:r>
          </w:p>
        </w:tc>
        <w:tc>
          <w:tcPr>
            <w:tcW w:type="dxa" w:w="3740"/>
          </w:tcPr>
          <w:p>
            <w:pPr>
              <w:spacing w:after="60" w:before="40"/>
            </w:pPr>
            <w:r>
              <w:rPr>
                <w:sz w:val="17"/>
              </w:rPr>
              <w:t>Finite number &gt;0; ISO date, not future</w:t>
            </w:r>
          </w:p>
        </w:tc>
        <w:tc>
          <w:tcPr>
            <w:tcW w:type="dxa" w:w="3740"/>
          </w:tcPr>
          <w:p>
            <w:pPr>
              <w:spacing w:after="60" w:before="40"/>
            </w:pPr>
            <w:r>
              <w:rPr>
                <w:sz w:val="17"/>
              </w:rPr>
              <w:t>Current weight basis; reject zero, negative, NaN, infinity and wrong units</w:t>
            </w:r>
          </w:p>
        </w:tc>
      </w:tr>
      <w:tr>
        <w:tc>
          <w:tcPr>
            <w:tcW w:type="dxa" w:w="3740"/>
          </w:tcPr>
          <w:p>
            <w:pPr>
              <w:spacing w:after="60" w:before="40"/>
            </w:pPr>
            <w:r>
              <w:rPr>
                <w:rFonts w:ascii="Consolas" w:hAnsi="Consolas"/>
                <w:sz w:val="17"/>
              </w:rPr>
              <w:t>weightMeasurementSource</w:t>
            </w:r>
          </w:p>
        </w:tc>
        <w:tc>
          <w:tcPr>
            <w:tcW w:type="dxa" w:w="3740"/>
          </w:tcPr>
          <w:p>
            <w:pPr>
              <w:spacing w:after="60" w:before="40"/>
            </w:pPr>
            <w:r>
              <w:rPr>
                <w:sz w:val="17"/>
              </w:rPr>
              <w:t>O</w:t>
            </w:r>
          </w:p>
        </w:tc>
        <w:tc>
          <w:tcPr>
            <w:tcW w:type="dxa" w:w="3740"/>
          </w:tcPr>
          <w:p>
            <w:pPr>
              <w:spacing w:after="60" w:before="40"/>
            </w:pPr>
            <w:r>
              <w:rPr>
                <w:rFonts w:ascii="Consolas" w:hAnsi="Consolas"/>
                <w:sz w:val="17"/>
              </w:rPr>
              <w:t>clinic</w:t>
            </w:r>
            <w:r>
              <w:rPr>
                <w:sz w:val="17"/>
              </w:rPr>
              <w:t xml:space="preserve">, </w:t>
            </w:r>
            <w:r>
              <w:rPr>
                <w:rFonts w:ascii="Consolas" w:hAnsi="Consolas"/>
                <w:sz w:val="17"/>
              </w:rPr>
              <w:t>home_scale</w:t>
            </w:r>
            <w:r>
              <w:rPr>
                <w:sz w:val="17"/>
              </w:rPr>
              <w:t xml:space="preserve">, </w:t>
            </w:r>
            <w:r>
              <w:rPr>
                <w:rFonts w:ascii="Consolas" w:hAnsi="Consolas"/>
                <w:sz w:val="17"/>
              </w:rPr>
              <w:t>estimated</w:t>
            </w:r>
          </w:p>
        </w:tc>
        <w:tc>
          <w:tcPr>
            <w:tcW w:type="dxa" w:w="3740"/>
          </w:tcPr>
          <w:p>
            <w:pPr>
              <w:spacing w:after="60" w:before="40"/>
            </w:pPr>
            <w:r>
              <w:rPr>
                <w:sz w:val="17"/>
              </w:rPr>
              <w:t>Estimated rather than measured weight blocks automatic approval</w:t>
            </w:r>
          </w:p>
        </w:tc>
      </w:tr>
      <w:tr>
        <w:tc>
          <w:tcPr>
            <w:tcW w:type="dxa" w:w="3740"/>
          </w:tcPr>
          <w:p>
            <w:pPr>
              <w:spacing w:after="60" w:before="40"/>
            </w:pPr>
            <w:r>
              <w:rPr>
                <w:rFonts w:ascii="Consolas" w:hAnsi="Consolas"/>
                <w:sz w:val="17"/>
              </w:rPr>
              <w:t>expectedAdultWeightKg</w:t>
            </w:r>
          </w:p>
        </w:tc>
        <w:tc>
          <w:tcPr>
            <w:tcW w:type="dxa" w:w="3740"/>
          </w:tcPr>
          <w:p>
            <w:pPr>
              <w:spacing w:after="60" w:before="40"/>
            </w:pPr>
            <w:r>
              <w:rPr>
                <w:sz w:val="17"/>
              </w:rPr>
              <w:t>C</w:t>
            </w:r>
          </w:p>
        </w:tc>
        <w:tc>
          <w:tcPr>
            <w:tcW w:type="dxa" w:w="3740"/>
          </w:tcPr>
          <w:p>
            <w:pPr>
              <w:spacing w:after="60" w:before="40"/>
            </w:pPr>
            <w:r>
              <w:rPr>
                <w:sz w:val="17"/>
              </w:rPr>
              <w:t>&gt;0, with source/date/confidence</w:t>
            </w:r>
          </w:p>
        </w:tc>
        <w:tc>
          <w:tcPr>
            <w:tcW w:type="dxa" w:w="3740"/>
          </w:tcPr>
          <w:p>
            <w:pPr>
              <w:spacing w:after="60" w:before="40"/>
            </w:pPr>
            <w:r>
              <w:rPr>
                <w:sz w:val="17"/>
              </w:rPr>
              <w:t>Required for FEDIAF growth method and size branch; not substituted for current weight in RER</w:t>
            </w:r>
          </w:p>
        </w:tc>
      </w:tr>
      <w:tr>
        <w:tc>
          <w:tcPr>
            <w:tcW w:type="dxa" w:w="3740"/>
          </w:tcPr>
          <w:p>
            <w:pPr>
              <w:spacing w:after="60" w:before="40"/>
            </w:pPr>
            <w:r>
              <w:rPr>
                <w:rFonts w:ascii="Consolas" w:hAnsi="Consolas"/>
                <w:sz w:val="17"/>
              </w:rPr>
              <w:t>sex</w:t>
            </w:r>
          </w:p>
        </w:tc>
        <w:tc>
          <w:tcPr>
            <w:tcW w:type="dxa" w:w="3740"/>
          </w:tcPr>
          <w:p>
            <w:pPr>
              <w:spacing w:after="60" w:before="40"/>
            </w:pPr>
            <w:r>
              <w:rPr>
                <w:sz w:val="17"/>
              </w:rPr>
              <w:t>M</w:t>
            </w:r>
          </w:p>
        </w:tc>
        <w:tc>
          <w:tcPr>
            <w:tcW w:type="dxa" w:w="3740"/>
          </w:tcPr>
          <w:p>
            <w:pPr>
              <w:spacing w:after="60" w:before="40"/>
            </w:pPr>
            <w:r>
              <w:rPr>
                <w:rFonts w:ascii="Consolas" w:hAnsi="Consolas"/>
                <w:sz w:val="17"/>
              </w:rPr>
              <w:t>female</w:t>
            </w:r>
            <w:r>
              <w:rPr>
                <w:sz w:val="17"/>
              </w:rPr>
              <w:t xml:space="preserve">, </w:t>
            </w:r>
            <w:r>
              <w:rPr>
                <w:rFonts w:ascii="Consolas" w:hAnsi="Consolas"/>
                <w:sz w:val="17"/>
              </w:rPr>
              <w:t>male</w:t>
            </w:r>
            <w:r>
              <w:rPr>
                <w:sz w:val="17"/>
              </w:rPr>
              <w:t xml:space="preserve">, </w:t>
            </w:r>
            <w:r>
              <w:rPr>
                <w:rFonts w:ascii="Consolas" w:hAnsi="Consolas"/>
                <w:sz w:val="17"/>
              </w:rPr>
              <w:t>unknown</w:t>
            </w:r>
          </w:p>
        </w:tc>
        <w:tc>
          <w:tcPr>
            <w:tcW w:type="dxa" w:w="3740"/>
          </w:tcPr>
          <w:p>
            <w:pPr>
              <w:spacing w:after="60" w:before="40"/>
            </w:pPr>
            <w:r>
              <w:rPr>
                <w:sz w:val="17"/>
              </w:rPr>
              <w:t>Reproductive screening; unknown cannot establish absence of reproduction</w:t>
            </w:r>
          </w:p>
        </w:tc>
      </w:tr>
      <w:tr>
        <w:tc>
          <w:tcPr>
            <w:tcW w:type="dxa" w:w="3740"/>
          </w:tcPr>
          <w:p>
            <w:pPr>
              <w:spacing w:after="60" w:before="40"/>
            </w:pPr>
            <w:r>
              <w:rPr>
                <w:rFonts w:ascii="Consolas" w:hAnsi="Consolas"/>
                <w:sz w:val="17"/>
              </w:rPr>
              <w:t>neuterStatus</w:t>
            </w:r>
          </w:p>
        </w:tc>
        <w:tc>
          <w:tcPr>
            <w:tcW w:type="dxa" w:w="3740"/>
          </w:tcPr>
          <w:p>
            <w:pPr>
              <w:spacing w:after="60" w:before="40"/>
            </w:pPr>
            <w:r>
              <w:rPr>
                <w:sz w:val="17"/>
              </w:rPr>
              <w:t>M</w:t>
            </w:r>
          </w:p>
        </w:tc>
        <w:tc>
          <w:tcPr>
            <w:tcW w:type="dxa" w:w="3740"/>
          </w:tcPr>
          <w:p>
            <w:pPr>
              <w:spacing w:after="60" w:before="40"/>
            </w:pPr>
            <w:r>
              <w:rPr>
                <w:rFonts w:ascii="Consolas" w:hAnsi="Consolas"/>
                <w:sz w:val="17"/>
              </w:rPr>
              <w:t>neutered</w:t>
            </w:r>
            <w:r>
              <w:rPr>
                <w:sz w:val="17"/>
              </w:rPr>
              <w:t xml:space="preserve">, </w:t>
            </w:r>
            <w:r>
              <w:rPr>
                <w:rFonts w:ascii="Consolas" w:hAnsi="Consolas"/>
                <w:sz w:val="17"/>
              </w:rPr>
              <w:t>intact</w:t>
            </w:r>
            <w:r>
              <w:rPr>
                <w:sz w:val="17"/>
              </w:rPr>
              <w:t xml:space="preserve">, </w:t>
            </w:r>
            <w:r>
              <w:rPr>
                <w:rFonts w:ascii="Consolas" w:hAnsi="Consolas"/>
                <w:sz w:val="17"/>
              </w:rPr>
              <w:t>unknown</w:t>
            </w:r>
          </w:p>
        </w:tc>
        <w:tc>
          <w:tcPr>
            <w:tcW w:type="dxa" w:w="3740"/>
          </w:tcPr>
          <w:p>
            <w:pPr>
              <w:spacing w:after="60" w:before="40"/>
            </w:pPr>
            <w:r>
              <w:rPr>
                <w:sz w:val="17"/>
              </w:rPr>
              <w:t>Select adult starting range; unknown blocks default selection</w:t>
            </w:r>
          </w:p>
        </w:tc>
      </w:tr>
      <w:tr>
        <w:tc>
          <w:tcPr>
            <w:tcW w:type="dxa" w:w="3740"/>
          </w:tcPr>
          <w:p>
            <w:pPr>
              <w:spacing w:after="60" w:before="40"/>
            </w:pPr>
            <w:r>
              <w:rPr>
                <w:rFonts w:ascii="Consolas" w:hAnsi="Consolas"/>
                <w:sz w:val="17"/>
              </w:rPr>
              <w:t>neuteredAt</w:t>
            </w:r>
          </w:p>
        </w:tc>
        <w:tc>
          <w:tcPr>
            <w:tcW w:type="dxa" w:w="3740"/>
          </w:tcPr>
          <w:p>
            <w:pPr>
              <w:spacing w:after="60" w:before="40"/>
            </w:pPr>
            <w:r>
              <w:rPr>
                <w:sz w:val="17"/>
              </w:rPr>
              <w:t>O</w:t>
            </w:r>
          </w:p>
        </w:tc>
        <w:tc>
          <w:tcPr>
            <w:tcW w:type="dxa" w:w="3740"/>
          </w:tcPr>
          <w:p>
            <w:pPr>
              <w:spacing w:after="60" w:before="40"/>
            </w:pPr>
            <w:r>
              <w:rPr>
                <w:sz w:val="17"/>
              </w:rPr>
              <w:t>ISO date</w:t>
            </w:r>
          </w:p>
        </w:tc>
        <w:tc>
          <w:tcPr>
            <w:tcW w:type="dxa" w:w="3740"/>
          </w:tcPr>
          <w:p>
            <w:pPr>
              <w:spacing w:after="60" w:before="40"/>
            </w:pPr>
            <w:r>
              <w:rPr>
                <w:sz w:val="17"/>
              </w:rPr>
              <w:t>Change event requiring reassessment; do not apply a second neuter multiplier</w:t>
            </w:r>
          </w:p>
        </w:tc>
      </w:tr>
      <w:tr>
        <w:tc>
          <w:tcPr>
            <w:tcW w:type="dxa" w:w="3740"/>
          </w:tcPr>
          <w:p>
            <w:pPr>
              <w:spacing w:after="60" w:before="40"/>
            </w:pPr>
            <w:r>
              <w:rPr>
                <w:rFonts w:ascii="Consolas" w:hAnsi="Consolas"/>
                <w:sz w:val="17"/>
              </w:rPr>
              <w:t>growthStatus</w:t>
            </w:r>
          </w:p>
        </w:tc>
        <w:tc>
          <w:tcPr>
            <w:tcW w:type="dxa" w:w="3740"/>
          </w:tcPr>
          <w:p>
            <w:pPr>
              <w:spacing w:after="60" w:before="40"/>
            </w:pPr>
            <w:r>
              <w:rPr>
                <w:sz w:val="17"/>
              </w:rPr>
              <w:t>M</w:t>
            </w:r>
          </w:p>
        </w:tc>
        <w:tc>
          <w:tcPr>
            <w:tcW w:type="dxa" w:w="3740"/>
          </w:tcPr>
          <w:p>
            <w:pPr>
              <w:spacing w:after="60" w:before="40"/>
            </w:pPr>
            <w:r>
              <w:rPr>
                <w:rFonts w:ascii="Consolas" w:hAnsi="Consolas"/>
                <w:sz w:val="17"/>
              </w:rPr>
              <w:t>growing</w:t>
            </w:r>
            <w:r>
              <w:rPr>
                <w:sz w:val="17"/>
              </w:rPr>
              <w:t xml:space="preserve">, </w:t>
            </w:r>
            <w:r>
              <w:rPr>
                <w:rFonts w:ascii="Consolas" w:hAnsi="Consolas"/>
                <w:sz w:val="17"/>
              </w:rPr>
              <w:t>growth_complete</w:t>
            </w:r>
            <w:r>
              <w:rPr>
                <w:sz w:val="17"/>
              </w:rPr>
              <w:t xml:space="preserve">, </w:t>
            </w:r>
            <w:r>
              <w:rPr>
                <w:rFonts w:ascii="Consolas" w:hAnsi="Consolas"/>
                <w:sz w:val="17"/>
              </w:rPr>
              <w:t>uncertain</w:t>
            </w:r>
            <w:r>
              <w:rPr>
                <w:sz w:val="17"/>
              </w:rPr>
              <w:t>; source/date</w:t>
            </w:r>
          </w:p>
        </w:tc>
        <w:tc>
          <w:tcPr>
            <w:tcW w:type="dxa" w:w="3740"/>
          </w:tcPr>
          <w:p>
            <w:pPr>
              <w:spacing w:after="60" w:before="40"/>
            </w:pPr>
            <w:r>
              <w:rPr>
                <w:sz w:val="17"/>
              </w:rPr>
              <w:t>Developmental determination; age alone cannot certify completion</w:t>
            </w:r>
          </w:p>
        </w:tc>
      </w:tr>
      <w:tr>
        <w:tc>
          <w:tcPr>
            <w:tcW w:type="dxa" w:w="3740"/>
          </w:tcPr>
          <w:p>
            <w:pPr>
              <w:spacing w:after="60" w:before="40"/>
            </w:pPr>
            <w:r>
              <w:rPr>
                <w:rFonts w:ascii="Consolas" w:hAnsi="Consolas"/>
                <w:sz w:val="17"/>
              </w:rPr>
              <w:t>bcs</w:t>
            </w:r>
          </w:p>
        </w:tc>
        <w:tc>
          <w:tcPr>
            <w:tcW w:type="dxa" w:w="3740"/>
          </w:tcPr>
          <w:p>
            <w:pPr>
              <w:spacing w:after="60" w:before="40"/>
            </w:pPr>
            <w:r>
              <w:rPr>
                <w:sz w:val="17"/>
              </w:rPr>
              <w:t>M</w:t>
            </w:r>
          </w:p>
        </w:tc>
        <w:tc>
          <w:tcPr>
            <w:tcW w:type="dxa" w:w="3740"/>
          </w:tcPr>
          <w:p>
            <w:pPr>
              <w:spacing w:after="60" w:before="40"/>
            </w:pPr>
            <w:r>
              <w:rPr>
                <w:sz w:val="17"/>
              </w:rPr>
              <w:t>Integer 1–9, assessed date and owner/clinician source</w:t>
            </w:r>
          </w:p>
        </w:tc>
        <w:tc>
          <w:tcPr>
            <w:tcW w:type="dxa" w:w="3740"/>
          </w:tcPr>
          <w:p>
            <w:pPr>
              <w:spacing w:after="60" w:before="40"/>
            </w:pPr>
            <w:r>
              <w:rPr>
                <w:sz w:val="17"/>
              </w:rPr>
              <w:t>First-release automatic maintenance requires 4 or 5; 10 is invalid</w:t>
            </w:r>
          </w:p>
        </w:tc>
      </w:tr>
      <w:tr>
        <w:tc>
          <w:tcPr>
            <w:tcW w:type="dxa" w:w="3740"/>
          </w:tcPr>
          <w:p>
            <w:pPr>
              <w:spacing w:after="60" w:before="40"/>
            </w:pPr>
            <w:r>
              <w:rPr>
                <w:rFonts w:ascii="Consolas" w:hAnsi="Consolas"/>
                <w:sz w:val="17"/>
              </w:rPr>
              <w:t>mcs</w:t>
            </w:r>
          </w:p>
        </w:tc>
        <w:tc>
          <w:tcPr>
            <w:tcW w:type="dxa" w:w="3740"/>
          </w:tcPr>
          <w:p>
            <w:pPr>
              <w:spacing w:after="60" w:before="40"/>
            </w:pPr>
            <w:r>
              <w:rPr>
                <w:sz w:val="17"/>
              </w:rPr>
              <w:t>O/C</w:t>
            </w:r>
          </w:p>
        </w:tc>
        <w:tc>
          <w:tcPr>
            <w:tcW w:type="dxa" w:w="3740"/>
          </w:tcPr>
          <w:p>
            <w:pPr>
              <w:spacing w:after="60" w:before="40"/>
            </w:pPr>
            <w:r>
              <w:rPr>
                <w:rFonts w:ascii="Consolas" w:hAnsi="Consolas"/>
                <w:sz w:val="17"/>
              </w:rPr>
              <w:t>normal</w:t>
            </w:r>
            <w:r>
              <w:rPr>
                <w:sz w:val="17"/>
              </w:rPr>
              <w:t xml:space="preserve">, </w:t>
            </w:r>
            <w:r>
              <w:rPr>
                <w:rFonts w:ascii="Consolas" w:hAnsi="Consolas"/>
                <w:sz w:val="17"/>
              </w:rPr>
              <w:t>mild_loss</w:t>
            </w:r>
            <w:r>
              <w:rPr>
                <w:sz w:val="17"/>
              </w:rPr>
              <w:t xml:space="preserve">, </w:t>
            </w:r>
            <w:r>
              <w:rPr>
                <w:rFonts w:ascii="Consolas" w:hAnsi="Consolas"/>
                <w:sz w:val="17"/>
              </w:rPr>
              <w:t>moderate_loss</w:t>
            </w:r>
            <w:r>
              <w:rPr>
                <w:sz w:val="17"/>
              </w:rPr>
              <w:t xml:space="preserve">, </w:t>
            </w:r>
            <w:r>
              <w:rPr>
                <w:rFonts w:ascii="Consolas" w:hAnsi="Consolas"/>
                <w:sz w:val="17"/>
              </w:rPr>
              <w:t>severe_loss</w:t>
            </w:r>
            <w:r>
              <w:rPr>
                <w:sz w:val="17"/>
              </w:rPr>
              <w:t xml:space="preserve">, </w:t>
            </w:r>
            <w:r>
              <w:rPr>
                <w:rFonts w:ascii="Consolas" w:hAnsi="Consolas"/>
                <w:sz w:val="17"/>
              </w:rPr>
              <w:t>not_assessed</w:t>
            </w:r>
          </w:p>
        </w:tc>
        <w:tc>
          <w:tcPr>
            <w:tcW w:type="dxa" w:w="3740"/>
          </w:tcPr>
          <w:p>
            <w:pPr>
              <w:spacing w:after="60" w:before="40"/>
            </w:pPr>
            <w:r>
              <w:rPr>
                <w:sz w:val="17"/>
              </w:rPr>
              <w:t>Mandatory assessment/review for older or suspected muscle-loss cases; reported loss blocks automation</w:t>
            </w:r>
          </w:p>
        </w:tc>
      </w:tr>
      <w:tr>
        <w:tc>
          <w:tcPr>
            <w:tcW w:type="dxa" w:w="3740"/>
          </w:tcPr>
          <w:p>
            <w:pPr>
              <w:spacing w:after="60" w:before="40"/>
            </w:pPr>
            <w:r>
              <w:rPr>
                <w:rFonts w:ascii="Consolas" w:hAnsi="Consolas"/>
                <w:sz w:val="17"/>
              </w:rPr>
              <w:t>weightTrend</w:t>
            </w:r>
          </w:p>
        </w:tc>
        <w:tc>
          <w:tcPr>
            <w:tcW w:type="dxa" w:w="3740"/>
          </w:tcPr>
          <w:p>
            <w:pPr>
              <w:spacing w:after="60" w:before="40"/>
            </w:pPr>
            <w:r>
              <w:rPr>
                <w:sz w:val="17"/>
              </w:rPr>
              <w:t>M</w:t>
            </w:r>
          </w:p>
        </w:tc>
        <w:tc>
          <w:tcPr>
            <w:tcW w:type="dxa" w:w="3740"/>
          </w:tcPr>
          <w:p>
            <w:pPr>
              <w:spacing w:after="60" w:before="40"/>
            </w:pPr>
            <w:r>
              <w:rPr>
                <w:rFonts w:ascii="Consolas" w:hAnsi="Consolas"/>
                <w:sz w:val="17"/>
              </w:rPr>
              <w:t>stable</w:t>
            </w:r>
            <w:r>
              <w:rPr>
                <w:sz w:val="17"/>
              </w:rPr>
              <w:t xml:space="preserve">, </w:t>
            </w:r>
            <w:r>
              <w:rPr>
                <w:rFonts w:ascii="Consolas" w:hAnsi="Consolas"/>
                <w:sz w:val="17"/>
              </w:rPr>
              <w:t>gaining</w:t>
            </w:r>
            <w:r>
              <w:rPr>
                <w:sz w:val="17"/>
              </w:rPr>
              <w:t xml:space="preserve">, </w:t>
            </w:r>
            <w:r>
              <w:rPr>
                <w:rFonts w:ascii="Consolas" w:hAnsi="Consolas"/>
                <w:sz w:val="17"/>
              </w:rPr>
              <w:t>losing</w:t>
            </w:r>
            <w:r>
              <w:rPr>
                <w:sz w:val="17"/>
              </w:rPr>
              <w:t xml:space="preserve">, </w:t>
            </w:r>
            <w:r>
              <w:rPr>
                <w:rFonts w:ascii="Consolas" w:hAnsi="Consolas"/>
                <w:sz w:val="17"/>
              </w:rPr>
              <w:t>unknown</w:t>
            </w:r>
            <w:r>
              <w:rPr>
                <w:sz w:val="17"/>
              </w:rPr>
              <w:t>; intentional flag</w:t>
            </w:r>
          </w:p>
        </w:tc>
        <w:tc>
          <w:tcPr>
            <w:tcW w:type="dxa" w:w="3740"/>
          </w:tcPr>
          <w:p>
            <w:pPr>
              <w:spacing w:after="60" w:before="40"/>
            </w:pPr>
            <w:r>
              <w:rPr>
                <w:sz w:val="17"/>
              </w:rPr>
              <w:t>Unexplained changes block; do not infer trends from one reading</w:t>
            </w:r>
          </w:p>
        </w:tc>
      </w:tr>
      <w:tr>
        <w:tc>
          <w:tcPr>
            <w:tcW w:type="dxa" w:w="3740"/>
          </w:tcPr>
          <w:p>
            <w:pPr>
              <w:spacing w:after="60" w:before="40"/>
            </w:pPr>
            <w:r>
              <w:rPr>
                <w:rFonts w:ascii="Consolas" w:hAnsi="Consolas"/>
                <w:sz w:val="17"/>
              </w:rPr>
              <w:t>targetWeightKg</w:t>
            </w:r>
          </w:p>
        </w:tc>
        <w:tc>
          <w:tcPr>
            <w:tcW w:type="dxa" w:w="3740"/>
          </w:tcPr>
          <w:p>
            <w:pPr>
              <w:spacing w:after="60" w:before="40"/>
            </w:pPr>
            <w:r>
              <w:rPr>
                <w:sz w:val="17"/>
              </w:rPr>
              <w:t>C</w:t>
            </w:r>
          </w:p>
        </w:tc>
        <w:tc>
          <w:tcPr>
            <w:tcW w:type="dxa" w:w="3740"/>
          </w:tcPr>
          <w:p>
            <w:pPr>
              <w:spacing w:after="60" w:before="40"/>
            </w:pPr>
            <w:r>
              <w:rPr>
                <w:sz w:val="17"/>
              </w:rPr>
              <w:t>&gt;0; clinician, date and plan reference required</w:t>
            </w:r>
          </w:p>
        </w:tc>
        <w:tc>
          <w:tcPr>
            <w:tcW w:type="dxa" w:w="3740"/>
          </w:tcPr>
          <w:p>
            <w:pPr>
              <w:spacing w:after="60" w:before="40"/>
            </w:pPr>
            <w:r>
              <w:rPr>
                <w:sz w:val="17"/>
              </w:rPr>
              <w:t>Weight-loss basis only when clinically set; no automatic breed-average target</w:t>
            </w:r>
          </w:p>
        </w:tc>
      </w:tr>
      <w:tr>
        <w:tc>
          <w:tcPr>
            <w:tcW w:type="dxa" w:w="3740"/>
          </w:tcPr>
          <w:p>
            <w:pPr>
              <w:spacing w:after="60" w:before="40"/>
            </w:pPr>
            <w:r>
              <w:rPr>
                <w:rFonts w:ascii="Consolas" w:hAnsi="Consolas"/>
                <w:sz w:val="17"/>
              </w:rPr>
              <w:t>feedingGoal</w:t>
            </w:r>
          </w:p>
        </w:tc>
        <w:tc>
          <w:tcPr>
            <w:tcW w:type="dxa" w:w="3740"/>
          </w:tcPr>
          <w:p>
            <w:pPr>
              <w:spacing w:after="60" w:before="40"/>
            </w:pPr>
            <w:r>
              <w:rPr>
                <w:sz w:val="17"/>
              </w:rPr>
              <w:t>M</w:t>
            </w:r>
          </w:p>
        </w:tc>
        <w:tc>
          <w:tcPr>
            <w:tcW w:type="dxa" w:w="3740"/>
          </w:tcPr>
          <w:p>
            <w:pPr>
              <w:spacing w:after="60" w:before="40"/>
            </w:pPr>
            <w:r>
              <w:rPr>
                <w:rFonts w:ascii="Consolas" w:hAnsi="Consolas"/>
                <w:sz w:val="17"/>
              </w:rPr>
              <w:t>maintenance</w:t>
            </w:r>
            <w:r>
              <w:rPr>
                <w:sz w:val="17"/>
              </w:rPr>
              <w:t xml:space="preserve">, </w:t>
            </w:r>
            <w:r>
              <w:rPr>
                <w:rFonts w:ascii="Consolas" w:hAnsi="Consolas"/>
                <w:sz w:val="17"/>
              </w:rPr>
              <w:t>growth</w:t>
            </w:r>
            <w:r>
              <w:rPr>
                <w:sz w:val="17"/>
              </w:rPr>
              <w:t xml:space="preserve">, </w:t>
            </w:r>
            <w:r>
              <w:rPr>
                <w:rFonts w:ascii="Consolas" w:hAnsi="Consolas"/>
                <w:sz w:val="17"/>
              </w:rPr>
              <w:t>loss</w:t>
            </w:r>
            <w:r>
              <w:rPr>
                <w:sz w:val="17"/>
              </w:rPr>
              <w:t xml:space="preserve">, </w:t>
            </w:r>
            <w:r>
              <w:rPr>
                <w:rFonts w:ascii="Consolas" w:hAnsi="Consolas"/>
                <w:sz w:val="17"/>
              </w:rPr>
              <w:t>gain</w:t>
            </w:r>
            <w:r>
              <w:rPr>
                <w:sz w:val="17"/>
              </w:rPr>
              <w:t xml:space="preserve">, </w:t>
            </w:r>
            <w:r>
              <w:rPr>
                <w:rFonts w:ascii="Consolas" w:hAnsi="Consolas"/>
                <w:sz w:val="17"/>
              </w:rPr>
              <w:t>prescribed</w:t>
            </w:r>
          </w:p>
        </w:tc>
        <w:tc>
          <w:tcPr>
            <w:tcW w:type="dxa" w:w="3740"/>
          </w:tcPr>
          <w:p>
            <w:pPr>
              <w:spacing w:after="60" w:before="40"/>
            </w:pPr>
            <w:r>
              <w:rPr>
                <w:sz w:val="17"/>
              </w:rPr>
              <w:t>Select workflow; non-maintenance initially review/recording only</w:t>
            </w:r>
          </w:p>
        </w:tc>
      </w:tr>
      <w:tr>
        <w:tc>
          <w:tcPr>
            <w:tcW w:type="dxa" w:w="3740"/>
          </w:tcPr>
          <w:p>
            <w:pPr>
              <w:spacing w:after="60" w:before="40"/>
            </w:pPr>
            <w:r>
              <w:rPr>
                <w:rFonts w:ascii="Consolas" w:hAnsi="Consolas"/>
                <w:sz w:val="17"/>
              </w:rPr>
              <w:t>activityClass</w:t>
            </w:r>
          </w:p>
        </w:tc>
        <w:tc>
          <w:tcPr>
            <w:tcW w:type="dxa" w:w="3740"/>
          </w:tcPr>
          <w:p>
            <w:pPr>
              <w:spacing w:after="60" w:before="40"/>
            </w:pPr>
            <w:r>
              <w:rPr>
                <w:sz w:val="17"/>
              </w:rPr>
              <w:t>M</w:t>
            </w:r>
          </w:p>
        </w:tc>
        <w:tc>
          <w:tcPr>
            <w:tcW w:type="dxa" w:w="3740"/>
          </w:tcPr>
          <w:p>
            <w:pPr>
              <w:spacing w:after="60" w:before="40"/>
            </w:pPr>
            <w:r>
              <w:rPr>
                <w:rFonts w:ascii="Consolas" w:hAnsi="Consolas"/>
                <w:sz w:val="17"/>
              </w:rPr>
              <w:t>inactive</w:t>
            </w:r>
            <w:r>
              <w:rPr>
                <w:sz w:val="17"/>
              </w:rPr>
              <w:t xml:space="preserve">, </w:t>
            </w:r>
            <w:r>
              <w:rPr>
                <w:rFonts w:ascii="Consolas" w:hAnsi="Consolas"/>
                <w:sz w:val="17"/>
              </w:rPr>
              <w:t>ordinary</w:t>
            </w:r>
            <w:r>
              <w:rPr>
                <w:sz w:val="17"/>
              </w:rPr>
              <w:t xml:space="preserve">, </w:t>
            </w:r>
            <w:r>
              <w:rPr>
                <w:rFonts w:ascii="Consolas" w:hAnsi="Consolas"/>
                <w:sz w:val="17"/>
              </w:rPr>
              <w:t>light_work</w:t>
            </w:r>
            <w:r>
              <w:rPr>
                <w:sz w:val="17"/>
              </w:rPr>
              <w:t xml:space="preserve">, </w:t>
            </w:r>
            <w:r>
              <w:rPr>
                <w:rFonts w:ascii="Consolas" w:hAnsi="Consolas"/>
                <w:sz w:val="17"/>
              </w:rPr>
              <w:t>moderate_work</w:t>
            </w:r>
            <w:r>
              <w:rPr>
                <w:sz w:val="17"/>
              </w:rPr>
              <w:t xml:space="preserve">, </w:t>
            </w:r>
            <w:r>
              <w:rPr>
                <w:rFonts w:ascii="Consolas" w:hAnsi="Consolas"/>
                <w:sz w:val="17"/>
              </w:rPr>
              <w:t>heavy_work</w:t>
            </w:r>
            <w:r>
              <w:rPr>
                <w:sz w:val="17"/>
              </w:rPr>
              <w:t xml:space="preserve">, </w:t>
            </w:r>
            <w:r>
              <w:rPr>
                <w:rFonts w:ascii="Consolas" w:hAnsi="Consolas"/>
                <w:sz w:val="17"/>
              </w:rPr>
              <w:t>unknown</w:t>
            </w:r>
          </w:p>
        </w:tc>
        <w:tc>
          <w:tcPr>
            <w:tcW w:type="dxa" w:w="3740"/>
          </w:tcPr>
          <w:p>
            <w:pPr>
              <w:spacing w:after="60" w:before="40"/>
            </w:pPr>
            <w:r>
              <w:rPr>
                <w:sz w:val="17"/>
              </w:rPr>
              <w:t>Initial estimate selection; ordinary activity for MVP</w:t>
            </w:r>
          </w:p>
        </w:tc>
      </w:tr>
      <w:tr>
        <w:tc>
          <w:tcPr>
            <w:tcW w:type="dxa" w:w="3740"/>
          </w:tcPr>
          <w:p>
            <w:pPr>
              <w:spacing w:after="60" w:before="40"/>
            </w:pPr>
            <w:r>
              <w:rPr>
                <w:rFonts w:ascii="Consolas" w:hAnsi="Consolas"/>
                <w:sz w:val="17"/>
              </w:rPr>
              <w:t>exerciseSessionsPerWeek</w:t>
            </w:r>
          </w:p>
        </w:tc>
        <w:tc>
          <w:tcPr>
            <w:tcW w:type="dxa" w:w="3740"/>
          </w:tcPr>
          <w:p>
            <w:pPr>
              <w:spacing w:after="60" w:before="40"/>
            </w:pPr>
            <w:r>
              <w:rPr>
                <w:sz w:val="17"/>
              </w:rPr>
              <w:t>O</w:t>
            </w:r>
          </w:p>
        </w:tc>
        <w:tc>
          <w:tcPr>
            <w:tcW w:type="dxa" w:w="3740"/>
          </w:tcPr>
          <w:p>
            <w:pPr>
              <w:spacing w:after="60" w:before="40"/>
            </w:pPr>
            <w:r>
              <w:rPr>
                <w:sz w:val="17"/>
              </w:rPr>
              <w:t>Integer ≥0</w:t>
            </w:r>
          </w:p>
        </w:tc>
        <w:tc>
          <w:tcPr>
            <w:tcW w:type="dxa" w:w="3740"/>
          </w:tcPr>
          <w:p>
            <w:pPr>
              <w:spacing w:after="60" w:before="40"/>
            </w:pPr>
            <w:r>
              <w:rPr>
                <w:sz w:val="17"/>
              </w:rPr>
              <w:t>Supporting history; not a calorie formula by itself</w:t>
            </w:r>
          </w:p>
        </w:tc>
      </w:tr>
      <w:tr>
        <w:tc>
          <w:tcPr>
            <w:tcW w:type="dxa" w:w="3740"/>
          </w:tcPr>
          <w:p>
            <w:pPr>
              <w:spacing w:after="60" w:before="40"/>
            </w:pPr>
            <w:r>
              <w:rPr>
                <w:rFonts w:ascii="Consolas" w:hAnsi="Consolas"/>
                <w:sz w:val="17"/>
              </w:rPr>
              <w:t>exerciseMinutesPerSession</w:t>
            </w:r>
          </w:p>
        </w:tc>
        <w:tc>
          <w:tcPr>
            <w:tcW w:type="dxa" w:w="3740"/>
          </w:tcPr>
          <w:p>
            <w:pPr>
              <w:spacing w:after="60" w:before="40"/>
            </w:pPr>
            <w:r>
              <w:rPr>
                <w:sz w:val="17"/>
              </w:rPr>
              <w:t>O</w:t>
            </w:r>
          </w:p>
        </w:tc>
        <w:tc>
          <w:tcPr>
            <w:tcW w:type="dxa" w:w="3740"/>
          </w:tcPr>
          <w:p>
            <w:pPr>
              <w:spacing w:after="60" w:before="40"/>
            </w:pPr>
            <w:r>
              <w:rPr>
                <w:sz w:val="17"/>
              </w:rPr>
              <w:t>Finite ≥0 plus intensity/type</w:t>
            </w:r>
          </w:p>
        </w:tc>
        <w:tc>
          <w:tcPr>
            <w:tcW w:type="dxa" w:w="3740"/>
          </w:tcPr>
          <w:p>
            <w:pPr>
              <w:spacing w:after="60" w:before="40"/>
            </w:pPr>
            <w:r>
              <w:rPr>
                <w:sz w:val="17"/>
              </w:rPr>
              <w:t>Distinguish stroll from sustained running/work</w:t>
            </w:r>
          </w:p>
        </w:tc>
      </w:tr>
      <w:tr>
        <w:tc>
          <w:tcPr>
            <w:tcW w:type="dxa" w:w="3740"/>
          </w:tcPr>
          <w:p>
            <w:pPr>
              <w:spacing w:after="60" w:before="40"/>
            </w:pPr>
            <w:r>
              <w:rPr>
                <w:rFonts w:ascii="Consolas" w:hAnsi="Consolas"/>
                <w:sz w:val="17"/>
              </w:rPr>
              <w:t>workType</w:t>
            </w:r>
            <w:r>
              <w:rPr>
                <w:sz w:val="17"/>
              </w:rPr>
              <w:t xml:space="preserve">, </w:t>
            </w:r>
            <w:r>
              <w:rPr>
                <w:rFonts w:ascii="Consolas" w:hAnsi="Consolas"/>
                <w:sz w:val="17"/>
              </w:rPr>
              <w:t>workHoursPerDay</w:t>
            </w:r>
          </w:p>
        </w:tc>
        <w:tc>
          <w:tcPr>
            <w:tcW w:type="dxa" w:w="3740"/>
          </w:tcPr>
          <w:p>
            <w:pPr>
              <w:spacing w:after="60" w:before="40"/>
            </w:pPr>
            <w:r>
              <w:rPr>
                <w:sz w:val="17"/>
              </w:rPr>
              <w:t>C</w:t>
            </w:r>
          </w:p>
        </w:tc>
        <w:tc>
          <w:tcPr>
            <w:tcW w:type="dxa" w:w="3740"/>
          </w:tcPr>
          <w:p>
            <w:pPr>
              <w:spacing w:after="60" w:before="40"/>
            </w:pPr>
            <w:r>
              <w:rPr>
                <w:sz w:val="17"/>
              </w:rPr>
              <w:t>Controlled type; finite 0–24</w:t>
            </w:r>
          </w:p>
        </w:tc>
        <w:tc>
          <w:tcPr>
            <w:tcW w:type="dxa" w:w="3740"/>
          </w:tcPr>
          <w:p>
            <w:pPr>
              <w:spacing w:after="60" w:before="40"/>
            </w:pPr>
            <w:r>
              <w:rPr>
                <w:sz w:val="17"/>
              </w:rPr>
              <w:t>Sporting/work estimates require qualified review and measured response</w:t>
            </w:r>
          </w:p>
        </w:tc>
      </w:tr>
      <w:tr>
        <w:tc>
          <w:tcPr>
            <w:tcW w:type="dxa" w:w="3740"/>
          </w:tcPr>
          <w:p>
            <w:pPr>
              <w:spacing w:after="60" w:before="40"/>
            </w:pPr>
            <w:r>
              <w:rPr>
                <w:rFonts w:ascii="Consolas" w:hAnsi="Consolas"/>
                <w:sz w:val="17"/>
              </w:rPr>
              <w:t>housing</w:t>
            </w:r>
            <w:r>
              <w:rPr>
                <w:sz w:val="17"/>
              </w:rPr>
              <w:t xml:space="preserve">, </w:t>
            </w:r>
            <w:r>
              <w:rPr>
                <w:rFonts w:ascii="Consolas" w:hAnsi="Consolas"/>
                <w:sz w:val="17"/>
              </w:rPr>
              <w:t>environmentNotes</w:t>
            </w:r>
          </w:p>
        </w:tc>
        <w:tc>
          <w:tcPr>
            <w:tcW w:type="dxa" w:w="3740"/>
          </w:tcPr>
          <w:p>
            <w:pPr>
              <w:spacing w:after="60" w:before="40"/>
            </w:pPr>
            <w:r>
              <w:rPr>
                <w:sz w:val="17"/>
              </w:rPr>
              <w:t>O</w:t>
            </w:r>
          </w:p>
        </w:tc>
        <w:tc>
          <w:tcPr>
            <w:tcW w:type="dxa" w:w="3740"/>
          </w:tcPr>
          <w:p>
            <w:pPr>
              <w:spacing w:after="60" w:before="40"/>
            </w:pPr>
            <w:r>
              <w:rPr>
                <w:sz w:val="17"/>
              </w:rPr>
              <w:t>Indoor/outdoor/mixed; text</w:t>
            </w:r>
          </w:p>
        </w:tc>
        <w:tc>
          <w:tcPr>
            <w:tcW w:type="dxa" w:w="3740"/>
          </w:tcPr>
          <w:p>
            <w:pPr>
              <w:spacing w:after="60" w:before="40"/>
            </w:pPr>
            <w:r>
              <w:rPr>
                <w:sz w:val="17"/>
              </w:rPr>
              <w:t>Relevant exposure, shade, cold/work context; no blanket Philippine multiplier</w:t>
            </w:r>
          </w:p>
        </w:tc>
      </w:tr>
      <w:tr>
        <w:tc>
          <w:tcPr>
            <w:tcW w:type="dxa" w:w="3740"/>
          </w:tcPr>
          <w:p>
            <w:pPr>
              <w:spacing w:after="60" w:before="40"/>
            </w:pPr>
            <w:r>
              <w:rPr>
                <w:rFonts w:ascii="Consolas" w:hAnsi="Consolas"/>
                <w:sz w:val="17"/>
              </w:rPr>
              <w:t>currentDietType</w:t>
            </w:r>
          </w:p>
        </w:tc>
        <w:tc>
          <w:tcPr>
            <w:tcW w:type="dxa" w:w="3740"/>
          </w:tcPr>
          <w:p>
            <w:pPr>
              <w:spacing w:after="60" w:before="40"/>
            </w:pPr>
            <w:r>
              <w:rPr>
                <w:sz w:val="17"/>
              </w:rPr>
              <w:t>M</w:t>
            </w:r>
          </w:p>
        </w:tc>
        <w:tc>
          <w:tcPr>
            <w:tcW w:type="dxa" w:w="3740"/>
          </w:tcPr>
          <w:p>
            <w:pPr>
              <w:spacing w:after="60" w:before="40"/>
            </w:pPr>
            <w:r>
              <w:rPr>
                <w:rFonts w:ascii="Consolas" w:hAnsi="Consolas"/>
                <w:sz w:val="17"/>
              </w:rPr>
              <w:t>commercial</w:t>
            </w:r>
            <w:r>
              <w:rPr>
                <w:sz w:val="17"/>
              </w:rPr>
              <w:t xml:space="preserve">, </w:t>
            </w:r>
            <w:r>
              <w:rPr>
                <w:rFonts w:ascii="Consolas" w:hAnsi="Consolas"/>
                <w:sz w:val="17"/>
              </w:rPr>
              <w:t>cooked</w:t>
            </w:r>
            <w:r>
              <w:rPr>
                <w:sz w:val="17"/>
              </w:rPr>
              <w:t xml:space="preserve">, </w:t>
            </w:r>
            <w:r>
              <w:rPr>
                <w:rFonts w:ascii="Consolas" w:hAnsi="Consolas"/>
                <w:sz w:val="17"/>
              </w:rPr>
              <w:t>raw</w:t>
            </w:r>
            <w:r>
              <w:rPr>
                <w:sz w:val="17"/>
              </w:rPr>
              <w:t xml:space="preserve">, </w:t>
            </w:r>
            <w:r>
              <w:rPr>
                <w:rFonts w:ascii="Consolas" w:hAnsi="Consolas"/>
                <w:sz w:val="17"/>
              </w:rPr>
              <w:t>mixed</w:t>
            </w:r>
            <w:r>
              <w:rPr>
                <w:sz w:val="17"/>
              </w:rPr>
              <w:t xml:space="preserve">, </w:t>
            </w:r>
            <w:r>
              <w:rPr>
                <w:rFonts w:ascii="Consolas" w:hAnsi="Consolas"/>
                <w:sz w:val="17"/>
              </w:rPr>
              <w:t>unknown</w:t>
            </w:r>
          </w:p>
        </w:tc>
        <w:tc>
          <w:tcPr>
            <w:tcW w:type="dxa" w:w="3740"/>
          </w:tcPr>
          <w:p>
            <w:pPr>
              <w:spacing w:after="60" w:before="40"/>
            </w:pPr>
            <w:r>
              <w:rPr>
                <w:sz w:val="17"/>
              </w:rPr>
              <w:t>Determines evidence and safety checks</w:t>
            </w:r>
          </w:p>
        </w:tc>
      </w:tr>
      <w:tr>
        <w:tc>
          <w:tcPr>
            <w:tcW w:type="dxa" w:w="3740"/>
          </w:tcPr>
          <w:p>
            <w:pPr>
              <w:spacing w:after="60" w:before="40"/>
            </w:pPr>
            <w:r>
              <w:rPr>
                <w:rFonts w:ascii="Consolas" w:hAnsi="Consolas"/>
                <w:sz w:val="17"/>
              </w:rPr>
              <w:t>currentFoodVersionIds</w:t>
            </w:r>
          </w:p>
        </w:tc>
        <w:tc>
          <w:tcPr>
            <w:tcW w:type="dxa" w:w="3740"/>
          </w:tcPr>
          <w:p>
            <w:pPr>
              <w:spacing w:after="60" w:before="40"/>
            </w:pPr>
            <w:r>
              <w:rPr>
                <w:sz w:val="17"/>
              </w:rPr>
              <w:t>C</w:t>
            </w:r>
          </w:p>
        </w:tc>
        <w:tc>
          <w:tcPr>
            <w:tcW w:type="dxa" w:w="3740"/>
          </w:tcPr>
          <w:p>
            <w:pPr>
              <w:spacing w:after="60" w:before="40"/>
            </w:pPr>
            <w:r>
              <w:rPr>
                <w:sz w:val="17"/>
              </w:rPr>
              <w:t>Existing immutable food versions</w:t>
            </w:r>
          </w:p>
        </w:tc>
        <w:tc>
          <w:tcPr>
            <w:tcW w:type="dxa" w:w="3740"/>
          </w:tcPr>
          <w:p>
            <w:pPr>
              <w:spacing w:after="60" w:before="40"/>
            </w:pPr>
            <w:r>
              <w:rPr>
                <w:sz w:val="17"/>
              </w:rPr>
              <w:t>Exact product/preparation; stale or changed formulation requires revalidation</w:t>
            </w:r>
          </w:p>
        </w:tc>
      </w:tr>
      <w:tr>
        <w:tc>
          <w:tcPr>
            <w:tcW w:type="dxa" w:w="3740"/>
          </w:tcPr>
          <w:p>
            <w:pPr>
              <w:spacing w:after="60" w:before="40"/>
            </w:pPr>
            <w:r>
              <w:rPr>
                <w:rFonts w:ascii="Consolas" w:hAnsi="Consolas"/>
                <w:sz w:val="17"/>
              </w:rPr>
              <w:t>dailyFoodAmounts</w:t>
            </w:r>
          </w:p>
        </w:tc>
        <w:tc>
          <w:tcPr>
            <w:tcW w:type="dxa" w:w="3740"/>
          </w:tcPr>
          <w:p>
            <w:pPr>
              <w:spacing w:after="60" w:before="40"/>
            </w:pPr>
            <w:r>
              <w:rPr>
                <w:sz w:val="17"/>
              </w:rPr>
              <w:t>O/C</w:t>
            </w:r>
          </w:p>
        </w:tc>
        <w:tc>
          <w:tcPr>
            <w:tcW w:type="dxa" w:w="3740"/>
          </w:tcPr>
          <w:p>
            <w:pPr>
              <w:spacing w:after="60" w:before="40"/>
            </w:pPr>
            <w:r>
              <w:rPr>
                <w:sz w:val="17"/>
              </w:rPr>
              <w:t>Nonnegative amounts with g/unit and food reference</w:t>
            </w:r>
          </w:p>
        </w:tc>
        <w:tc>
          <w:tcPr>
            <w:tcW w:type="dxa" w:w="3740"/>
          </w:tcPr>
          <w:p>
            <w:pPr>
              <w:spacing w:after="60" w:before="40"/>
            </w:pPr>
            <w:r>
              <w:rPr>
                <w:sz w:val="17"/>
              </w:rPr>
              <w:t>Existing intake history; distinguish amount offered from eaten</w:t>
            </w:r>
          </w:p>
        </w:tc>
      </w:tr>
      <w:tr>
        <w:tc>
          <w:tcPr>
            <w:tcW w:type="dxa" w:w="3740"/>
          </w:tcPr>
          <w:p>
            <w:pPr>
              <w:spacing w:after="60" w:before="40"/>
            </w:pPr>
            <w:r>
              <w:rPr>
                <w:rFonts w:ascii="Consolas" w:hAnsi="Consolas"/>
                <w:sz w:val="17"/>
              </w:rPr>
              <w:t>extras</w:t>
            </w:r>
          </w:p>
        </w:tc>
        <w:tc>
          <w:tcPr>
            <w:tcW w:type="dxa" w:w="3740"/>
          </w:tcPr>
          <w:p>
            <w:pPr>
              <w:spacing w:after="60" w:before="40"/>
            </w:pPr>
            <w:r>
              <w:rPr>
                <w:sz w:val="17"/>
              </w:rPr>
              <w:t>M</w:t>
            </w:r>
          </w:p>
        </w:tc>
        <w:tc>
          <w:tcPr>
            <w:tcW w:type="dxa" w:w="3740"/>
          </w:tcPr>
          <w:p>
            <w:pPr>
              <w:spacing w:after="60" w:before="40"/>
            </w:pPr>
            <w:r>
              <w:rPr>
                <w:sz w:val="17"/>
              </w:rPr>
              <w:t>Explicit empty list or identified treats/toppers/medication foods, amounts and calories</w:t>
            </w:r>
          </w:p>
        </w:tc>
        <w:tc>
          <w:tcPr>
            <w:tcW w:type="dxa" w:w="3740"/>
          </w:tcPr>
          <w:p>
            <w:pPr>
              <w:spacing w:after="60" w:before="40"/>
            </w:pPr>
            <w:r>
              <w:rPr>
                <w:sz w:val="17"/>
              </w:rPr>
              <w:t>Single calorie ledger; unknown extra calories block a reliable automatic allocation</w:t>
            </w:r>
          </w:p>
        </w:tc>
      </w:tr>
      <w:tr>
        <w:tc>
          <w:tcPr>
            <w:tcW w:type="dxa" w:w="3740"/>
          </w:tcPr>
          <w:p>
            <w:pPr>
              <w:spacing w:after="60" w:before="40"/>
            </w:pPr>
            <w:r>
              <w:rPr>
                <w:rFonts w:ascii="Consolas" w:hAnsi="Consolas"/>
                <w:sz w:val="17"/>
              </w:rPr>
              <w:t>supplements</w:t>
            </w:r>
          </w:p>
        </w:tc>
        <w:tc>
          <w:tcPr>
            <w:tcW w:type="dxa" w:w="3740"/>
          </w:tcPr>
          <w:p>
            <w:pPr>
              <w:spacing w:after="60" w:before="40"/>
            </w:pPr>
            <w:r>
              <w:rPr>
                <w:sz w:val="17"/>
              </w:rPr>
              <w:t>M</w:t>
            </w:r>
          </w:p>
        </w:tc>
        <w:tc>
          <w:tcPr>
            <w:tcW w:type="dxa" w:w="3740"/>
          </w:tcPr>
          <w:p>
            <w:pPr>
              <w:spacing w:after="60" w:before="40"/>
            </w:pPr>
            <w:r>
              <w:rPr>
                <w:sz w:val="17"/>
              </w:rPr>
              <w:t>Explicit empty list or product/version/dose/unit</w:t>
            </w:r>
          </w:p>
        </w:tc>
        <w:tc>
          <w:tcPr>
            <w:tcW w:type="dxa" w:w="3740"/>
          </w:tcPr>
          <w:p>
            <w:pPr>
              <w:spacing w:after="60" w:before="40"/>
            </w:pPr>
            <w:r>
              <w:rPr>
                <w:sz w:val="17"/>
              </w:rPr>
              <w:t>Nutrient and energy contributions; uncharacterized supplements require review</w:t>
            </w:r>
          </w:p>
        </w:tc>
      </w:tr>
      <w:tr>
        <w:tc>
          <w:tcPr>
            <w:tcW w:type="dxa" w:w="3740"/>
          </w:tcPr>
          <w:p>
            <w:pPr>
              <w:spacing w:after="60" w:before="40"/>
            </w:pPr>
            <w:r>
              <w:rPr>
                <w:rFonts w:ascii="Consolas" w:hAnsi="Consolas"/>
                <w:sz w:val="17"/>
              </w:rPr>
              <w:t>mealTimes</w:t>
            </w:r>
            <w:r>
              <w:rPr>
                <w:sz w:val="17"/>
              </w:rPr>
              <w:t xml:space="preserve">, </w:t>
            </w:r>
            <w:r>
              <w:rPr>
                <w:rFonts w:ascii="Consolas" w:hAnsi="Consolas"/>
                <w:sz w:val="17"/>
              </w:rPr>
              <w:t>timezone</w:t>
            </w:r>
          </w:p>
        </w:tc>
        <w:tc>
          <w:tcPr>
            <w:tcW w:type="dxa" w:w="3740"/>
          </w:tcPr>
          <w:p>
            <w:pPr>
              <w:spacing w:after="60" w:before="40"/>
            </w:pPr>
            <w:r>
              <w:rPr>
                <w:sz w:val="17"/>
              </w:rPr>
              <w:t>M</w:t>
            </w:r>
          </w:p>
        </w:tc>
        <w:tc>
          <w:tcPr>
            <w:tcW w:type="dxa" w:w="3740"/>
          </w:tcPr>
          <w:p>
            <w:pPr>
              <w:spacing w:after="60" w:before="40"/>
            </w:pPr>
            <w:r>
              <w:rPr>
                <w:sz w:val="17"/>
              </w:rPr>
              <w:t>Nonduplicate local HH:mm times, IANA timezone</w:t>
            </w:r>
          </w:p>
        </w:tc>
        <w:tc>
          <w:tcPr>
            <w:tcW w:type="dxa" w:w="3740"/>
          </w:tcPr>
          <w:p>
            <w:pPr>
              <w:spacing w:after="60" w:before="40"/>
            </w:pPr>
            <w:r>
              <w:rPr>
                <w:sz w:val="17"/>
              </w:rPr>
              <w:t>Distribution only; reject nonexistent timezone and unsupported meal count</w:t>
            </w:r>
          </w:p>
        </w:tc>
      </w:tr>
      <w:tr>
        <w:tc>
          <w:tcPr>
            <w:tcW w:type="dxa" w:w="3740"/>
          </w:tcPr>
          <w:p>
            <w:pPr>
              <w:spacing w:after="60" w:before="40"/>
            </w:pPr>
            <w:r>
              <w:rPr>
                <w:rFonts w:ascii="Consolas" w:hAnsi="Consolas"/>
                <w:sz w:val="17"/>
              </w:rPr>
              <w:t>preferences</w:t>
            </w:r>
            <w:r>
              <w:rPr>
                <w:sz w:val="17"/>
              </w:rPr>
              <w:t xml:space="preserve">, </w:t>
            </w:r>
            <w:r>
              <w:rPr>
                <w:rFonts w:ascii="Consolas" w:hAnsi="Consolas"/>
                <w:sz w:val="17"/>
              </w:rPr>
              <w:t>ingredientExclusions</w:t>
            </w:r>
          </w:p>
        </w:tc>
        <w:tc>
          <w:tcPr>
            <w:tcW w:type="dxa" w:w="3740"/>
          </w:tcPr>
          <w:p>
            <w:pPr>
              <w:spacing w:after="60" w:before="40"/>
            </w:pPr>
            <w:r>
              <w:rPr>
                <w:sz w:val="17"/>
              </w:rPr>
              <w:t>O</w:t>
            </w:r>
          </w:p>
        </w:tc>
        <w:tc>
          <w:tcPr>
            <w:tcW w:type="dxa" w:w="3740"/>
          </w:tcPr>
          <w:p>
            <w:pPr>
              <w:spacing w:after="60" w:before="40"/>
            </w:pPr>
            <w:r>
              <w:rPr>
                <w:sz w:val="17"/>
              </w:rPr>
              <w:t>Ingredient IDs, reason (</w:t>
            </w:r>
            <w:r>
              <w:rPr>
                <w:rFonts w:ascii="Consolas" w:hAnsi="Consolas"/>
                <w:sz w:val="17"/>
              </w:rPr>
              <w:t>preference</w:t>
            </w:r>
            <w:r>
              <w:rPr>
                <w:sz w:val="17"/>
              </w:rPr>
              <w:t xml:space="preserve">, </w:t>
            </w:r>
            <w:r>
              <w:rPr>
                <w:rFonts w:ascii="Consolas" w:hAnsi="Consolas"/>
                <w:sz w:val="17"/>
              </w:rPr>
              <w:t>religious</w:t>
            </w:r>
            <w:r>
              <w:rPr>
                <w:sz w:val="17"/>
              </w:rPr>
              <w:t xml:space="preserve">, </w:t>
            </w:r>
            <w:r>
              <w:rPr>
                <w:rFonts w:ascii="Consolas" w:hAnsi="Consolas"/>
                <w:sz w:val="17"/>
              </w:rPr>
              <w:t>availability</w:t>
            </w:r>
            <w:r>
              <w:rPr>
                <w:sz w:val="17"/>
              </w:rPr>
              <w:t>)</w:t>
            </w:r>
          </w:p>
        </w:tc>
        <w:tc>
          <w:tcPr>
            <w:tcW w:type="dxa" w:w="3740"/>
          </w:tcPr>
          <w:p>
            <w:pPr>
              <w:spacing w:after="60" w:before="40"/>
            </w:pPr>
            <w:r>
              <w:rPr>
                <w:sz w:val="17"/>
              </w:rPr>
              <w:t>Eligibility filters; never pretend preference is an allergy or justify incomplete diets</w:t>
            </w:r>
          </w:p>
        </w:tc>
      </w:tr>
      <w:tr>
        <w:tc>
          <w:tcPr>
            <w:tcW w:type="dxa" w:w="3740"/>
          </w:tcPr>
          <w:p>
            <w:pPr>
              <w:spacing w:after="60" w:before="40"/>
            </w:pPr>
            <w:r>
              <w:rPr>
                <w:rFonts w:ascii="Consolas" w:hAnsi="Consolas"/>
                <w:sz w:val="17"/>
              </w:rPr>
              <w:t>allergyStatus</w:t>
            </w:r>
          </w:p>
        </w:tc>
        <w:tc>
          <w:tcPr>
            <w:tcW w:type="dxa" w:w="3740"/>
          </w:tcPr>
          <w:p>
            <w:pPr>
              <w:spacing w:after="60" w:before="40"/>
            </w:pPr>
            <w:r>
              <w:rPr>
                <w:sz w:val="17"/>
              </w:rPr>
              <w:t>M</w:t>
            </w:r>
          </w:p>
        </w:tc>
        <w:tc>
          <w:tcPr>
            <w:tcW w:type="dxa" w:w="3740"/>
          </w:tcPr>
          <w:p>
            <w:pPr>
              <w:spacing w:after="60" w:before="40"/>
            </w:pPr>
            <w:r>
              <w:rPr>
                <w:rFonts w:ascii="Consolas" w:hAnsi="Consolas"/>
                <w:sz w:val="17"/>
              </w:rPr>
              <w:t>none_reported</w:t>
            </w:r>
            <w:r>
              <w:rPr>
                <w:sz w:val="17"/>
              </w:rPr>
              <w:t xml:space="preserve">, </w:t>
            </w:r>
            <w:r>
              <w:rPr>
                <w:rFonts w:ascii="Consolas" w:hAnsi="Consolas"/>
                <w:sz w:val="17"/>
              </w:rPr>
              <w:t>suspected</w:t>
            </w:r>
            <w:r>
              <w:rPr>
                <w:sz w:val="17"/>
              </w:rPr>
              <w:t xml:space="preserve">, </w:t>
            </w:r>
            <w:r>
              <w:rPr>
                <w:rFonts w:ascii="Consolas" w:hAnsi="Consolas"/>
                <w:sz w:val="17"/>
              </w:rPr>
              <w:t>confirmed</w:t>
            </w:r>
            <w:r>
              <w:rPr>
                <w:sz w:val="17"/>
              </w:rPr>
              <w:t xml:space="preserve">, </w:t>
            </w:r>
            <w:r>
              <w:rPr>
                <w:rFonts w:ascii="Consolas" w:hAnsi="Consolas"/>
                <w:sz w:val="17"/>
              </w:rPr>
              <w:t>unknown</w:t>
            </w:r>
          </w:p>
        </w:tc>
        <w:tc>
          <w:tcPr>
            <w:tcW w:type="dxa" w:w="3740"/>
          </w:tcPr>
          <w:p>
            <w:pPr>
              <w:spacing w:after="60" w:before="40"/>
            </w:pPr>
            <w:r>
              <w:rPr>
                <w:sz w:val="17"/>
              </w:rPr>
              <w:t>Suspected/confirmed cases need clinical workflow; unknown cannot become none</w:t>
            </w:r>
          </w:p>
        </w:tc>
      </w:tr>
      <w:tr>
        <w:tc>
          <w:tcPr>
            <w:tcW w:type="dxa" w:w="3740"/>
          </w:tcPr>
          <w:p>
            <w:pPr>
              <w:spacing w:after="60" w:before="40"/>
            </w:pPr>
            <w:r>
              <w:rPr>
                <w:rFonts w:ascii="Consolas" w:hAnsi="Consolas"/>
                <w:sz w:val="17"/>
              </w:rPr>
              <w:t>allergenIds</w:t>
            </w:r>
            <w:r>
              <w:rPr>
                <w:sz w:val="17"/>
              </w:rPr>
              <w:t xml:space="preserve">, </w:t>
            </w:r>
            <w:r>
              <w:rPr>
                <w:rFonts w:ascii="Consolas" w:hAnsi="Consolas"/>
                <w:sz w:val="17"/>
              </w:rPr>
              <w:t>reactionHistory</w:t>
            </w:r>
          </w:p>
        </w:tc>
        <w:tc>
          <w:tcPr>
            <w:tcW w:type="dxa" w:w="3740"/>
          </w:tcPr>
          <w:p>
            <w:pPr>
              <w:spacing w:after="60" w:before="40"/>
            </w:pPr>
            <w:r>
              <w:rPr>
                <w:sz w:val="17"/>
              </w:rPr>
              <w:t>C</w:t>
            </w:r>
          </w:p>
        </w:tc>
        <w:tc>
          <w:tcPr>
            <w:tcW w:type="dxa" w:w="3740"/>
          </w:tcPr>
          <w:p>
            <w:pPr>
              <w:spacing w:after="60" w:before="40"/>
            </w:pPr>
            <w:r>
              <w:rPr>
                <w:sz w:val="17"/>
              </w:rPr>
              <w:t>Canonical ingredient/taxon IDs and optional reaction/date</w:t>
            </w:r>
          </w:p>
        </w:tc>
        <w:tc>
          <w:tcPr>
            <w:tcW w:type="dxa" w:w="3740"/>
          </w:tcPr>
          <w:p>
            <w:pPr>
              <w:spacing w:after="60" w:before="40"/>
            </w:pPr>
            <w:r>
              <w:rPr>
                <w:sz w:val="17"/>
              </w:rPr>
              <w:t>Cross-check compound ingredients, flavorings, supplements and contamination evidence</w:t>
            </w:r>
          </w:p>
        </w:tc>
      </w:tr>
      <w:tr>
        <w:tc>
          <w:tcPr>
            <w:tcW w:type="dxa" w:w="3740"/>
          </w:tcPr>
          <w:p>
            <w:pPr>
              <w:spacing w:after="60" w:before="40"/>
            </w:pPr>
            <w:r>
              <w:rPr>
                <w:rFonts w:ascii="Consolas" w:hAnsi="Consolas"/>
                <w:sz w:val="17"/>
              </w:rPr>
              <w:t>knownConditionStatus</w:t>
            </w:r>
          </w:p>
        </w:tc>
        <w:tc>
          <w:tcPr>
            <w:tcW w:type="dxa" w:w="3740"/>
          </w:tcPr>
          <w:p>
            <w:pPr>
              <w:spacing w:after="60" w:before="40"/>
            </w:pPr>
            <w:r>
              <w:rPr>
                <w:sz w:val="17"/>
              </w:rPr>
              <w:t>M</w:t>
            </w:r>
          </w:p>
        </w:tc>
        <w:tc>
          <w:tcPr>
            <w:tcW w:type="dxa" w:w="3740"/>
          </w:tcPr>
          <w:p>
            <w:pPr>
              <w:spacing w:after="60" w:before="40"/>
            </w:pPr>
            <w:r>
              <w:rPr>
                <w:rFonts w:ascii="Consolas" w:hAnsi="Consolas"/>
                <w:sz w:val="17"/>
              </w:rPr>
              <w:t>none_reported</w:t>
            </w:r>
            <w:r>
              <w:rPr>
                <w:sz w:val="17"/>
              </w:rPr>
              <w:t xml:space="preserve">, </w:t>
            </w:r>
            <w:r>
              <w:rPr>
                <w:rFonts w:ascii="Consolas" w:hAnsi="Consolas"/>
                <w:sz w:val="17"/>
              </w:rPr>
              <w:t>present</w:t>
            </w:r>
            <w:r>
              <w:rPr>
                <w:sz w:val="17"/>
              </w:rPr>
              <w:t xml:space="preserve">, </w:t>
            </w:r>
            <w:r>
              <w:rPr>
                <w:rFonts w:ascii="Consolas" w:hAnsi="Consolas"/>
                <w:sz w:val="17"/>
              </w:rPr>
              <w:t>unknown</w:t>
            </w:r>
          </w:p>
        </w:tc>
        <w:tc>
          <w:tcPr>
            <w:tcW w:type="dxa" w:w="3740"/>
          </w:tcPr>
          <w:p>
            <w:pPr>
              <w:spacing w:after="60" w:before="40"/>
            </w:pPr>
            <w:r>
              <w:rPr>
                <w:sz w:val="17"/>
              </w:rPr>
              <w:t>Healthy-dog screen; no demand for diagnostic testing in ordinary use</w:t>
            </w:r>
          </w:p>
        </w:tc>
      </w:tr>
      <w:tr>
        <w:tc>
          <w:tcPr>
            <w:tcW w:type="dxa" w:w="3740"/>
          </w:tcPr>
          <w:p>
            <w:pPr>
              <w:spacing w:after="60" w:before="40"/>
            </w:pPr>
            <w:r>
              <w:rPr>
                <w:rFonts w:ascii="Consolas" w:hAnsi="Consolas"/>
                <w:sz w:val="17"/>
              </w:rPr>
              <w:t>conditionCodes</w:t>
            </w:r>
            <w:r>
              <w:rPr>
                <w:sz w:val="17"/>
              </w:rPr>
              <w:t xml:space="preserve">, </w:t>
            </w:r>
            <w:r>
              <w:rPr>
                <w:rFonts w:ascii="Consolas" w:hAnsi="Consolas"/>
                <w:sz w:val="17"/>
              </w:rPr>
              <w:t>diagnosedBy</w:t>
            </w:r>
            <w:r>
              <w:rPr>
                <w:sz w:val="17"/>
              </w:rPr>
              <w:t xml:space="preserve">, </w:t>
            </w:r>
            <w:r>
              <w:rPr>
                <w:rFonts w:ascii="Consolas" w:hAnsi="Consolas"/>
                <w:sz w:val="17"/>
              </w:rPr>
              <w:t>diagnosedAt</w:t>
            </w:r>
          </w:p>
        </w:tc>
        <w:tc>
          <w:tcPr>
            <w:tcW w:type="dxa" w:w="3740"/>
          </w:tcPr>
          <w:p>
            <w:pPr>
              <w:spacing w:after="60" w:before="40"/>
            </w:pPr>
            <w:r>
              <w:rPr>
                <w:sz w:val="17"/>
              </w:rPr>
              <w:t>C</w:t>
            </w:r>
          </w:p>
        </w:tc>
        <w:tc>
          <w:tcPr>
            <w:tcW w:type="dxa" w:w="3740"/>
          </w:tcPr>
          <w:p>
            <w:pPr>
              <w:spacing w:after="60" w:before="40"/>
            </w:pPr>
            <w:r>
              <w:rPr>
                <w:sz w:val="17"/>
              </w:rPr>
              <w:t>Catalog/text; source/date</w:t>
            </w:r>
          </w:p>
        </w:tc>
        <w:tc>
          <w:tcPr>
            <w:tcW w:type="dxa" w:w="3740"/>
          </w:tcPr>
          <w:p>
            <w:pPr>
              <w:spacing w:after="60" w:before="40"/>
            </w:pPr>
            <w:r>
              <w:rPr>
                <w:sz w:val="17"/>
              </w:rPr>
              <w:t>Required when recording a diagnosis; no automatic clinical nutrient restriction</w:t>
            </w:r>
          </w:p>
        </w:tc>
      </w:tr>
      <w:tr>
        <w:tc>
          <w:tcPr>
            <w:tcW w:type="dxa" w:w="3740"/>
          </w:tcPr>
          <w:p>
            <w:pPr>
              <w:spacing w:after="60" w:before="40"/>
            </w:pPr>
            <w:r>
              <w:rPr>
                <w:rFonts w:ascii="Consolas" w:hAnsi="Consolas"/>
                <w:sz w:val="17"/>
              </w:rPr>
              <w:t>prescribedDietStatus</w:t>
            </w:r>
          </w:p>
        </w:tc>
        <w:tc>
          <w:tcPr>
            <w:tcW w:type="dxa" w:w="3740"/>
          </w:tcPr>
          <w:p>
            <w:pPr>
              <w:spacing w:after="60" w:before="40"/>
            </w:pPr>
            <w:r>
              <w:rPr>
                <w:sz w:val="17"/>
              </w:rPr>
              <w:t>M</w:t>
            </w:r>
          </w:p>
        </w:tc>
        <w:tc>
          <w:tcPr>
            <w:tcW w:type="dxa" w:w="3740"/>
          </w:tcPr>
          <w:p>
            <w:pPr>
              <w:spacing w:after="60" w:before="40"/>
            </w:pPr>
            <w:r>
              <w:rPr>
                <w:rFonts w:ascii="Consolas" w:hAnsi="Consolas"/>
                <w:sz w:val="17"/>
              </w:rPr>
              <w:t>yes</w:t>
            </w:r>
            <w:r>
              <w:rPr>
                <w:sz w:val="17"/>
              </w:rPr>
              <w:t xml:space="preserve">, </w:t>
            </w:r>
            <w:r>
              <w:rPr>
                <w:rFonts w:ascii="Consolas" w:hAnsi="Consolas"/>
                <w:sz w:val="17"/>
              </w:rPr>
              <w:t>no</w:t>
            </w:r>
            <w:r>
              <w:rPr>
                <w:sz w:val="17"/>
              </w:rPr>
              <w:t xml:space="preserve">, </w:t>
            </w:r>
            <w:r>
              <w:rPr>
                <w:rFonts w:ascii="Consolas" w:hAnsi="Consolas"/>
                <w:sz w:val="17"/>
              </w:rPr>
              <w:t>unknown</w:t>
            </w:r>
            <w:r>
              <w:rPr>
                <w:sz w:val="17"/>
              </w:rPr>
              <w:t>; prescription reference if yes</w:t>
            </w:r>
          </w:p>
        </w:tc>
        <w:tc>
          <w:tcPr>
            <w:tcW w:type="dxa" w:w="3740"/>
          </w:tcPr>
          <w:p>
            <w:pPr>
              <w:spacing w:after="60" w:before="40"/>
            </w:pPr>
            <w:r>
              <w:rPr>
                <w:sz w:val="17"/>
              </w:rPr>
              <w:t>Prescribed diets block unsupervised replacement</w:t>
            </w:r>
          </w:p>
        </w:tc>
      </w:tr>
      <w:tr>
        <w:tc>
          <w:tcPr>
            <w:tcW w:type="dxa" w:w="3740"/>
          </w:tcPr>
          <w:p>
            <w:pPr>
              <w:spacing w:after="60" w:before="40"/>
            </w:pPr>
            <w:r>
              <w:rPr>
                <w:rFonts w:ascii="Consolas" w:hAnsi="Consolas"/>
                <w:sz w:val="17"/>
              </w:rPr>
              <w:t>appetiteChange</w:t>
            </w:r>
            <w:r>
              <w:rPr>
                <w:sz w:val="17"/>
              </w:rPr>
              <w:t xml:space="preserve">, </w:t>
            </w:r>
            <w:r>
              <w:rPr>
                <w:rFonts w:ascii="Consolas" w:hAnsi="Consolas"/>
                <w:sz w:val="17"/>
              </w:rPr>
              <w:t>digestiveConcern</w:t>
            </w:r>
          </w:p>
        </w:tc>
        <w:tc>
          <w:tcPr>
            <w:tcW w:type="dxa" w:w="3740"/>
          </w:tcPr>
          <w:p>
            <w:pPr>
              <w:spacing w:after="60" w:before="40"/>
            </w:pPr>
            <w:r>
              <w:rPr>
                <w:sz w:val="17"/>
              </w:rPr>
              <w:t>M</w:t>
            </w:r>
          </w:p>
        </w:tc>
        <w:tc>
          <w:tcPr>
            <w:tcW w:type="dxa" w:w="3740"/>
          </w:tcPr>
          <w:p>
            <w:pPr>
              <w:spacing w:after="60" w:before="40"/>
            </w:pPr>
            <w:r>
              <w:rPr>
                <w:rFonts w:ascii="Consolas" w:hAnsi="Consolas"/>
                <w:sz w:val="17"/>
              </w:rPr>
              <w:t>yes</w:t>
            </w:r>
            <w:r>
              <w:rPr>
                <w:sz w:val="17"/>
              </w:rPr>
              <w:t xml:space="preserve">, </w:t>
            </w:r>
            <w:r>
              <w:rPr>
                <w:rFonts w:ascii="Consolas" w:hAnsi="Consolas"/>
                <w:sz w:val="17"/>
              </w:rPr>
              <w:t>no</w:t>
            </w:r>
            <w:r>
              <w:rPr>
                <w:sz w:val="17"/>
              </w:rPr>
              <w:t xml:space="preserve">, </w:t>
            </w:r>
            <w:r>
              <w:rPr>
                <w:rFonts w:ascii="Consolas" w:hAnsi="Consolas"/>
                <w:sz w:val="17"/>
              </w:rPr>
              <w:t>unknown</w:t>
            </w:r>
          </w:p>
        </w:tc>
        <w:tc>
          <w:tcPr>
            <w:tcW w:type="dxa" w:w="3740"/>
          </w:tcPr>
          <w:p>
            <w:pPr>
              <w:spacing w:after="60" w:before="40"/>
            </w:pPr>
            <w:r>
              <w:rPr>
                <w:sz w:val="17"/>
              </w:rPr>
              <w:t>Vomiting, diarrhea, appetite change or feeding difficulty triggers review</w:t>
            </w:r>
          </w:p>
        </w:tc>
      </w:tr>
      <w:tr>
        <w:tc>
          <w:tcPr>
            <w:tcW w:type="dxa" w:w="3740"/>
          </w:tcPr>
          <w:p>
            <w:pPr>
              <w:spacing w:after="60" w:before="40"/>
            </w:pPr>
            <w:r>
              <w:rPr>
                <w:rFonts w:ascii="Consolas" w:hAnsi="Consolas"/>
                <w:sz w:val="17"/>
              </w:rPr>
              <w:t>medications</w:t>
            </w:r>
          </w:p>
        </w:tc>
        <w:tc>
          <w:tcPr>
            <w:tcW w:type="dxa" w:w="3740"/>
          </w:tcPr>
          <w:p>
            <w:pPr>
              <w:spacing w:after="60" w:before="40"/>
            </w:pPr>
            <w:r>
              <w:rPr>
                <w:sz w:val="17"/>
              </w:rPr>
              <w:t>O/C</w:t>
            </w:r>
          </w:p>
        </w:tc>
        <w:tc>
          <w:tcPr>
            <w:tcW w:type="dxa" w:w="3740"/>
          </w:tcPr>
          <w:p>
            <w:pPr>
              <w:spacing w:after="60" w:before="40"/>
            </w:pPr>
            <w:r>
              <w:rPr>
                <w:sz w:val="17"/>
              </w:rPr>
              <w:t>Name, prescribed schedule and relevant food instructions</w:t>
            </w:r>
          </w:p>
        </w:tc>
        <w:tc>
          <w:tcPr>
            <w:tcW w:type="dxa" w:w="3740"/>
          </w:tcPr>
          <w:p>
            <w:pPr>
              <w:spacing w:after="60" w:before="40"/>
            </w:pPr>
            <w:r>
              <w:rPr>
                <w:sz w:val="17"/>
              </w:rPr>
              <w:t>Ask when present/relevant; do not alter medication or insulin timing</w:t>
            </w:r>
          </w:p>
        </w:tc>
      </w:tr>
      <w:tr>
        <w:tc>
          <w:tcPr>
            <w:tcW w:type="dxa" w:w="3740"/>
          </w:tcPr>
          <w:p>
            <w:pPr>
              <w:spacing w:after="60" w:before="40"/>
            </w:pPr>
            <w:r>
              <w:rPr>
                <w:rFonts w:ascii="Consolas" w:hAnsi="Consolas"/>
                <w:sz w:val="17"/>
              </w:rPr>
              <w:t>reproductiveStatus</w:t>
            </w:r>
          </w:p>
        </w:tc>
        <w:tc>
          <w:tcPr>
            <w:tcW w:type="dxa" w:w="3740"/>
          </w:tcPr>
          <w:p>
            <w:pPr>
              <w:spacing w:after="60" w:before="40"/>
            </w:pPr>
            <w:r>
              <w:rPr>
                <w:sz w:val="17"/>
              </w:rPr>
              <w:t>M</w:t>
            </w:r>
          </w:p>
        </w:tc>
        <w:tc>
          <w:tcPr>
            <w:tcW w:type="dxa" w:w="3740"/>
          </w:tcPr>
          <w:p>
            <w:pPr>
              <w:spacing w:after="60" w:before="40"/>
            </w:pPr>
            <w:r>
              <w:rPr>
                <w:rFonts w:ascii="Consolas" w:hAnsi="Consolas"/>
                <w:sz w:val="17"/>
              </w:rPr>
              <w:t>not_pregnant_or_lactating</w:t>
            </w:r>
            <w:r>
              <w:rPr>
                <w:sz w:val="17"/>
              </w:rPr>
              <w:t xml:space="preserve">, </w:t>
            </w:r>
            <w:r>
              <w:rPr>
                <w:rFonts w:ascii="Consolas" w:hAnsi="Consolas"/>
                <w:sz w:val="17"/>
              </w:rPr>
              <w:t>pregnant</w:t>
            </w:r>
            <w:r>
              <w:rPr>
                <w:sz w:val="17"/>
              </w:rPr>
              <w:t xml:space="preserve">, </w:t>
            </w:r>
            <w:r>
              <w:rPr>
                <w:rFonts w:ascii="Consolas" w:hAnsi="Consolas"/>
                <w:sz w:val="17"/>
              </w:rPr>
              <w:t>lactating</w:t>
            </w:r>
            <w:r>
              <w:rPr>
                <w:sz w:val="17"/>
              </w:rPr>
              <w:t xml:space="preserve">, </w:t>
            </w:r>
            <w:r>
              <w:rPr>
                <w:rFonts w:ascii="Consolas" w:hAnsi="Consolas"/>
                <w:sz w:val="17"/>
              </w:rPr>
              <w:t>unknown</w:t>
            </w:r>
          </w:p>
        </w:tc>
        <w:tc>
          <w:tcPr>
            <w:tcW w:type="dxa" w:w="3740"/>
          </w:tcPr>
          <w:p>
            <w:pPr>
              <w:spacing w:after="60" w:before="40"/>
            </w:pPr>
            <w:r>
              <w:rPr>
                <w:sz w:val="17"/>
              </w:rPr>
              <w:t>Reproduction takes precedence over adult multiplier; unknown blocks</w:t>
            </w:r>
          </w:p>
        </w:tc>
      </w:tr>
      <w:tr>
        <w:tc>
          <w:tcPr>
            <w:tcW w:type="dxa" w:w="3740"/>
          </w:tcPr>
          <w:p>
            <w:pPr>
              <w:spacing w:after="60" w:before="40"/>
            </w:pPr>
            <w:r>
              <w:rPr>
                <w:rFonts w:ascii="Consolas" w:hAnsi="Consolas"/>
                <w:sz w:val="17"/>
              </w:rPr>
              <w:t>gestationDay</w:t>
            </w:r>
            <w:r>
              <w:rPr>
                <w:sz w:val="17"/>
              </w:rPr>
              <w:t xml:space="preserve">, </w:t>
            </w:r>
            <w:r>
              <w:rPr>
                <w:rFonts w:ascii="Consolas" w:hAnsi="Consolas"/>
                <w:sz w:val="17"/>
              </w:rPr>
              <w:t>prePregnancyWeightKg</w:t>
            </w:r>
          </w:p>
        </w:tc>
        <w:tc>
          <w:tcPr>
            <w:tcW w:type="dxa" w:w="3740"/>
          </w:tcPr>
          <w:p>
            <w:pPr>
              <w:spacing w:after="60" w:before="40"/>
            </w:pPr>
            <w:r>
              <w:rPr>
                <w:sz w:val="17"/>
              </w:rPr>
              <w:t>C</w:t>
            </w:r>
          </w:p>
        </w:tc>
        <w:tc>
          <w:tcPr>
            <w:tcW w:type="dxa" w:w="3740"/>
          </w:tcPr>
          <w:p>
            <w:pPr>
              <w:spacing w:after="60" w:before="40"/>
            </w:pPr>
            <w:r>
              <w:rPr>
                <w:sz w:val="17"/>
              </w:rPr>
              <w:t>Clinician-established dates/weight</w:t>
            </w:r>
          </w:p>
        </w:tc>
        <w:tc>
          <w:tcPr>
            <w:tcW w:type="dxa" w:w="3740"/>
          </w:tcPr>
          <w:p>
            <w:pPr>
              <w:spacing w:after="60" w:before="40"/>
            </w:pPr>
            <w:r>
              <w:rPr>
                <w:sz w:val="17"/>
              </w:rPr>
              <w:t>Supervised gestation method; no inferred pregnancy from sex alone</w:t>
            </w:r>
          </w:p>
        </w:tc>
      </w:tr>
      <w:tr>
        <w:tc>
          <w:tcPr>
            <w:tcW w:type="dxa" w:w="3740"/>
          </w:tcPr>
          <w:p>
            <w:pPr>
              <w:spacing w:after="60" w:before="40"/>
            </w:pPr>
            <w:r>
              <w:rPr>
                <w:rFonts w:ascii="Consolas" w:hAnsi="Consolas"/>
                <w:sz w:val="17"/>
              </w:rPr>
              <w:t>lactationWeek</w:t>
            </w:r>
            <w:r>
              <w:rPr>
                <w:sz w:val="17"/>
              </w:rPr>
              <w:t xml:space="preserve">, </w:t>
            </w:r>
            <w:r>
              <w:rPr>
                <w:rFonts w:ascii="Consolas" w:hAnsi="Consolas"/>
                <w:sz w:val="17"/>
              </w:rPr>
              <w:t>nursingPuppyCount</w:t>
            </w:r>
          </w:p>
        </w:tc>
        <w:tc>
          <w:tcPr>
            <w:tcW w:type="dxa" w:w="3740"/>
          </w:tcPr>
          <w:p>
            <w:pPr>
              <w:spacing w:after="60" w:before="40"/>
            </w:pPr>
            <w:r>
              <w:rPr>
                <w:sz w:val="17"/>
              </w:rPr>
              <w:t>C</w:t>
            </w:r>
          </w:p>
        </w:tc>
        <w:tc>
          <w:tcPr>
            <w:tcW w:type="dxa" w:w="3740"/>
          </w:tcPr>
          <w:p>
            <w:pPr>
              <w:spacing w:after="60" w:before="40"/>
            </w:pPr>
            <w:r>
              <w:rPr>
                <w:sz w:val="17"/>
              </w:rPr>
              <w:t>Positive integer; method limits explicit</w:t>
            </w:r>
          </w:p>
        </w:tc>
        <w:tc>
          <w:tcPr>
            <w:tcW w:type="dxa" w:w="3740"/>
          </w:tcPr>
          <w:p>
            <w:pPr>
              <w:spacing w:after="60" w:before="40"/>
            </w:pPr>
            <w:r>
              <w:rPr>
                <w:sz w:val="17"/>
              </w:rPr>
              <w:t>FEDIAF lactation supports weeks 1–4 and litter 1–8 only</w:t>
            </w:r>
          </w:p>
        </w:tc>
      </w:tr>
      <w:tr>
        <w:tc>
          <w:tcPr>
            <w:tcW w:type="dxa" w:w="3740"/>
          </w:tcPr>
          <w:p>
            <w:pPr>
              <w:spacing w:after="60" w:before="40"/>
            </w:pPr>
            <w:r>
              <w:rPr>
                <w:rFonts w:ascii="Consolas" w:hAnsi="Consolas"/>
                <w:sz w:val="17"/>
              </w:rPr>
              <w:t>veterinaryPlan</w:t>
            </w:r>
            <w:r>
              <w:rPr>
                <w:sz w:val="17"/>
              </w:rPr>
              <w:t xml:space="preserve">, </w:t>
            </w:r>
            <w:r>
              <w:rPr>
                <w:rFonts w:ascii="Consolas" w:hAnsi="Consolas"/>
                <w:sz w:val="17"/>
              </w:rPr>
              <w:t>reviewStatus</w:t>
            </w:r>
          </w:p>
        </w:tc>
        <w:tc>
          <w:tcPr>
            <w:tcW w:type="dxa" w:w="3740"/>
          </w:tcPr>
          <w:p>
            <w:pPr>
              <w:spacing w:after="60" w:before="40"/>
            </w:pPr>
            <w:r>
              <w:rPr>
                <w:sz w:val="17"/>
              </w:rPr>
              <w:t>C</w:t>
            </w:r>
          </w:p>
        </w:tc>
        <w:tc>
          <w:tcPr>
            <w:tcW w:type="dxa" w:w="3740"/>
          </w:tcPr>
          <w:p>
            <w:pPr>
              <w:spacing w:after="60" w:before="40"/>
            </w:pPr>
            <w:r>
              <w:rPr>
                <w:sz w:val="17"/>
              </w:rPr>
              <w:t>Structured signed version, dates and expiry</w:t>
            </w:r>
          </w:p>
        </w:tc>
        <w:tc>
          <w:tcPr>
            <w:tcW w:type="dxa" w:w="3740"/>
          </w:tcPr>
          <w:p>
            <w:pPr>
              <w:spacing w:after="60" w:before="40"/>
            </w:pPr>
            <w:r>
              <w:rPr>
                <w:sz w:val="17"/>
              </w:rPr>
              <w:t>Recording/review authority; not an owner checkbox that bypasses safety</w:t>
            </w:r>
          </w:p>
        </w:tc>
      </w:tr>
    </w:tbl>
    <w:p>
      <w:pPr>
        <w:spacing w:after="0"/>
      </w:pPr>
    </w:p>
    <w:p>
      <w:pPr>
        <w:sectPr>
          <w:pgSz w:w="16834" w:h="11909" w:orient="landscape"/>
          <w:pgMar w:top="936" w:right="936" w:bottom="936" w:left="936" w:header="432" w:footer="432" w:gutter="0"/>
          <w:cols w:space="720"/>
          <w:docGrid w:linePitch="360"/>
        </w:sectPr>
      </w:pPr>
    </w:p>
    <w:p>
      <w:r>
        <w:rPr>
          <w:b/>
        </w:rPr>
        <w:t>Product validation policy:</w:t>
      </w:r>
      <w:r>
        <w:t xml:space="preserve"> fresh measured weight ≤30 days old for ordinary adult automatic planning; confirm BCS and screening at each new plan, with dated assessment. This is a conservative software policy, not a universal clinical monitoring interval. Outlier weights prompt remeasurement and unit confirmation, rather than rejection solely because a dog exceeds a breed chart. Growth, reproductive and clinical measurement intervals are clinician-defined.</w:t>
      </w:r>
    </w:p>
    <w:p>
      <w:pPr>
        <w:pStyle w:val="Heading2"/>
      </w:pPr>
      <w:r>
        <w:t>5.2 Mandatory screens and stops</w:t>
      </w:r>
    </w:p>
    <w:p>
      <w:r>
        <w:t xml:space="preserve">For ordinary planning, collect age/growth, measured weight/date, neuter and reproduction answers, BCS, weight stability, activity, known health/appetite concerns, allergy/prescribed-diet status, exact food evidence, extras and meal schedule. Preserve </w:t>
      </w:r>
      <w:r>
        <w:rPr>
          <w:rFonts w:ascii="Consolas" w:hAnsi="Consolas"/>
          <w:sz w:val="18"/>
        </w:rPr>
        <w:t>not_assessed</w:t>
      </w:r>
      <w:r>
        <w:t xml:space="preserve"> for MCS. The safe MVP stops automatic approval for growth/uncertain growth, pregnancy/lactation, illness or suspected disease, unexplained weight change, BCS outside 4–5, muscle loss, therapeutic food, allergy trial, raw/homemade primary food, unverified product, missing calories or unknown extras. A qualified assessment can create a separate prescribed recording plan; it cannot mark unknown composition as known. These screening concepts follow </w:t>
      </w:r>
      <w:hyperlink r:id="rId35">
        <w:r>
          <w:rPr>
            <w:color w:val="165D67"/>
            <w:u w:val="single"/>
          </w:rPr>
          <w:t>WSAVA nutritional assessment</w:t>
        </w:r>
      </w:hyperlink>
      <w:r>
        <w:t>; the precise MVP gates are Vetify decisions.</w:t>
      </w:r>
    </w:p>
    <w:p>
      <w:bookmarkStart w:id="6" w:name="section_6"/>
      <w:pPr>
        <w:pStyle w:val="Heading1"/>
      </w:pPr>
      <w:r>
        <w:t>6. Life Stages and Nutritional Differences</w:t>
      </w:r>
      <w:bookmarkEnd w:id="6"/>
    </w:p>
    <w:p>
      <w:pPr>
        <w:pStyle w:val="Heading2"/>
      </w:pPr>
      <w:r>
        <w:t>6.1 Developmental classification</w:t>
      </w:r>
    </w:p>
    <w:p>
      <w:r>
        <w:t>Clinical life stage, energy model and nutrient profile are separate fields. Four months in an energy-factor rule is not the 14-week nutrient-profile boundary. Reproduction is an overlapping physiological state, not an age band.</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Stage</w:t>
            </w:r>
          </w:p>
        </w:tc>
        <w:tc>
          <w:tcPr>
            <w:tcW w:type="dxa" w:w="3740"/>
            <w:shd w:fill="154F59"/>
          </w:tcPr>
          <w:p>
            <w:pPr>
              <w:spacing w:after="60" w:before="40"/>
            </w:pPr>
            <w:r>
              <w:rPr>
                <w:b/>
                <w:color w:val="FFFFFF"/>
                <w:sz w:val="17"/>
              </w:rPr>
              <w:t>Operational criteria</w:t>
            </w:r>
          </w:p>
        </w:tc>
        <w:tc>
          <w:tcPr>
            <w:tcW w:type="dxa" w:w="3740"/>
            <w:shd w:fill="154F59"/>
          </w:tcPr>
          <w:p>
            <w:pPr>
              <w:spacing w:after="60" w:before="40"/>
            </w:pPr>
            <w:r>
              <w:rPr>
                <w:b/>
                <w:color w:val="FFFFFF"/>
                <w:sz w:val="17"/>
              </w:rPr>
              <w:t>Nutrition and feeding approach</w:t>
            </w:r>
          </w:p>
        </w:tc>
        <w:tc>
          <w:tcPr>
            <w:tcW w:type="dxa" w:w="3740"/>
            <w:shd w:fill="154F59"/>
          </w:tcPr>
          <w:p>
            <w:pPr>
              <w:spacing w:after="60" w:before="40"/>
            </w:pPr>
            <w:r>
              <w:rPr>
                <w:b/>
                <w:color w:val="FFFFFF"/>
                <w:sz w:val="17"/>
              </w:rPr>
              <w:t>Monitoring/transition</w:t>
            </w:r>
          </w:p>
        </w:tc>
      </w:tr>
      <w:tr>
        <w:tc>
          <w:tcPr>
            <w:tcW w:type="dxa" w:w="3740"/>
          </w:tcPr>
          <w:p>
            <w:pPr>
              <w:spacing w:after="60" w:before="40"/>
            </w:pPr>
            <w:r>
              <w:rPr>
                <w:sz w:val="17"/>
              </w:rPr>
              <w:t>Neonatal</w:t>
            </w:r>
          </w:p>
        </w:tc>
        <w:tc>
          <w:tcPr>
            <w:tcW w:type="dxa" w:w="3740"/>
          </w:tcPr>
          <w:p>
            <w:pPr>
              <w:spacing w:after="60" w:before="40"/>
            </w:pPr>
            <w:r>
              <w:rPr>
                <w:sz w:val="17"/>
              </w:rPr>
              <w:t>Birth until weaning begins; milk-dependent, generally first few weeks</w:t>
            </w:r>
          </w:p>
        </w:tc>
        <w:tc>
          <w:tcPr>
            <w:tcW w:type="dxa" w:w="3740"/>
          </w:tcPr>
          <w:p>
            <w:pPr>
              <w:spacing w:after="60" w:before="40"/>
            </w:pPr>
            <w:r>
              <w:rPr>
                <w:sz w:val="17"/>
              </w:rPr>
              <w:t>Maternal milk or veterinarian-selected canine replacer; no adult RER portion recipe or cow-milk substitution</w:t>
            </w:r>
          </w:p>
        </w:tc>
        <w:tc>
          <w:tcPr>
            <w:tcW w:type="dxa" w:w="3740"/>
          </w:tcPr>
          <w:p>
            <w:pPr>
              <w:spacing w:after="60" w:before="40"/>
            </w:pPr>
            <w:r>
              <w:rPr>
                <w:sz w:val="17"/>
              </w:rPr>
              <w:t>Nursing, warmth, hydration and weight require breeder/veterinarian protocol; failure to nurse or thrive needs prompt care</w:t>
            </w:r>
          </w:p>
        </w:tc>
      </w:tr>
      <w:tr>
        <w:tc>
          <w:tcPr>
            <w:tcW w:type="dxa" w:w="3740"/>
          </w:tcPr>
          <w:p>
            <w:pPr>
              <w:spacing w:after="60" w:before="40"/>
            </w:pPr>
            <w:r>
              <w:rPr>
                <w:sz w:val="17"/>
              </w:rPr>
              <w:t>Weaning</w:t>
            </w:r>
          </w:p>
        </w:tc>
        <w:tc>
          <w:tcPr>
            <w:tcW w:type="dxa" w:w="3740"/>
          </w:tcPr>
          <w:p>
            <w:pPr>
              <w:spacing w:after="60" w:before="40"/>
            </w:pPr>
            <w:r>
              <w:rPr>
                <w:sz w:val="17"/>
              </w:rPr>
              <w:t>Developmental transition; solids can begin around 3 weeks; most fully weaned around 7–10 weeks</w:t>
            </w:r>
          </w:p>
        </w:tc>
        <w:tc>
          <w:tcPr>
            <w:tcW w:type="dxa" w:w="3740"/>
          </w:tcPr>
          <w:p>
            <w:pPr>
              <w:spacing w:after="60" w:before="40"/>
            </w:pPr>
            <w:r>
              <w:rPr>
                <w:sz w:val="17"/>
              </w:rPr>
              <w:t>Suitable growth food, prepared for the puppy, alongside milk during transition; no arbitrary complete meat/rice diet</w:t>
            </w:r>
          </w:p>
        </w:tc>
        <w:tc>
          <w:tcPr>
            <w:tcW w:type="dxa" w:w="3740"/>
          </w:tcPr>
          <w:p>
            <w:pPr>
              <w:spacing w:after="60" w:before="40"/>
            </w:pPr>
            <w:r>
              <w:rPr>
                <w:sz w:val="17"/>
              </w:rPr>
              <w:t>Observe intake/stool/growth and change gradually; support orphaned puppies clinically</w:t>
            </w:r>
          </w:p>
        </w:tc>
      </w:tr>
      <w:tr>
        <w:tc>
          <w:tcPr>
            <w:tcW w:type="dxa" w:w="3740"/>
          </w:tcPr>
          <w:p>
            <w:pPr>
              <w:spacing w:after="60" w:before="40"/>
            </w:pPr>
            <w:r>
              <w:rPr>
                <w:sz w:val="17"/>
              </w:rPr>
              <w:t>Early growth</w:t>
            </w:r>
          </w:p>
        </w:tc>
        <w:tc>
          <w:tcPr>
            <w:tcW w:type="dxa" w:w="3740"/>
          </w:tcPr>
          <w:p>
            <w:pPr>
              <w:spacing w:after="60" w:before="40"/>
            </w:pPr>
            <w:r>
              <w:rPr>
                <w:sz w:val="17"/>
              </w:rPr>
              <w:t>FEDIAF: &lt;14 weeks, excluding inappropriate use in milk-dependent neonates</w:t>
            </w:r>
          </w:p>
        </w:tc>
        <w:tc>
          <w:tcPr>
            <w:tcW w:type="dxa" w:w="3740"/>
          </w:tcPr>
          <w:p>
            <w:pPr>
              <w:spacing w:after="60" w:before="40"/>
            </w:pPr>
            <w:r>
              <w:rPr>
                <w:sz w:val="17"/>
              </w:rPr>
              <w:t>Higher protein/fat profile and controlled calcium; energy estimate must match age/model domain</w:t>
            </w:r>
          </w:p>
        </w:tc>
        <w:tc>
          <w:tcPr>
            <w:tcW w:type="dxa" w:w="3740"/>
          </w:tcPr>
          <w:p>
            <w:pPr>
              <w:spacing w:after="60" w:before="40"/>
            </w:pPr>
            <w:r>
              <w:rPr>
                <w:sz w:val="17"/>
              </w:rPr>
              <w:t>Measured growth trajectory, BCS and appropriate food; frequent review</w:t>
            </w:r>
          </w:p>
        </w:tc>
      </w:tr>
      <w:tr>
        <w:tc>
          <w:tcPr>
            <w:tcW w:type="dxa" w:w="3740"/>
          </w:tcPr>
          <w:p>
            <w:pPr>
              <w:spacing w:after="60" w:before="40"/>
            </w:pPr>
            <w:r>
              <w:rPr>
                <w:sz w:val="17"/>
              </w:rPr>
              <w:t>Late growth</w:t>
            </w:r>
          </w:p>
        </w:tc>
        <w:tc>
          <w:tcPr>
            <w:tcW w:type="dxa" w:w="3740"/>
          </w:tcPr>
          <w:p>
            <w:pPr>
              <w:spacing w:after="60" w:before="40"/>
            </w:pPr>
            <w:r>
              <w:rPr>
                <w:sz w:val="17"/>
              </w:rPr>
              <w:t>FEDIAF: ≥14 weeks until growth completion; expected adult size changes calcium branch</w:t>
            </w:r>
          </w:p>
        </w:tc>
        <w:tc>
          <w:tcPr>
            <w:tcW w:type="dxa" w:w="3740"/>
          </w:tcPr>
          <w:p>
            <w:pPr>
              <w:spacing w:after="60" w:before="40"/>
            </w:pPr>
            <w:r>
              <w:rPr>
                <w:sz w:val="17"/>
              </w:rPr>
              <w:t>Lower late-growth protein minimum than early growth, fat remains growth level; adequate calcium without over-supplementation</w:t>
            </w:r>
          </w:p>
        </w:tc>
        <w:tc>
          <w:tcPr>
            <w:tcW w:type="dxa" w:w="3740"/>
          </w:tcPr>
          <w:p>
            <w:pPr>
              <w:spacing w:after="60" w:before="40"/>
            </w:pPr>
            <w:r>
              <w:rPr>
                <w:sz w:val="17"/>
              </w:rPr>
              <w:t>Size-sensitive growth completion, not a universal 12-month switch</w:t>
            </w:r>
          </w:p>
        </w:tc>
      </w:tr>
      <w:tr>
        <w:tc>
          <w:tcPr>
            <w:tcW w:type="dxa" w:w="3740"/>
          </w:tcPr>
          <w:p>
            <w:pPr>
              <w:spacing w:after="60" w:before="40"/>
            </w:pPr>
            <w:r>
              <w:rPr>
                <w:sz w:val="17"/>
              </w:rPr>
              <w:t>Adolescent</w:t>
            </w:r>
          </w:p>
        </w:tc>
        <w:tc>
          <w:tcPr>
            <w:tcW w:type="dxa" w:w="3740"/>
          </w:tcPr>
          <w:p>
            <w:pPr>
              <w:spacing w:after="60" w:before="40"/>
            </w:pPr>
            <w:r>
              <w:rPr>
                <w:sz w:val="17"/>
              </w:rPr>
              <w:t>Developmental description, overlaps late growth/young adulthood</w:t>
            </w:r>
          </w:p>
        </w:tc>
        <w:tc>
          <w:tcPr>
            <w:tcW w:type="dxa" w:w="3740"/>
          </w:tcPr>
          <w:p>
            <w:pPr>
              <w:spacing w:after="60" w:before="40"/>
            </w:pPr>
            <w:r>
              <w:rPr>
                <w:sz w:val="17"/>
              </w:rPr>
              <w:t>Remain on growth nutrition if still growing; social maturity is not proof of adult nutrient needs</w:t>
            </w:r>
          </w:p>
        </w:tc>
        <w:tc>
          <w:tcPr>
            <w:tcW w:type="dxa" w:w="3740"/>
          </w:tcPr>
          <w:p>
            <w:pPr>
              <w:spacing w:after="60" w:before="40"/>
            </w:pPr>
            <w:r>
              <w:rPr>
                <w:sz w:val="17"/>
              </w:rPr>
              <w:t>Document growth status and adult-weight estimate uncertainty</w:t>
            </w:r>
          </w:p>
        </w:tc>
      </w:tr>
      <w:tr>
        <w:tc>
          <w:tcPr>
            <w:tcW w:type="dxa" w:w="3740"/>
          </w:tcPr>
          <w:p>
            <w:pPr>
              <w:spacing w:after="60" w:before="40"/>
            </w:pPr>
            <w:r>
              <w:rPr>
                <w:sz w:val="17"/>
              </w:rPr>
              <w:t>Adult</w:t>
            </w:r>
          </w:p>
        </w:tc>
        <w:tc>
          <w:tcPr>
            <w:tcW w:type="dxa" w:w="3740"/>
          </w:tcPr>
          <w:p>
            <w:pPr>
              <w:spacing w:after="60" w:before="40"/>
            </w:pPr>
            <w:r>
              <w:rPr>
                <w:sz w:val="17"/>
              </w:rPr>
              <w:t>Physical growth complete; suitable health and body condition</w:t>
            </w:r>
          </w:p>
        </w:tc>
        <w:tc>
          <w:tcPr>
            <w:tcW w:type="dxa" w:w="3740"/>
          </w:tcPr>
          <w:p>
            <w:pPr>
              <w:spacing w:after="60" w:before="40"/>
            </w:pPr>
            <w:r>
              <w:rPr>
                <w:sz w:val="17"/>
              </w:rPr>
              <w:t>Adult maintenance profile; one estimated energy method followed by response</w:t>
            </w:r>
          </w:p>
        </w:tc>
        <w:tc>
          <w:tcPr>
            <w:tcW w:type="dxa" w:w="3740"/>
          </w:tcPr>
          <w:p>
            <w:pPr>
              <w:spacing w:after="60" w:before="40"/>
            </w:pPr>
            <w:r>
              <w:rPr>
                <w:sz w:val="17"/>
              </w:rPr>
              <w:t>Weight/BCS/MCS and intake reassessment</w:t>
            </w:r>
          </w:p>
        </w:tc>
      </w:tr>
      <w:tr>
        <w:tc>
          <w:tcPr>
            <w:tcW w:type="dxa" w:w="3740"/>
          </w:tcPr>
          <w:p>
            <w:pPr>
              <w:spacing w:after="60" w:before="40"/>
            </w:pPr>
            <w:r>
              <w:rPr>
                <w:sz w:val="17"/>
              </w:rPr>
              <w:t>Senior</w:t>
            </w:r>
          </w:p>
        </w:tc>
        <w:tc>
          <w:tcPr>
            <w:tcW w:type="dxa" w:w="3740"/>
          </w:tcPr>
          <w:p>
            <w:pPr>
              <w:spacing w:after="60" w:before="40"/>
            </w:pPr>
            <w:r>
              <w:rPr>
                <w:sz w:val="17"/>
              </w:rPr>
              <w:t>AAHA: last roughly 25% of expected lifespan; varies by size/individual</w:t>
            </w:r>
          </w:p>
        </w:tc>
        <w:tc>
          <w:tcPr>
            <w:tcW w:type="dxa" w:w="3740"/>
          </w:tcPr>
          <w:p>
            <w:pPr>
              <w:spacing w:after="60" w:before="40"/>
            </w:pPr>
            <w:r>
              <w:rPr>
                <w:sz w:val="17"/>
              </w:rPr>
              <w:t>Adult nutritional evidence plus muscle, dental and disease assessment; no universal senior factor or protein restriction</w:t>
            </w:r>
          </w:p>
        </w:tc>
        <w:tc>
          <w:tcPr>
            <w:tcW w:type="dxa" w:w="3740"/>
          </w:tcPr>
          <w:p>
            <w:pPr>
              <w:spacing w:after="60" w:before="40"/>
            </w:pPr>
            <w:r>
              <w:rPr>
                <w:sz w:val="17"/>
              </w:rPr>
              <w:t>More clinical assessment; unintentional weight/muscle loss requires investigation</w:t>
            </w:r>
          </w:p>
        </w:tc>
      </w:tr>
      <w:tr>
        <w:tc>
          <w:tcPr>
            <w:tcW w:type="dxa" w:w="3740"/>
          </w:tcPr>
          <w:p>
            <w:pPr>
              <w:spacing w:after="60" w:before="40"/>
            </w:pPr>
            <w:r>
              <w:rPr>
                <w:sz w:val="17"/>
              </w:rPr>
              <w:t>Pregnant</w:t>
            </w:r>
          </w:p>
        </w:tc>
        <w:tc>
          <w:tcPr>
            <w:tcW w:type="dxa" w:w="3740"/>
          </w:tcPr>
          <w:p>
            <w:pPr>
              <w:spacing w:after="60" w:before="40"/>
            </w:pPr>
            <w:r>
              <w:rPr>
                <w:sz w:val="17"/>
              </w:rPr>
              <w:t>Confirmed pregnancy and stage</w:t>
            </w:r>
          </w:p>
        </w:tc>
        <w:tc>
          <w:tcPr>
            <w:tcW w:type="dxa" w:w="3740"/>
          </w:tcPr>
          <w:p>
            <w:pPr>
              <w:spacing w:after="60" w:before="40"/>
            </w:pPr>
            <w:r>
              <w:rPr>
                <w:sz w:val="17"/>
              </w:rPr>
              <w:t>Suitable growth/reproduction diet; supervised gestation energy model</w:t>
            </w:r>
          </w:p>
        </w:tc>
        <w:tc>
          <w:tcPr>
            <w:tcW w:type="dxa" w:w="3740"/>
          </w:tcPr>
          <w:p>
            <w:pPr>
              <w:spacing w:after="60" w:before="40"/>
            </w:pPr>
            <w:r>
              <w:rPr>
                <w:sz w:val="17"/>
              </w:rPr>
              <w:t>Maternal condition, gestation date, tolerance and obstetric review</w:t>
            </w:r>
          </w:p>
        </w:tc>
      </w:tr>
      <w:tr>
        <w:tc>
          <w:tcPr>
            <w:tcW w:type="dxa" w:w="3740"/>
          </w:tcPr>
          <w:p>
            <w:pPr>
              <w:spacing w:after="60" w:before="40"/>
            </w:pPr>
            <w:r>
              <w:rPr>
                <w:sz w:val="17"/>
              </w:rPr>
              <w:t>Lactating</w:t>
            </w:r>
          </w:p>
        </w:tc>
        <w:tc>
          <w:tcPr>
            <w:tcW w:type="dxa" w:w="3740"/>
          </w:tcPr>
          <w:p>
            <w:pPr>
              <w:spacing w:after="60" w:before="40"/>
            </w:pPr>
            <w:r>
              <w:rPr>
                <w:sz w:val="17"/>
              </w:rPr>
              <w:t>Nursing with litter count and week</w:t>
            </w:r>
          </w:p>
        </w:tc>
        <w:tc>
          <w:tcPr>
            <w:tcW w:type="dxa" w:w="3740"/>
          </w:tcPr>
          <w:p>
            <w:pPr>
              <w:spacing w:after="60" w:before="40"/>
            </w:pPr>
            <w:r>
              <w:rPr>
                <w:sz w:val="17"/>
              </w:rPr>
              <w:t>High-demand growth/reproduction feeding; supervised litter-dependent estimate</w:t>
            </w:r>
          </w:p>
        </w:tc>
        <w:tc>
          <w:tcPr>
            <w:tcW w:type="dxa" w:w="3740"/>
          </w:tcPr>
          <w:p>
            <w:pPr>
              <w:spacing w:after="60" w:before="40"/>
            </w:pPr>
            <w:r>
              <w:rPr>
                <w:sz w:val="17"/>
              </w:rPr>
              <w:t>Dam weight/condition, intake, hydration and puppy growth; demand varies greatly</w:t>
            </w:r>
          </w:p>
        </w:tc>
      </w:tr>
    </w:tbl>
    <w:p>
      <w:pPr>
        <w:spacing w:after="0"/>
      </w:pPr>
    </w:p>
    <w:p>
      <w:pPr>
        <w:sectPr>
          <w:pgSz w:w="16834" w:h="11909" w:orient="landscape"/>
          <w:pgMar w:top="936" w:right="936" w:bottom="936" w:left="936" w:header="432" w:footer="432" w:gutter="0"/>
          <w:cols w:space="720"/>
          <w:docGrid w:linePitch="360"/>
        </w:sectPr>
      </w:pPr>
    </w:p>
    <w:p>
      <w:r>
        <w:t xml:space="preserve">Development and weaning sources: </w:t>
      </w:r>
      <w:hyperlink r:id="rId19">
        <w:r>
          <w:rPr>
            <w:color w:val="165D67"/>
            <w:u w:val="single"/>
          </w:rPr>
          <w:t>Cornell puppy development</w:t>
        </w:r>
      </w:hyperlink>
      <w:r>
        <w:t xml:space="preserve">, </w:t>
      </w:r>
      <w:hyperlink r:id="rId36">
        <w:r>
          <w:rPr>
            <w:color w:val="165D67"/>
            <w:u w:val="single"/>
          </w:rPr>
          <w:t>AAHA canine life-stage definitions</w:t>
        </w:r>
      </w:hyperlink>
      <w:r>
        <w:t xml:space="preserve">, </w:t>
      </w:r>
      <w:hyperlink r:id="rId37">
        <w:r>
          <w:rPr>
            <w:color w:val="165D67"/>
            <w:u w:val="single"/>
          </w:rPr>
          <w:t>AAHA senior definition</w:t>
        </w:r>
      </w:hyperlink>
      <w:r>
        <w:t xml:space="preserve">. Numerical profiles and reproductive estimates: </w:t>
      </w:r>
      <w:hyperlink r:id="rId18">
        <w:r>
          <w:rPr>
            <w:color w:val="165D67"/>
            <w:u w:val="single"/>
          </w:rPr>
          <w:t>FEDIAF 2025, canine tables III-3 and VII-8</w:t>
        </w:r>
      </w:hyperlink>
      <w:r>
        <w:t>.</w:t>
      </w:r>
    </w:p>
    <w:p>
      <w:pPr>
        <w:pStyle w:val="Heading2"/>
      </w:pPr>
      <w:r>
        <w:t>6.2 Size, meals and transitions</w:t>
      </w:r>
    </w:p>
    <w:p>
      <w:r>
        <w:t xml:space="preserve">Small, medium, large and giant are useful growth descriptions but are not interchangeable across standards. Store numeric expected adult mass. FEDIAF's late-growth calcium branch uses </w:t>
      </w:r>
      <w:r>
        <w:rPr>
          <w:b/>
        </w:rPr>
        <w:t xml:space="preserve"> 15 kg</w:t>
      </w:r>
      <w:r>
        <w:t xml:space="preserve">; the AAFCO large-size growth label uses </w:t>
      </w:r>
      <w:r>
        <w:rPr>
          <w:b/>
        </w:rPr>
        <w:t xml:space="preserve"> 70 lb (about 31.75 kg)</w:t>
      </w:r>
      <w:r>
        <w:t xml:space="preserve">. Store both rules separately. Large and giant dogs may still be growing beyond one year; confirm completion rather than extrapolating an energy equation outside its validated age domain. Excess energy and inappropriate calcium during growth are particular concerns. A complete appropriate growth diet should not receive owner-selected calcium supplements. </w:t>
      </w:r>
      <w:hyperlink r:id="rId20">
        <w:r>
          <w:rPr>
            <w:color w:val="165D67"/>
            <w:u w:val="single"/>
          </w:rPr>
          <w:t>AAHA age/breed diets</w:t>
        </w:r>
      </w:hyperlink>
      <w:r>
        <w:t>.</w:t>
      </w:r>
    </w:p>
    <w:p>
      <w:r>
        <w:t xml:space="preserve">For weaned puppies, three meals through approximately six months and two thereafter are a practical starting schedule; very small puppies and clinical cases may need a different schedule. Adults commonly receive two measured meals. Reproductive feeding frequency is individualized; the lactation example uses four meals only as an illustration. The daily total is determined before distribution. </w:t>
      </w:r>
      <w:hyperlink r:id="rId24">
        <w:r>
          <w:rPr>
            <w:color w:val="165D67"/>
            <w:u w:val="single"/>
          </w:rPr>
          <w:t>Merck feeding practices</w:t>
        </w:r>
      </w:hyperlink>
      <w:r>
        <w:t>.</w:t>
      </w:r>
    </w:p>
    <w:p>
      <w:r>
        <w:rPr>
          <w:b/>
        </w:rPr>
        <w:t>Proposed monitoring UI:</w:t>
      </w:r>
      <w:r>
        <w:t xml:space="preserve"> offer weekly weight reminders during supervised growth, adult monthly weight recording and earlier review after a food/goal/activity change. Clinicians can change these intervals. Use a gradual 4–7-day food transition for an uncomplicated food change when tolerated, unless the clinician directs otherwise; nutrient eligibility must remain appropriate during the transition. </w:t>
      </w:r>
      <w:hyperlink r:id="rId22">
        <w:r>
          <w:rPr>
            <w:color w:val="165D67"/>
            <w:u w:val="single"/>
          </w:rPr>
          <w:t>AAHA healthy feeding plans</w:t>
        </w:r>
      </w:hyperlink>
      <w:r>
        <w:t>.</w:t>
      </w:r>
    </w:p>
    <w:p>
      <w:bookmarkStart w:id="7" w:name="section_7"/>
      <w:pPr>
        <w:pStyle w:val="Heading1"/>
      </w:pPr>
      <w:r>
        <w:t>7. Energy and Calorie Calculations</w:t>
      </w:r>
      <w:bookmarkEnd w:id="7"/>
    </w:p>
    <w:p>
      <w:pPr>
        <w:pStyle w:val="Heading2"/>
      </w:pPr>
      <w:r>
        <w:t>7.1 RER and one-method selection</w:t>
      </w:r>
    </w:p>
    <w:p>
      <w:r>
        <w:t xml:space="preserve">Let </w:t>
      </w:r>
      <w:r>
        <w:rPr>
          <w:rFonts w:ascii="Consolas" w:hAnsi="Consolas"/>
          <w:sz w:val="18"/>
        </w:rPr>
        <w:t>W</w:t>
      </w:r>
      <w:r>
        <w:t xml:space="preserve"> be the selected body-weight basis in kg:</w:t>
      </w:r>
    </w:p>
    <w:p>
      <w:pPr>
        <w:spacing w:after="0" w:line="240" w:lineRule="auto"/>
        <w:shd w:fill="F2F5F5"/>
      </w:pPr>
      <w:r>
        <w:rPr>
          <w:rFonts w:ascii="Consolas" w:hAnsi="Consolas"/>
          <w:sz w:val="17"/>
        </w:rPr>
        <w:t>RER = 70 × W^0.75                  [kcal/day]</w:t>
      </w:r>
    </w:p>
    <w:p>
      <w:pPr>
        <w:spacing w:after="0" w:line="240" w:lineRule="auto"/>
        <w:shd w:fill="F2F5F5"/>
      </w:pPr>
      <w:r>
        <w:rPr>
          <w:rFonts w:ascii="Consolas" w:hAnsi="Consolas"/>
          <w:sz w:val="17"/>
        </w:rPr>
        <w:t>Estimated daily energy = RER × f   [kcal/day]</w:t>
      </w:r>
    </w:p>
    <w:p>
      <w:r>
        <w:t xml:space="preserve">The coefficient has implicit dimensions </w:t>
      </w:r>
      <w:r>
        <w:rPr>
          <w:rFonts w:ascii="Consolas" w:hAnsi="Consolas"/>
          <w:sz w:val="18"/>
        </w:rPr>
        <w:t>kcal/day/kg^0.75</w:t>
      </w:r>
      <w:r>
        <w:t xml:space="preserve">. RER estimates resting requirements, not an adequate standalone daily ration for every dog. Use positive measured weight, retain unrounded arithmetic, and never use pounds as kilograms. For 10 kg, </w:t>
      </w:r>
      <w:r>
        <w:rPr>
          <w:rFonts w:ascii="Consolas" w:hAnsi="Consolas"/>
          <w:sz w:val="18"/>
        </w:rPr>
        <w:t>10^0.75 = 5.6234132519</w:t>
      </w:r>
      <w:r>
        <w:t xml:space="preserve">; RER is </w:t>
      </w:r>
      <w:r>
        <w:rPr>
          <w:b/>
        </w:rPr>
        <w:t xml:space="preserve"> 393.6389276 kcal/day</w:t>
      </w:r>
      <w:r>
        <w:t xml:space="preserve">, approximately 394. </w:t>
      </w:r>
      <w:hyperlink r:id="rId14">
        <w:r>
          <w:rPr>
            <w:color w:val="165D67"/>
            <w:u w:val="single"/>
          </w:rPr>
          <w:t>AAHA energy estimates</w:t>
        </w:r>
      </w:hyperlink>
      <w:r>
        <w:t>.</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AAHA starting context</w:t>
            </w:r>
          </w:p>
        </w:tc>
        <w:tc>
          <w:tcPr>
            <w:tcW w:type="dxa" w:w="3740"/>
            <w:shd w:fill="154F59"/>
          </w:tcPr>
          <w:p>
            <w:pPr>
              <w:spacing w:after="60" w:before="40"/>
            </w:pPr>
            <w:r>
              <w:rPr>
                <w:b/>
                <w:color w:val="FFFFFF"/>
                <w:sz w:val="17"/>
              </w:rPr>
              <w:t xml:space="preserve">Factor </w:t>
            </w:r>
            <w:r>
              <w:rPr>
                <w:rFonts w:ascii="Consolas" w:hAnsi="Consolas"/>
                <w:b/>
                <w:color w:val="FFFFFF"/>
                <w:sz w:val="17"/>
              </w:rPr>
              <w:t>f</w:t>
            </w:r>
          </w:p>
        </w:tc>
        <w:tc>
          <w:tcPr>
            <w:tcW w:type="dxa" w:w="3740"/>
            <w:shd w:fill="154F59"/>
          </w:tcPr>
          <w:p>
            <w:pPr>
              <w:spacing w:after="60" w:before="40"/>
            </w:pPr>
            <w:r>
              <w:rPr>
                <w:b/>
                <w:color w:val="FFFFFF"/>
                <w:sz w:val="17"/>
              </w:rPr>
              <w:t>Weight basis</w:t>
            </w:r>
          </w:p>
        </w:tc>
        <w:tc>
          <w:tcPr>
            <w:tcW w:type="dxa" w:w="3740"/>
            <w:shd w:fill="154F59"/>
          </w:tcPr>
          <w:p>
            <w:pPr>
              <w:spacing w:after="60" w:before="40"/>
            </w:pPr>
            <w:r>
              <w:rPr>
                <w:b/>
                <w:color w:val="FFFFFF"/>
                <w:sz w:val="17"/>
              </w:rPr>
              <w:t>Vetify use</w:t>
            </w:r>
          </w:p>
        </w:tc>
      </w:tr>
      <w:tr>
        <w:tc>
          <w:tcPr>
            <w:tcW w:type="dxa" w:w="3740"/>
          </w:tcPr>
          <w:p>
            <w:pPr>
              <w:spacing w:after="60" w:before="40"/>
            </w:pPr>
            <w:r>
              <w:rPr>
                <w:sz w:val="17"/>
              </w:rPr>
              <w:t>Neutered ordinary adult</w:t>
            </w:r>
          </w:p>
        </w:tc>
        <w:tc>
          <w:tcPr>
            <w:tcW w:type="dxa" w:w="3740"/>
          </w:tcPr>
          <w:p>
            <w:pPr>
              <w:spacing w:after="60" w:before="40"/>
            </w:pPr>
            <w:r>
              <w:rPr>
                <w:sz w:val="17"/>
              </w:rPr>
              <w:t>1.4–1.6</w:t>
            </w:r>
          </w:p>
        </w:tc>
        <w:tc>
          <w:tcPr>
            <w:tcW w:type="dxa" w:w="3740"/>
          </w:tcPr>
          <w:p>
            <w:pPr>
              <w:spacing w:after="60" w:before="40"/>
            </w:pPr>
            <w:r>
              <w:rPr>
                <w:sz w:val="17"/>
              </w:rPr>
              <w:t>Current measured weight at appropriate condition</w:t>
            </w:r>
          </w:p>
        </w:tc>
        <w:tc>
          <w:tcPr>
            <w:tcW w:type="dxa" w:w="3740"/>
          </w:tcPr>
          <w:p>
            <w:pPr>
              <w:spacing w:after="60" w:before="40"/>
            </w:pPr>
            <w:r>
              <w:rPr>
                <w:sz w:val="17"/>
              </w:rPr>
              <w:t>MVP default 1.4 is a proposed initial setting; allow reviewed method version to select within range</w:t>
            </w:r>
          </w:p>
        </w:tc>
      </w:tr>
      <w:tr>
        <w:tc>
          <w:tcPr>
            <w:tcW w:type="dxa" w:w="3740"/>
          </w:tcPr>
          <w:p>
            <w:pPr>
              <w:spacing w:after="60" w:before="40"/>
            </w:pPr>
            <w:r>
              <w:rPr>
                <w:sz w:val="17"/>
              </w:rPr>
              <w:t>Intact ordinary adult</w:t>
            </w:r>
          </w:p>
        </w:tc>
        <w:tc>
          <w:tcPr>
            <w:tcW w:type="dxa" w:w="3740"/>
          </w:tcPr>
          <w:p>
            <w:pPr>
              <w:spacing w:after="60" w:before="40"/>
            </w:pPr>
            <w:r>
              <w:rPr>
                <w:sz w:val="17"/>
              </w:rPr>
              <w:t>1.6–1.8</w:t>
            </w:r>
          </w:p>
        </w:tc>
        <w:tc>
          <w:tcPr>
            <w:tcW w:type="dxa" w:w="3740"/>
          </w:tcPr>
          <w:p>
            <w:pPr>
              <w:spacing w:after="60" w:before="40"/>
            </w:pPr>
            <w:r>
              <w:rPr>
                <w:sz w:val="17"/>
              </w:rPr>
              <w:t>Current</w:t>
            </w:r>
          </w:p>
        </w:tc>
        <w:tc>
          <w:tcPr>
            <w:tcW w:type="dxa" w:w="3740"/>
          </w:tcPr>
          <w:p>
            <w:pPr>
              <w:spacing w:after="60" w:before="40"/>
            </w:pPr>
            <w:r>
              <w:rPr>
                <w:sz w:val="17"/>
              </w:rPr>
              <w:t>Proposed default 1.6; assess response</w:t>
            </w:r>
          </w:p>
        </w:tc>
      </w:tr>
      <w:tr>
        <w:tc>
          <w:tcPr>
            <w:tcW w:type="dxa" w:w="3740"/>
          </w:tcPr>
          <w:p>
            <w:pPr>
              <w:spacing w:after="60" w:before="40"/>
            </w:pPr>
            <w:r>
              <w:rPr>
                <w:sz w:val="17"/>
              </w:rPr>
              <w:t>Inactive/obesity-prone adult</w:t>
            </w:r>
          </w:p>
        </w:tc>
        <w:tc>
          <w:tcPr>
            <w:tcW w:type="dxa" w:w="3740"/>
          </w:tcPr>
          <w:p>
            <w:pPr>
              <w:spacing w:after="60" w:before="40"/>
            </w:pPr>
            <w:r>
              <w:rPr>
                <w:sz w:val="17"/>
              </w:rPr>
              <w:t>1.0–1.2</w:t>
            </w:r>
          </w:p>
        </w:tc>
        <w:tc>
          <w:tcPr>
            <w:tcW w:type="dxa" w:w="3740"/>
          </w:tcPr>
          <w:p>
            <w:pPr>
              <w:spacing w:after="60" w:before="40"/>
            </w:pPr>
            <w:r>
              <w:rPr>
                <w:sz w:val="17"/>
              </w:rPr>
              <w:t>Current if not on a weight-loss plan</w:t>
            </w:r>
          </w:p>
        </w:tc>
        <w:tc>
          <w:tcPr>
            <w:tcW w:type="dxa" w:w="3740"/>
          </w:tcPr>
          <w:p>
            <w:pPr>
              <w:spacing w:after="60" w:before="40"/>
            </w:pPr>
            <w:r>
              <w:rPr>
                <w:sz w:val="17"/>
              </w:rPr>
              <w:t>Review, rather than assume this describes every neutered dog</w:t>
            </w:r>
          </w:p>
        </w:tc>
      </w:tr>
      <w:tr>
        <w:tc>
          <w:tcPr>
            <w:tcW w:type="dxa" w:w="3740"/>
          </w:tcPr>
          <w:p>
            <w:pPr>
              <w:spacing w:after="60" w:before="40"/>
            </w:pPr>
            <w:r>
              <w:rPr>
                <w:sz w:val="17"/>
              </w:rPr>
              <w:t>Weight reduction</w:t>
            </w:r>
          </w:p>
        </w:tc>
        <w:tc>
          <w:tcPr>
            <w:tcW w:type="dxa" w:w="3740"/>
          </w:tcPr>
          <w:p>
            <w:pPr>
              <w:spacing w:after="60" w:before="40"/>
            </w:pPr>
            <w:r>
              <w:rPr>
                <w:sz w:val="17"/>
              </w:rPr>
              <w:t>1.0</w:t>
            </w:r>
          </w:p>
        </w:tc>
        <w:tc>
          <w:tcPr>
            <w:tcW w:type="dxa" w:w="3740"/>
          </w:tcPr>
          <w:p>
            <w:pPr>
              <w:spacing w:after="60" w:before="40"/>
            </w:pPr>
            <w:r>
              <w:rPr>
                <w:sz w:val="17"/>
              </w:rPr>
              <w:t>Clinician-established ideal weight</w:t>
            </w:r>
          </w:p>
        </w:tc>
        <w:tc>
          <w:tcPr>
            <w:tcW w:type="dxa" w:w="3740"/>
          </w:tcPr>
          <w:p>
            <w:pPr>
              <w:spacing w:after="60" w:before="40"/>
            </w:pPr>
            <w:r>
              <w:rPr>
                <w:sz w:val="17"/>
              </w:rPr>
              <w:t>Supervised clinical workflow; not generic maintenance-food restriction</w:t>
            </w:r>
          </w:p>
        </w:tc>
      </w:tr>
      <w:tr>
        <w:tc>
          <w:tcPr>
            <w:tcW w:type="dxa" w:w="3740"/>
          </w:tcPr>
          <w:p>
            <w:pPr>
              <w:spacing w:after="60" w:before="40"/>
            </w:pPr>
            <w:r>
              <w:rPr>
                <w:sz w:val="17"/>
              </w:rPr>
              <w:t>Growing &lt;4 months</w:t>
            </w:r>
          </w:p>
        </w:tc>
        <w:tc>
          <w:tcPr>
            <w:tcW w:type="dxa" w:w="3740"/>
          </w:tcPr>
          <w:p>
            <w:pPr>
              <w:spacing w:after="60" w:before="40"/>
            </w:pPr>
            <w:r>
              <w:rPr>
                <w:sz w:val="17"/>
              </w:rPr>
              <w:t>3.0</w:t>
            </w:r>
          </w:p>
        </w:tc>
        <w:tc>
          <w:tcPr>
            <w:tcW w:type="dxa" w:w="3740"/>
          </w:tcPr>
          <w:p>
            <w:pPr>
              <w:spacing w:after="60" w:before="40"/>
            </w:pPr>
            <w:r>
              <w:rPr>
                <w:sz w:val="17"/>
              </w:rPr>
              <w:t>Current</w:t>
            </w:r>
          </w:p>
        </w:tc>
        <w:tc>
          <w:tcPr>
            <w:tcW w:type="dxa" w:w="3740"/>
          </w:tcPr>
          <w:p>
            <w:pPr>
              <w:spacing w:after="60" w:before="40"/>
            </w:pPr>
            <w:r>
              <w:rPr>
                <w:sz w:val="17"/>
              </w:rPr>
              <w:t>Supervised growth estimate; not neonatal replacement calculation</w:t>
            </w:r>
          </w:p>
        </w:tc>
      </w:tr>
      <w:tr>
        <w:tc>
          <w:tcPr>
            <w:tcW w:type="dxa" w:w="3740"/>
          </w:tcPr>
          <w:p>
            <w:pPr>
              <w:spacing w:after="60" w:before="40"/>
            </w:pPr>
            <w:r>
              <w:rPr>
                <w:sz w:val="17"/>
              </w:rPr>
              <w:t>Growing ≥4 months</w:t>
            </w:r>
          </w:p>
        </w:tc>
        <w:tc>
          <w:tcPr>
            <w:tcW w:type="dxa" w:w="3740"/>
          </w:tcPr>
          <w:p>
            <w:pPr>
              <w:spacing w:after="60" w:before="40"/>
            </w:pPr>
            <w:r>
              <w:rPr>
                <w:sz w:val="17"/>
              </w:rPr>
              <w:t>2.0</w:t>
            </w:r>
          </w:p>
        </w:tc>
        <w:tc>
          <w:tcPr>
            <w:tcW w:type="dxa" w:w="3740"/>
          </w:tcPr>
          <w:p>
            <w:pPr>
              <w:spacing w:after="60" w:before="40"/>
            </w:pPr>
            <w:r>
              <w:rPr>
                <w:sz w:val="17"/>
              </w:rPr>
              <w:t>Current</w:t>
            </w:r>
          </w:p>
        </w:tc>
        <w:tc>
          <w:tcPr>
            <w:tcW w:type="dxa" w:w="3740"/>
          </w:tcPr>
          <w:p>
            <w:pPr>
              <w:spacing w:after="60" w:before="40"/>
            </w:pPr>
            <w:r>
              <w:rPr>
                <w:sz w:val="17"/>
              </w:rPr>
              <w:t>Only while growing; large individual variation</w:t>
            </w:r>
          </w:p>
        </w:tc>
      </w:tr>
      <w:tr>
        <w:tc>
          <w:tcPr>
            <w:tcW w:type="dxa" w:w="3740"/>
          </w:tcPr>
          <w:p>
            <w:pPr>
              <w:spacing w:after="60" w:before="40"/>
            </w:pPr>
            <w:r>
              <w:rPr>
                <w:sz w:val="17"/>
              </w:rPr>
              <w:t>Gestation, last 21 days</w:t>
            </w:r>
          </w:p>
        </w:tc>
        <w:tc>
          <w:tcPr>
            <w:tcW w:type="dxa" w:w="3740"/>
          </w:tcPr>
          <w:p>
            <w:pPr>
              <w:spacing w:after="60" w:before="40"/>
            </w:pPr>
            <w:r>
              <w:rPr>
                <w:sz w:val="17"/>
              </w:rPr>
              <w:t>3.0</w:t>
            </w:r>
          </w:p>
        </w:tc>
        <w:tc>
          <w:tcPr>
            <w:tcW w:type="dxa" w:w="3740"/>
          </w:tcPr>
          <w:p>
            <w:pPr>
              <w:spacing w:after="60" w:before="40"/>
            </w:pPr>
            <w:r>
              <w:rPr>
                <w:sz w:val="17"/>
              </w:rPr>
              <w:t>Reviewed maternal basis</w:t>
            </w:r>
          </w:p>
        </w:tc>
        <w:tc>
          <w:tcPr>
            <w:tcW w:type="dxa" w:w="3740"/>
          </w:tcPr>
          <w:p>
            <w:pPr>
              <w:spacing w:after="60" w:before="40"/>
            </w:pPr>
            <w:r>
              <w:rPr>
                <w:sz w:val="17"/>
              </w:rPr>
              <w:t>One AAHA estimate; no additional adult/neuter factor</w:t>
            </w:r>
          </w:p>
        </w:tc>
      </w:tr>
      <w:tr>
        <w:tc>
          <w:tcPr>
            <w:tcW w:type="dxa" w:w="3740"/>
          </w:tcPr>
          <w:p>
            <w:pPr>
              <w:spacing w:after="60" w:before="40"/>
            </w:pPr>
            <w:r>
              <w:rPr>
                <w:sz w:val="17"/>
              </w:rPr>
              <w:t>Lactation</w:t>
            </w:r>
          </w:p>
        </w:tc>
        <w:tc>
          <w:tcPr>
            <w:tcW w:type="dxa" w:w="3740"/>
          </w:tcPr>
          <w:p>
            <w:pPr>
              <w:spacing w:after="60" w:before="40"/>
            </w:pPr>
            <w:r>
              <w:rPr>
                <w:sz w:val="17"/>
              </w:rPr>
              <w:t>3.0 to ≥6.0</w:t>
            </w:r>
          </w:p>
        </w:tc>
        <w:tc>
          <w:tcPr>
            <w:tcW w:type="dxa" w:w="3740"/>
          </w:tcPr>
          <w:p>
            <w:pPr>
              <w:spacing w:after="60" w:before="40"/>
            </w:pPr>
            <w:r>
              <w:rPr>
                <w:sz w:val="17"/>
              </w:rPr>
              <w:t>Reviewed maternal basis</w:t>
            </w:r>
          </w:p>
        </w:tc>
        <w:tc>
          <w:tcPr>
            <w:tcW w:type="dxa" w:w="3740"/>
          </w:tcPr>
          <w:p>
            <w:pPr>
              <w:spacing w:after="60" w:before="40"/>
            </w:pPr>
            <w:r>
              <w:rPr>
                <w:sz w:val="17"/>
              </w:rPr>
              <w:t>Range only; cannot pick a universal factor from it</w:t>
            </w:r>
          </w:p>
        </w:tc>
      </w:tr>
      <w:tr>
        <w:tc>
          <w:tcPr>
            <w:tcW w:type="dxa" w:w="3740"/>
          </w:tcPr>
          <w:p>
            <w:pPr>
              <w:spacing w:after="60" w:before="40"/>
            </w:pPr>
            <w:r>
              <w:rPr>
                <w:sz w:val="17"/>
              </w:rPr>
              <w:t>Light work</w:t>
            </w:r>
          </w:p>
        </w:tc>
        <w:tc>
          <w:tcPr>
            <w:tcW w:type="dxa" w:w="3740"/>
          </w:tcPr>
          <w:p>
            <w:pPr>
              <w:spacing w:after="60" w:before="40"/>
            </w:pPr>
            <w:r>
              <w:rPr>
                <w:sz w:val="17"/>
              </w:rPr>
              <w:t>1.6–2.0</w:t>
            </w:r>
          </w:p>
        </w:tc>
        <w:tc>
          <w:tcPr>
            <w:tcW w:type="dxa" w:w="3740"/>
          </w:tcPr>
          <w:p>
            <w:pPr>
              <w:spacing w:after="60" w:before="40"/>
            </w:pPr>
            <w:r>
              <w:rPr>
                <w:sz w:val="17"/>
              </w:rPr>
              <w:t>Current at appropriate condition</w:t>
            </w:r>
          </w:p>
        </w:tc>
        <w:tc>
          <w:tcPr>
            <w:tcW w:type="dxa" w:w="3740"/>
          </w:tcPr>
          <w:p>
            <w:pPr>
              <w:spacing w:after="60" w:before="40"/>
            </w:pPr>
            <w:r>
              <w:rPr>
                <w:sz w:val="17"/>
              </w:rPr>
              <w:t>Work context and follow-up required</w:t>
            </w:r>
          </w:p>
        </w:tc>
      </w:tr>
      <w:tr>
        <w:tc>
          <w:tcPr>
            <w:tcW w:type="dxa" w:w="3740"/>
          </w:tcPr>
          <w:p>
            <w:pPr>
              <w:spacing w:after="60" w:before="40"/>
            </w:pPr>
            <w:r>
              <w:rPr>
                <w:sz w:val="17"/>
              </w:rPr>
              <w:t>Moderate work</w:t>
            </w:r>
          </w:p>
        </w:tc>
        <w:tc>
          <w:tcPr>
            <w:tcW w:type="dxa" w:w="3740"/>
          </w:tcPr>
          <w:p>
            <w:pPr>
              <w:spacing w:after="60" w:before="40"/>
            </w:pPr>
            <w:r>
              <w:rPr>
                <w:sz w:val="17"/>
              </w:rPr>
              <w:t>2.0–5.0</w:t>
            </w:r>
          </w:p>
        </w:tc>
        <w:tc>
          <w:tcPr>
            <w:tcW w:type="dxa" w:w="3740"/>
          </w:tcPr>
          <w:p>
            <w:pPr>
              <w:spacing w:after="60" w:before="40"/>
            </w:pPr>
            <w:r>
              <w:rPr>
                <w:sz w:val="17"/>
              </w:rPr>
              <w:t>Current</w:t>
            </w:r>
          </w:p>
        </w:tc>
        <w:tc>
          <w:tcPr>
            <w:tcW w:type="dxa" w:w="3740"/>
          </w:tcPr>
          <w:p>
            <w:pPr>
              <w:spacing w:after="60" w:before="40"/>
            </w:pPr>
            <w:r>
              <w:rPr>
                <w:sz w:val="17"/>
              </w:rPr>
              <w:t>Specialist review</w:t>
            </w:r>
          </w:p>
        </w:tc>
      </w:tr>
      <w:tr>
        <w:tc>
          <w:tcPr>
            <w:tcW w:type="dxa" w:w="3740"/>
          </w:tcPr>
          <w:p>
            <w:pPr>
              <w:spacing w:after="60" w:before="40"/>
            </w:pPr>
            <w:r>
              <w:rPr>
                <w:sz w:val="17"/>
              </w:rPr>
              <w:t>Heavy work</w:t>
            </w:r>
          </w:p>
        </w:tc>
        <w:tc>
          <w:tcPr>
            <w:tcW w:type="dxa" w:w="3740"/>
          </w:tcPr>
          <w:p>
            <w:pPr>
              <w:spacing w:after="60" w:before="40"/>
            </w:pPr>
            <w:r>
              <w:rPr>
                <w:sz w:val="17"/>
              </w:rPr>
              <w:t>5.0–11.0</w:t>
            </w:r>
          </w:p>
        </w:tc>
        <w:tc>
          <w:tcPr>
            <w:tcW w:type="dxa" w:w="3740"/>
          </w:tcPr>
          <w:p>
            <w:pPr>
              <w:spacing w:after="60" w:before="40"/>
            </w:pPr>
            <w:r>
              <w:rPr>
                <w:sz w:val="17"/>
              </w:rPr>
              <w:t>Current</w:t>
            </w:r>
          </w:p>
        </w:tc>
        <w:tc>
          <w:tcPr>
            <w:tcW w:type="dxa" w:w="3740"/>
          </w:tcPr>
          <w:p>
            <w:pPr>
              <w:spacing w:after="60" w:before="40"/>
            </w:pPr>
            <w:r>
              <w:rPr>
                <w:sz w:val="17"/>
              </w:rPr>
              <w:t>Specialist review; not recreational exercise presets</w:t>
            </w:r>
          </w:p>
        </w:tc>
      </w:tr>
    </w:tbl>
    <w:p>
      <w:pPr>
        <w:spacing w:after="0"/>
      </w:pPr>
    </w:p>
    <w:p>
      <w:pPr>
        <w:sectPr>
          <w:pgSz w:w="16834" w:h="11909" w:orient="landscape"/>
          <w:pgMar w:top="936" w:right="936" w:bottom="936" w:left="936" w:header="432" w:footer="432" w:gutter="0"/>
          <w:cols w:space="720"/>
          <w:docGrid w:linePitch="360"/>
        </w:sectPr>
      </w:pPr>
    </w:p>
    <w:p>
      <w:r>
        <w:t xml:space="preserve">Ranges are starting estimates, not bounds on all individuals. Merck gives commonly used adult factors 1.6/1.8 and a different obesity-prone starting estimate; Vetify must identify its chosen method instead of averaging references. </w:t>
      </w:r>
      <w:hyperlink r:id="rId16">
        <w:r>
          <w:rPr>
            <w:color w:val="165D67"/>
            <w:u w:val="single"/>
          </w:rPr>
          <w:t>Merck nutritional requirements</w:t>
        </w:r>
      </w:hyperlink>
      <w:r>
        <w:t>.</w:t>
      </w:r>
    </w:p>
    <w:p>
      <w:r>
        <w:rPr>
          <w:b/>
        </w:rPr>
        <w:t>Priority:</w:t>
      </w:r>
      <w:r>
        <w:t xml:space="preserve"> emergency/health screening → prescribed plan → reproduction → growth → supervised loss/gain → work → ordinary adult maintenance. Select exactly one energy method. For an intact pregnant dog, do not multiply an intact factor by pregnancy factor. For an active neutered adult, select the work method rather than </w:t>
      </w:r>
      <w:r>
        <w:rPr>
          <w:rFonts w:ascii="Consolas" w:hAnsi="Consolas"/>
          <w:sz w:val="18"/>
        </w:rPr>
        <w:t>1.6 × 2</w:t>
      </w:r>
      <w:r>
        <w:t>. BCS, age, breed and heat do not add automatic multipliers. If existing measured intake maintains appropriate condition, it is valuable response evidence, but verify extras and weighing before replacing the estimate.</w:t>
      </w:r>
    </w:p>
    <w:p>
      <w:pPr>
        <w:pStyle w:val="Heading2"/>
      </w:pPr>
      <w:r>
        <w:t>7.2 Separate FEDIAF alternatives</w:t>
      </w:r>
    </w:p>
    <w:p>
      <w:r>
        <w:t xml:space="preserve">FEDIAF 2025 table VII-8 b gives these </w:t>
      </w:r>
      <w:r>
        <w:rPr>
          <w:b/>
        </w:rPr>
        <w:t>alternative</w:t>
      </w:r>
      <w:r>
        <w:t xml:space="preserve">, average estimates. </w:t>
      </w:r>
      <w:r>
        <w:rPr>
          <w:rFonts w:ascii="Consolas" w:hAnsi="Consolas"/>
          <w:sz w:val="18"/>
        </w:rPr>
        <w:t>W</w:t>
      </w:r>
      <w:r>
        <w:t xml:space="preserve"> is actual kg body weight; </w:t>
      </w:r>
      <w:r>
        <w:rPr>
          <w:rFonts w:ascii="Consolas" w:hAnsi="Consolas"/>
          <w:sz w:val="18"/>
        </w:rPr>
        <w:t>A</w:t>
      </w:r>
      <w:r>
        <w:t xml:space="preserve"> expected mature kg weight; </w:t>
      </w:r>
      <w:r>
        <w:rPr>
          <w:rFonts w:ascii="Consolas" w:hAnsi="Consolas"/>
          <w:sz w:val="18"/>
        </w:rPr>
        <w:t>n</w:t>
      </w:r>
      <w:r>
        <w:t xml:space="preserve"> nursing puppies. Store their own method IDs and domains.</w:t>
      </w:r>
    </w:p>
    <w:p>
      <w:pPr>
        <w:spacing w:after="0" w:line="240" w:lineRule="auto"/>
        <w:shd w:fill="F2F5F5"/>
      </w:pPr>
      <w:r>
        <w:rPr>
          <w:rFonts w:ascii="Consolas" w:hAnsi="Consolas"/>
          <w:sz w:val="17"/>
        </w:rPr>
        <w:t>Growth, 8 weeks–1 year:</w:t>
      </w:r>
    </w:p>
    <w:p>
      <w:pPr>
        <w:spacing w:after="0" w:line="240" w:lineRule="auto"/>
        <w:shd w:fill="F2F5F5"/>
      </w:pPr>
      <w:r>
        <w:rPr>
          <w:rFonts w:ascii="Consolas" w:hAnsi="Consolas"/>
          <w:sz w:val="17"/>
        </w:rPr>
        <w:t>E = [254.1 − 135 × (W/A)] × W^0.75</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Gestation, first 4 weeks: E = 132 × W^0.75</w:t>
      </w:r>
    </w:p>
    <w:p>
      <w:pPr>
        <w:spacing w:after="0" w:line="240" w:lineRule="auto"/>
        <w:shd w:fill="F2F5F5"/>
      </w:pPr>
      <w:r>
        <w:rPr>
          <w:rFonts w:ascii="Consolas" w:hAnsi="Consolas"/>
          <w:sz w:val="17"/>
        </w:rPr>
        <w:t>Gestation, last 5 weeks: E = 132 × W^0.75 + 26 × W</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Lactation, n = 1..4: E = 145 × W^0.75 + 24 × n × W × L</w:t>
      </w:r>
    </w:p>
    <w:p>
      <w:pPr>
        <w:spacing w:after="0" w:line="240" w:lineRule="auto"/>
        <w:shd w:fill="F2F5F5"/>
      </w:pPr>
      <w:r>
        <w:rPr>
          <w:rFonts w:ascii="Consolas" w:hAnsi="Consolas"/>
          <w:sz w:val="17"/>
        </w:rPr>
        <w:t>Lactation, n = 5..8: E = 145 × W^0.75 + [96 + 12 × (n−4)] × W × L</w:t>
      </w:r>
    </w:p>
    <w:p>
      <w:pPr>
        <w:spacing w:after="0" w:line="240" w:lineRule="auto"/>
        <w:shd w:fill="F2F5F5"/>
      </w:pPr>
      <w:r>
        <w:rPr>
          <w:rFonts w:ascii="Consolas" w:hAnsi="Consolas"/>
          <w:sz w:val="17"/>
        </w:rPr>
        <w:t>L by week 1,2,3,4 = 0.75, 0.95, 1.10, 1.20 respectively</w:t>
      </w:r>
    </w:p>
    <w:p>
      <w:r>
        <w:t xml:space="preserve">All results are kcal/day. The 2025 growth expression and corrected </w:t>
      </w:r>
      <w:r>
        <w:rPr>
          <w:rFonts w:ascii="Consolas" w:hAnsi="Consolas"/>
          <w:sz w:val="18"/>
        </w:rPr>
        <w:t>(n−4)</w:t>
      </w:r>
      <w:r>
        <w:t xml:space="preserve"> lactation term must not be replaced by older internet formulas. Unknown expected mature weight, </w:t>
      </w:r>
      <w:r>
        <w:rPr>
          <w:rFonts w:ascii="Consolas" w:hAnsi="Consolas"/>
          <w:sz w:val="18"/>
        </w:rPr>
        <w:t>W&gt;A</w:t>
      </w:r>
      <w:r>
        <w:t xml:space="preserve">, uncertain gestation timing, week outside 1–4 or litter outside 1–8 returns </w:t>
      </w:r>
      <w:r>
        <w:rPr>
          <w:rFonts w:ascii="Consolas" w:hAnsi="Consolas"/>
          <w:sz w:val="18"/>
        </w:rPr>
        <w:t>METHOD_OUT_OF_DOMAIN</w:t>
      </w:r>
      <w:r>
        <w:t xml:space="preserve">; do not clamp or extrapolate. Maternal pregnancy weight can include conceptus mass; the basis needs clinical confirmation. These estimates do not establish a safe recipe or adequate milk production. The newborn reference is </w:t>
      </w:r>
      <w:r>
        <w:rPr>
          <w:rFonts w:ascii="Consolas" w:hAnsi="Consolas"/>
          <w:sz w:val="18"/>
        </w:rPr>
        <w:t>25 × (body weight in grams/100)</w:t>
      </w:r>
      <w:r>
        <w:t xml:space="preserve"> kcal/day, but is intentionally not offered as an owner feeding calculator: milk concentration, hydration, age and clinical protocol are required. </w:t>
      </w:r>
      <w:hyperlink r:id="rId18">
        <w:r>
          <w:rPr>
            <w:color w:val="165D67"/>
            <w:u w:val="single"/>
          </w:rPr>
          <w:t>FEDIAF 2025, p. 56</w:t>
        </w:r>
      </w:hyperlink>
      <w:r>
        <w:t>.</w:t>
      </w:r>
    </w:p>
    <w:p>
      <w:pPr>
        <w:pStyle w:val="Heading2"/>
      </w:pPr>
      <w:r>
        <w:t>7.3 Weight goals and follow-up</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Goal/context</w:t>
            </w:r>
          </w:p>
        </w:tc>
        <w:tc>
          <w:tcPr>
            <w:tcW w:type="dxa" w:w="3346"/>
            <w:shd w:fill="154F59"/>
          </w:tcPr>
          <w:p>
            <w:pPr>
              <w:spacing w:after="60" w:before="40"/>
            </w:pPr>
            <w:r>
              <w:rPr>
                <w:b/>
                <w:color w:val="FFFFFF"/>
                <w:sz w:val="19"/>
              </w:rPr>
              <w:t>Basis and method</w:t>
            </w:r>
          </w:p>
        </w:tc>
        <w:tc>
          <w:tcPr>
            <w:tcW w:type="dxa" w:w="3346"/>
            <w:shd w:fill="154F59"/>
          </w:tcPr>
          <w:p>
            <w:pPr>
              <w:spacing w:after="60" w:before="40"/>
            </w:pPr>
            <w:r>
              <w:rPr>
                <w:b/>
                <w:color w:val="FFFFFF"/>
                <w:sz w:val="19"/>
              </w:rPr>
              <w:t>Restriction</w:t>
            </w:r>
          </w:p>
        </w:tc>
      </w:tr>
      <w:tr>
        <w:tc>
          <w:tcPr>
            <w:tcW w:type="dxa" w:w="3346"/>
          </w:tcPr>
          <w:p>
            <w:pPr>
              <w:spacing w:after="60" w:before="40"/>
            </w:pPr>
            <w:r>
              <w:rPr>
                <w:sz w:val="19"/>
              </w:rPr>
              <w:t>Healthy maintenance</w:t>
            </w:r>
          </w:p>
        </w:tc>
        <w:tc>
          <w:tcPr>
            <w:tcW w:type="dxa" w:w="3346"/>
          </w:tcPr>
          <w:p>
            <w:pPr>
              <w:spacing w:after="60" w:before="40"/>
            </w:pPr>
            <w:r>
              <w:rPr>
                <w:sz w:val="19"/>
              </w:rPr>
              <w:t>Current weight; one adult method; adjust against measured condition/intake</w:t>
            </w:r>
          </w:p>
        </w:tc>
        <w:tc>
          <w:tcPr>
            <w:tcW w:type="dxa" w:w="3346"/>
          </w:tcPr>
          <w:p>
            <w:pPr>
              <w:spacing w:after="60" w:before="40"/>
            </w:pPr>
            <w:r>
              <w:rPr>
                <w:sz w:val="19"/>
              </w:rPr>
              <w:t>No unexplained trend or muscle loss</w:t>
            </w:r>
          </w:p>
        </w:tc>
      </w:tr>
      <w:tr>
        <w:tc>
          <w:tcPr>
            <w:tcW w:type="dxa" w:w="3346"/>
          </w:tcPr>
          <w:p>
            <w:pPr>
              <w:spacing w:after="60" w:before="40"/>
            </w:pPr>
            <w:r>
              <w:rPr>
                <w:sz w:val="19"/>
              </w:rPr>
              <w:t>Weight reduction</w:t>
            </w:r>
          </w:p>
        </w:tc>
        <w:tc>
          <w:tcPr>
            <w:tcW w:type="dxa" w:w="3346"/>
          </w:tcPr>
          <w:p>
            <w:pPr>
              <w:spacing w:after="60" w:before="40"/>
            </w:pPr>
            <w:r>
              <w:rPr>
                <w:sz w:val="19"/>
              </w:rPr>
              <w:t>Ideal weight confirmed clinically; AAHA 1×RER initial estimate</w:t>
            </w:r>
          </w:p>
        </w:tc>
        <w:tc>
          <w:tcPr>
            <w:tcW w:type="dxa" w:w="3346"/>
          </w:tcPr>
          <w:p>
            <w:pPr>
              <w:spacing w:after="60" w:before="40"/>
            </w:pPr>
            <w:r>
              <w:rPr>
                <w:sz w:val="19"/>
              </w:rPr>
              <w:t>Appropriate weight-management diet, full nutrient density, clinician follow-up</w:t>
            </w:r>
          </w:p>
        </w:tc>
      </w:tr>
      <w:tr>
        <w:tc>
          <w:tcPr>
            <w:tcW w:type="dxa" w:w="3346"/>
          </w:tcPr>
          <w:p>
            <w:pPr>
              <w:spacing w:after="60" w:before="40"/>
            </w:pPr>
            <w:r>
              <w:rPr>
                <w:sz w:val="19"/>
              </w:rPr>
              <w:t>Healthy gain after assessment</w:t>
            </w:r>
          </w:p>
        </w:tc>
        <w:tc>
          <w:tcPr>
            <w:tcW w:type="dxa" w:w="3346"/>
          </w:tcPr>
          <w:p>
            <w:pPr>
              <w:spacing w:after="60" w:before="40"/>
            </w:pPr>
            <w:r>
              <w:rPr>
                <w:sz w:val="19"/>
              </w:rPr>
              <w:t>Current condition/intake and clinician's goal</w:t>
            </w:r>
          </w:p>
        </w:tc>
        <w:tc>
          <w:tcPr>
            <w:tcW w:type="dxa" w:w="3346"/>
          </w:tcPr>
          <w:p>
            <w:pPr>
              <w:spacing w:after="60" w:before="40"/>
            </w:pPr>
            <w:r>
              <w:rPr>
                <w:sz w:val="19"/>
              </w:rPr>
              <w:t>No universal gain factor or automatic rapid increase</w:t>
            </w:r>
          </w:p>
        </w:tc>
      </w:tr>
      <w:tr>
        <w:tc>
          <w:tcPr>
            <w:tcW w:type="dxa" w:w="3346"/>
          </w:tcPr>
          <w:p>
            <w:pPr>
              <w:spacing w:after="60" w:before="40"/>
            </w:pPr>
            <w:r>
              <w:rPr>
                <w:sz w:val="19"/>
              </w:rPr>
              <w:t>Underweight or unexplained loss</w:t>
            </w:r>
          </w:p>
        </w:tc>
        <w:tc>
          <w:tcPr>
            <w:tcW w:type="dxa" w:w="3346"/>
          </w:tcPr>
          <w:p>
            <w:pPr>
              <w:spacing w:after="60" w:before="40"/>
            </w:pPr>
            <w:r>
              <w:rPr>
                <w:sz w:val="19"/>
              </w:rPr>
              <w:t>Clinical evaluation before energy prescription</w:t>
            </w:r>
          </w:p>
        </w:tc>
        <w:tc>
          <w:tcPr>
            <w:tcW w:type="dxa" w:w="3346"/>
          </w:tcPr>
          <w:p>
            <w:pPr>
              <w:spacing w:after="60" w:before="40"/>
            </w:pPr>
            <w:r>
              <w:rPr>
                <w:sz w:val="19"/>
              </w:rPr>
              <w:t>Diagnose illness/parasites/malabsorption and assess refeeding risk; record only</w:t>
            </w:r>
          </w:p>
        </w:tc>
      </w:tr>
      <w:tr>
        <w:tc>
          <w:tcPr>
            <w:tcW w:type="dxa" w:w="3346"/>
          </w:tcPr>
          <w:p>
            <w:pPr>
              <w:spacing w:after="60" w:before="40"/>
            </w:pPr>
            <w:r>
              <w:rPr>
                <w:sz w:val="19"/>
              </w:rPr>
              <w:t>Growth</w:t>
            </w:r>
          </w:p>
        </w:tc>
        <w:tc>
          <w:tcPr>
            <w:tcW w:type="dxa" w:w="3346"/>
          </w:tcPr>
          <w:p>
            <w:pPr>
              <w:spacing w:after="60" w:before="40"/>
            </w:pPr>
            <w:r>
              <w:rPr>
                <w:sz w:val="19"/>
              </w:rPr>
              <w:t>Actual current weight; expected adult weight used only by growth-specific rules</w:t>
            </w:r>
          </w:p>
        </w:tc>
        <w:tc>
          <w:tcPr>
            <w:tcW w:type="dxa" w:w="3346"/>
          </w:tcPr>
          <w:p>
            <w:pPr>
              <w:spacing w:after="60" w:before="40"/>
            </w:pPr>
            <w:r>
              <w:rPr>
                <w:sz w:val="19"/>
              </w:rPr>
              <w:t>Lean controlled growth, not adult loss/gain algorithm</w:t>
            </w:r>
          </w:p>
        </w:tc>
      </w:tr>
      <w:tr>
        <w:tc>
          <w:tcPr>
            <w:tcW w:type="dxa" w:w="3346"/>
          </w:tcPr>
          <w:p>
            <w:pPr>
              <w:spacing w:after="60" w:before="40"/>
            </w:pPr>
            <w:r>
              <w:rPr>
                <w:sz w:val="19"/>
              </w:rPr>
              <w:t>Suspected abnormal rapid gain/loss</w:t>
            </w:r>
          </w:p>
        </w:tc>
        <w:tc>
          <w:tcPr>
            <w:tcW w:type="dxa" w:w="3346"/>
          </w:tcPr>
          <w:p>
            <w:pPr>
              <w:spacing w:after="60" w:before="40"/>
            </w:pPr>
            <w:r>
              <w:rPr>
                <w:sz w:val="19"/>
              </w:rPr>
              <w:t>Confirm measurements then clinical review</w:t>
            </w:r>
          </w:p>
        </w:tc>
        <w:tc>
          <w:tcPr>
            <w:tcW w:type="dxa" w:w="3346"/>
          </w:tcPr>
          <w:p>
            <w:pPr>
              <w:spacing w:after="60" w:before="40"/>
            </w:pPr>
            <w:r>
              <w:rPr>
                <w:sz w:val="19"/>
              </w:rPr>
              <w:t>Do not compensate silently with a multiplier</w:t>
            </w:r>
          </w:p>
        </w:tc>
      </w:tr>
    </w:tbl>
    <w:p>
      <w:pPr>
        <w:spacing w:after="0"/>
      </w:pPr>
    </w:p>
    <w:p>
      <w:r>
        <w:t xml:space="preserve">Supervised canine weight loss commonly targets </w:t>
      </w:r>
      <w:r>
        <w:rPr>
          <w:b/>
        </w:rPr>
        <w:t xml:space="preserve"> 1–2% of current body weight per week</w:t>
      </w:r>
      <w:r>
        <w:t xml:space="preserve">, with reassessment; it is not an automatic demand to lose 2%. AAHA's current diabetic-dog guidance also specifies not exceeding 2% per week and emphasizes clinical context. </w:t>
      </w:r>
      <w:hyperlink r:id="rId14">
        <w:r>
          <w:rPr>
            <w:color w:val="165D67"/>
            <w:u w:val="single"/>
          </w:rPr>
          <w:t>AAHA weight reduction</w:t>
        </w:r>
      </w:hyperlink>
      <w:r>
        <w:t xml:space="preserve">, </w:t>
      </w:r>
      <w:hyperlink r:id="rId38">
        <w:r>
          <w:rPr>
            <w:color w:val="165D67"/>
            <w:u w:val="single"/>
          </w:rPr>
          <w:t>AAHA 2026 diabetes dietary management</w:t>
        </w:r>
      </w:hyperlink>
      <w:r>
        <w:t xml:space="preserve">. Do not derive ideal weight mechanically from a BCS point or breed mean. The response percentage is </w:t>
      </w:r>
      <w:r>
        <w:rPr>
          <w:rFonts w:ascii="Consolas" w:hAnsi="Consolas"/>
          <w:sz w:val="18"/>
        </w:rPr>
        <w:t>(previous kg − current kg)/previous kg ×100</w:t>
      </w:r>
      <w:r>
        <w:t>, divided by elapsed weeks when describing a weekly rate.</w:t>
      </w:r>
    </w:p>
    <w:p>
      <w:r>
        <w:rPr>
          <w:b/>
        </w:rPr>
        <w:t>Proposed review process:</w:t>
      </w:r>
      <w:r>
        <w:t xml:space="preserve"> show trends, flag departure from clinician-approved trajectory, and request re-evaluation. Any routine percentage adjustment step, permitted range and interval must be approved in a protocol before automation; this blueprint does not invent a universal adjustment percentage. Never force intake below a selected standard's validated energy-intake domain without nutrient-density review.</w:t>
      </w:r>
    </w:p>
    <w:p>
      <w:pPr>
        <w:pStyle w:val="Heading2"/>
      </w:pPr>
      <w:r>
        <w:t>7.4 Seven independently checked examples</w:t>
      </w:r>
    </w:p>
    <w:p>
      <w:r>
        <w:t xml:space="preserve">These examples use invented </w:t>
      </w:r>
      <w:r>
        <w:rPr>
          <w:b/>
        </w:rPr>
        <w:t>illustrative label densities</w:t>
      </w:r>
      <w:r>
        <w:t xml:space="preserve">, not recommended brands or tested recipes: growth food 4.0 kcal/g, adult dry food 3.7 kcal/g, wet food 0.9 kcal/g, prescribed reduction food 3.2 kcal/g. Assume verified appropriate complete products, no extras, fresh weights, known health status and owner ability to weigh grams. Formula results were independently evaluated with 50-digit decimal arithmetic using </w:t>
      </w:r>
      <w:r>
        <w:rPr>
          <w:rFonts w:ascii="Consolas" w:hAnsi="Consolas"/>
          <w:sz w:val="18"/>
        </w:rPr>
        <w:t>sqrt(W) × sqrt(sqrt(W))</w:t>
      </w:r>
      <w:r>
        <w:t xml:space="preserve"> for </w:t>
      </w:r>
      <w:r>
        <w:rPr>
          <w:rFonts w:ascii="Consolas" w:hAnsi="Consolas"/>
          <w:sz w:val="18"/>
        </w:rPr>
        <w:t>W^0.75</w:t>
      </w:r>
      <w:r>
        <w:t>. All calorie factors remain starting estimates. Growth, work, weight-loss and reproductive examples require review and are disabled in MVP.</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Example and profile</w:t>
            </w:r>
          </w:p>
        </w:tc>
        <w:tc>
          <w:tcPr>
            <w:tcW w:type="dxa" w:w="3740"/>
            <w:shd w:fill="154F59"/>
          </w:tcPr>
          <w:p>
            <w:pPr>
              <w:spacing w:after="60" w:before="40"/>
            </w:pPr>
            <w:r>
              <w:rPr>
                <w:b/>
                <w:color w:val="FFFFFF"/>
                <w:sz w:val="17"/>
              </w:rPr>
              <w:t>RER and selected method</w:t>
            </w:r>
          </w:p>
        </w:tc>
        <w:tc>
          <w:tcPr>
            <w:tcW w:type="dxa" w:w="3740"/>
            <w:shd w:fill="154F59"/>
          </w:tcPr>
          <w:p>
            <w:pPr>
              <w:spacing w:after="60" w:before="40"/>
            </w:pPr>
            <w:r>
              <w:rPr>
                <w:b/>
                <w:color w:val="FFFFFF"/>
                <w:sz w:val="17"/>
              </w:rPr>
              <w:t>Daily calories and grams</w:t>
            </w:r>
          </w:p>
        </w:tc>
        <w:tc>
          <w:tcPr>
            <w:tcW w:type="dxa" w:w="3740"/>
            <w:shd w:fill="154F59"/>
          </w:tcPr>
          <w:p>
            <w:pPr>
              <w:spacing w:after="60" w:before="40"/>
            </w:pPr>
            <w:r>
              <w:rPr>
                <w:b/>
                <w:color w:val="FFFFFF"/>
                <w:sz w:val="17"/>
              </w:rPr>
              <w:t>Illustrative meal distribution and limits</w:t>
            </w:r>
          </w:p>
        </w:tc>
      </w:tr>
      <w:tr>
        <w:tc>
          <w:tcPr>
            <w:tcW w:type="dxa" w:w="3740"/>
          </w:tcPr>
          <w:p>
            <w:pPr>
              <w:spacing w:after="60" w:before="40"/>
            </w:pPr>
            <w:r>
              <w:rPr>
                <w:sz w:val="17"/>
              </w:rPr>
              <w:t>1. Female 4 kg puppy, 3 months, expected adult 12 kg, growing, BCS 5, no concern</w:t>
            </w:r>
          </w:p>
        </w:tc>
        <w:tc>
          <w:tcPr>
            <w:tcW w:type="dxa" w:w="3740"/>
          </w:tcPr>
          <w:p>
            <w:pPr>
              <w:spacing w:after="60" w:before="40"/>
            </w:pPr>
            <w:r>
              <w:rPr>
                <w:rFonts w:ascii="Consolas" w:hAnsi="Consolas"/>
                <w:sz w:val="17"/>
              </w:rPr>
              <w:t>70×4^0.75=197.989899</w:t>
            </w:r>
            <w:r>
              <w:rPr>
                <w:sz w:val="17"/>
              </w:rPr>
              <w:t xml:space="preserve">; AAHA </w:t>
            </w:r>
            <w:r>
              <w:rPr>
                <w:rFonts w:ascii="Consolas" w:hAnsi="Consolas"/>
                <w:sz w:val="17"/>
              </w:rPr>
              <w:t>&lt;4 months</w:t>
            </w:r>
            <w:r>
              <w:rPr>
                <w:sz w:val="17"/>
              </w:rPr>
              <w:t xml:space="preserve">, </w:t>
            </w:r>
            <w:r>
              <w:rPr>
                <w:rFonts w:ascii="Consolas" w:hAnsi="Consolas"/>
                <w:sz w:val="17"/>
              </w:rPr>
              <w:t>f=3</w:t>
            </w:r>
          </w:p>
        </w:tc>
        <w:tc>
          <w:tcPr>
            <w:tcW w:type="dxa" w:w="3740"/>
          </w:tcPr>
          <w:p>
            <w:pPr>
              <w:spacing w:after="60" w:before="40"/>
            </w:pPr>
            <w:r>
              <w:rPr>
                <w:rFonts w:ascii="Consolas" w:hAnsi="Consolas"/>
                <w:sz w:val="17"/>
              </w:rPr>
              <w:t>593.969696 kcal</w:t>
            </w:r>
            <w:r>
              <w:rPr>
                <w:sz w:val="17"/>
              </w:rPr>
              <w:t xml:space="preserve">; </w:t>
            </w:r>
            <w:r>
              <w:rPr>
                <w:rFonts w:ascii="Consolas" w:hAnsi="Consolas"/>
                <w:sz w:val="17"/>
              </w:rPr>
              <w:t>/4=148.492424 g</w:t>
            </w:r>
            <w:r>
              <w:rPr>
                <w:sz w:val="17"/>
              </w:rPr>
              <w:t xml:space="preserve"> →148.5 g</w:t>
            </w:r>
          </w:p>
        </w:tc>
        <w:tc>
          <w:tcPr>
            <w:tcW w:type="dxa" w:w="3740"/>
          </w:tcPr>
          <w:p>
            <w:pPr>
              <w:spacing w:after="60" w:before="40"/>
            </w:pPr>
            <w:r>
              <w:rPr>
                <w:sz w:val="17"/>
              </w:rPr>
              <w:t>3 meals: 49.5/49.5/49.5 g; suitable growth food, supervised trajectory</w:t>
            </w:r>
          </w:p>
        </w:tc>
      </w:tr>
      <w:tr>
        <w:tc>
          <w:tcPr>
            <w:tcW w:type="dxa" w:w="3740"/>
          </w:tcPr>
          <w:p>
            <w:pPr>
              <w:spacing w:after="60" w:before="40"/>
            </w:pPr>
            <w:r>
              <w:rPr>
                <w:sz w:val="17"/>
              </w:rPr>
              <w:t>2. Male 8 kg puppy, 8 months, expected adult 12 kg, still growing, BCS 5</w:t>
            </w:r>
          </w:p>
        </w:tc>
        <w:tc>
          <w:tcPr>
            <w:tcW w:type="dxa" w:w="3740"/>
          </w:tcPr>
          <w:p>
            <w:pPr>
              <w:spacing w:after="60" w:before="40"/>
            </w:pPr>
            <w:r>
              <w:rPr>
                <w:rFonts w:ascii="Consolas" w:hAnsi="Consolas"/>
                <w:sz w:val="17"/>
              </w:rPr>
              <w:t>70×8^0.75=332.977992</w:t>
            </w:r>
            <w:r>
              <w:rPr>
                <w:sz w:val="17"/>
              </w:rPr>
              <w:t xml:space="preserve">; AAHA growing </w:t>
            </w:r>
            <w:r>
              <w:rPr>
                <w:rFonts w:ascii="Consolas" w:hAnsi="Consolas"/>
                <w:sz w:val="17"/>
              </w:rPr>
              <w:t>≥4 months</w:t>
            </w:r>
            <w:r>
              <w:rPr>
                <w:sz w:val="17"/>
              </w:rPr>
              <w:t xml:space="preserve">, </w:t>
            </w:r>
            <w:r>
              <w:rPr>
                <w:rFonts w:ascii="Consolas" w:hAnsi="Consolas"/>
                <w:sz w:val="17"/>
              </w:rPr>
              <w:t>f=2</w:t>
            </w:r>
          </w:p>
        </w:tc>
        <w:tc>
          <w:tcPr>
            <w:tcW w:type="dxa" w:w="3740"/>
          </w:tcPr>
          <w:p>
            <w:pPr>
              <w:spacing w:after="60" w:before="40"/>
            </w:pPr>
            <w:r>
              <w:rPr>
                <w:rFonts w:ascii="Consolas" w:hAnsi="Consolas"/>
                <w:sz w:val="17"/>
              </w:rPr>
              <w:t>665.955984 kcal</w:t>
            </w:r>
            <w:r>
              <w:rPr>
                <w:sz w:val="17"/>
              </w:rPr>
              <w:t xml:space="preserve">; </w:t>
            </w:r>
            <w:r>
              <w:rPr>
                <w:rFonts w:ascii="Consolas" w:hAnsi="Consolas"/>
                <w:sz w:val="17"/>
              </w:rPr>
              <w:t>/4=166.488996 g</w:t>
            </w:r>
            <w:r>
              <w:rPr>
                <w:sz w:val="17"/>
              </w:rPr>
              <w:t xml:space="preserve"> →166.5 g</w:t>
            </w:r>
          </w:p>
        </w:tc>
        <w:tc>
          <w:tcPr>
            <w:tcW w:type="dxa" w:w="3740"/>
          </w:tcPr>
          <w:p>
            <w:pPr>
              <w:spacing w:after="60" w:before="40"/>
            </w:pPr>
            <w:r>
              <w:rPr>
                <w:sz w:val="17"/>
              </w:rPr>
              <w:t>2 meals: 83.2/83.3 g; do not assume adulthood at this age</w:t>
            </w:r>
          </w:p>
        </w:tc>
      </w:tr>
      <w:tr>
        <w:tc>
          <w:tcPr>
            <w:tcW w:type="dxa" w:w="3740"/>
          </w:tcPr>
          <w:p>
            <w:pPr>
              <w:spacing w:after="60" w:before="40"/>
            </w:pPr>
            <w:r>
              <w:rPr>
                <w:sz w:val="17"/>
              </w:rPr>
              <w:t>3. Male 10 kg neutered adult, 3 years, BCS 5, ordinary activity, stable</w:t>
            </w:r>
          </w:p>
        </w:tc>
        <w:tc>
          <w:tcPr>
            <w:tcW w:type="dxa" w:w="3740"/>
          </w:tcPr>
          <w:p>
            <w:pPr>
              <w:spacing w:after="60" w:before="40"/>
            </w:pPr>
            <w:r>
              <w:rPr>
                <w:rFonts w:ascii="Consolas" w:hAnsi="Consolas"/>
                <w:sz w:val="17"/>
              </w:rPr>
              <w:t>70×10^0.75=393.638928</w:t>
            </w:r>
            <w:r>
              <w:rPr>
                <w:sz w:val="17"/>
              </w:rPr>
              <w:t xml:space="preserve">; illustrative upper end of AAHA range, </w:t>
            </w:r>
            <w:r>
              <w:rPr>
                <w:rFonts w:ascii="Consolas" w:hAnsi="Consolas"/>
                <w:sz w:val="17"/>
              </w:rPr>
              <w:t>f=1.6</w:t>
            </w:r>
          </w:p>
        </w:tc>
        <w:tc>
          <w:tcPr>
            <w:tcW w:type="dxa" w:w="3740"/>
          </w:tcPr>
          <w:p>
            <w:pPr>
              <w:spacing w:after="60" w:before="40"/>
            </w:pPr>
            <w:r>
              <w:rPr>
                <w:rFonts w:ascii="Consolas" w:hAnsi="Consolas"/>
                <w:sz w:val="17"/>
              </w:rPr>
              <w:t>629.822284 kcal</w:t>
            </w:r>
            <w:r>
              <w:rPr>
                <w:sz w:val="17"/>
              </w:rPr>
              <w:t xml:space="preserve">; </w:t>
            </w:r>
            <w:r>
              <w:rPr>
                <w:rFonts w:ascii="Consolas" w:hAnsi="Consolas"/>
                <w:sz w:val="17"/>
              </w:rPr>
              <w:t>/3.7=170.222239 g</w:t>
            </w:r>
            <w:r>
              <w:rPr>
                <w:sz w:val="17"/>
              </w:rPr>
              <w:t xml:space="preserve"> →170.2 g</w:t>
            </w:r>
          </w:p>
        </w:tc>
        <w:tc>
          <w:tcPr>
            <w:tcW w:type="dxa" w:w="3740"/>
          </w:tcPr>
          <w:p>
            <w:pPr>
              <w:spacing w:after="60" w:before="40"/>
            </w:pPr>
            <w:r>
              <w:rPr>
                <w:sz w:val="17"/>
              </w:rPr>
              <w:t>2×85.1 g; example factor differs from proposed MVP default 1.4 and must be identified</w:t>
            </w:r>
          </w:p>
        </w:tc>
      </w:tr>
      <w:tr>
        <w:tc>
          <w:tcPr>
            <w:tcW w:type="dxa" w:w="3740"/>
          </w:tcPr>
          <w:p>
            <w:pPr>
              <w:spacing w:after="60" w:before="40"/>
            </w:pPr>
            <w:r>
              <w:rPr>
                <w:sz w:val="17"/>
              </w:rPr>
              <w:t>4. Female 25 kg growth-complete adult, 4 years, neutered, BCS 5, documented light work</w:t>
            </w:r>
          </w:p>
        </w:tc>
        <w:tc>
          <w:tcPr>
            <w:tcW w:type="dxa" w:w="3740"/>
          </w:tcPr>
          <w:p>
            <w:pPr>
              <w:spacing w:after="60" w:before="40"/>
            </w:pPr>
            <w:r>
              <w:rPr>
                <w:rFonts w:ascii="Consolas" w:hAnsi="Consolas"/>
                <w:sz w:val="17"/>
              </w:rPr>
              <w:t>70×25^0.75=782.623792</w:t>
            </w:r>
            <w:r>
              <w:rPr>
                <w:sz w:val="17"/>
              </w:rPr>
              <w:t xml:space="preserve">; light-work upper starting value, </w:t>
            </w:r>
            <w:r>
              <w:rPr>
                <w:rFonts w:ascii="Consolas" w:hAnsi="Consolas"/>
                <w:sz w:val="17"/>
              </w:rPr>
              <w:t>f=2</w:t>
            </w:r>
          </w:p>
        </w:tc>
        <w:tc>
          <w:tcPr>
            <w:tcW w:type="dxa" w:w="3740"/>
          </w:tcPr>
          <w:p>
            <w:pPr>
              <w:spacing w:after="60" w:before="40"/>
            </w:pPr>
            <w:r>
              <w:rPr>
                <w:rFonts w:ascii="Consolas" w:hAnsi="Consolas"/>
                <w:sz w:val="17"/>
              </w:rPr>
              <w:t>1565.247584 kcal</w:t>
            </w:r>
            <w:r>
              <w:rPr>
                <w:sz w:val="17"/>
              </w:rPr>
              <w:t xml:space="preserve">; </w:t>
            </w:r>
            <w:r>
              <w:rPr>
                <w:rFonts w:ascii="Consolas" w:hAnsi="Consolas"/>
                <w:sz w:val="17"/>
              </w:rPr>
              <w:t>/3.7=423.039888 g</w:t>
            </w:r>
            <w:r>
              <w:rPr>
                <w:sz w:val="17"/>
              </w:rPr>
              <w:t xml:space="preserve"> →423.0 g</w:t>
            </w:r>
          </w:p>
        </w:tc>
        <w:tc>
          <w:tcPr>
            <w:tcW w:type="dxa" w:w="3740"/>
          </w:tcPr>
          <w:p>
            <w:pPr>
              <w:spacing w:after="60" w:before="40"/>
            </w:pPr>
            <w:r>
              <w:rPr>
                <w:sz w:val="17"/>
              </w:rPr>
              <w:t xml:space="preserve">2×211.5 g; not </w:t>
            </w:r>
            <w:r>
              <w:rPr>
                <w:rFonts w:ascii="Consolas" w:hAnsi="Consolas"/>
                <w:sz w:val="17"/>
              </w:rPr>
              <w:t>2×1.6</w:t>
            </w:r>
            <w:r>
              <w:rPr>
                <w:sz w:val="17"/>
              </w:rPr>
              <w:t>; reassess intake/condition under workload</w:t>
            </w:r>
          </w:p>
        </w:tc>
      </w:tr>
      <w:tr>
        <w:tc>
          <w:tcPr>
            <w:tcW w:type="dxa" w:w="3740"/>
          </w:tcPr>
          <w:p>
            <w:pPr>
              <w:spacing w:after="60" w:before="40"/>
            </w:pPr>
            <w:r>
              <w:rPr>
                <w:sz w:val="17"/>
              </w:rPr>
              <w:t>5. Neutered adult, current 25 kg, clinician target 20 kg, BCS 8, prescribed loss plan</w:t>
            </w:r>
          </w:p>
        </w:tc>
        <w:tc>
          <w:tcPr>
            <w:tcW w:type="dxa" w:w="3740"/>
          </w:tcPr>
          <w:p>
            <w:pPr>
              <w:spacing w:after="60" w:before="40"/>
            </w:pPr>
            <w:r>
              <w:rPr>
                <w:sz w:val="17"/>
              </w:rPr>
              <w:t xml:space="preserve">Ideal-weight RER </w:t>
            </w:r>
            <w:r>
              <w:rPr>
                <w:rFonts w:ascii="Consolas" w:hAnsi="Consolas"/>
                <w:sz w:val="17"/>
              </w:rPr>
              <w:t>70×20^0.75=662.019126</w:t>
            </w:r>
            <w:r>
              <w:rPr>
                <w:sz w:val="17"/>
              </w:rPr>
              <w:t xml:space="preserve">; </w:t>
            </w:r>
            <w:r>
              <w:rPr>
                <w:rFonts w:ascii="Consolas" w:hAnsi="Consolas"/>
                <w:sz w:val="17"/>
              </w:rPr>
              <w:t>f=1</w:t>
            </w:r>
          </w:p>
        </w:tc>
        <w:tc>
          <w:tcPr>
            <w:tcW w:type="dxa" w:w="3740"/>
          </w:tcPr>
          <w:p>
            <w:pPr>
              <w:spacing w:after="60" w:before="40"/>
            </w:pPr>
            <w:r>
              <w:rPr>
                <w:rFonts w:ascii="Consolas" w:hAnsi="Consolas"/>
                <w:sz w:val="17"/>
              </w:rPr>
              <w:t>662.019126 kcal</w:t>
            </w:r>
            <w:r>
              <w:rPr>
                <w:sz w:val="17"/>
              </w:rPr>
              <w:t xml:space="preserve">; </w:t>
            </w:r>
            <w:r>
              <w:rPr>
                <w:rFonts w:ascii="Consolas" w:hAnsi="Consolas"/>
                <w:sz w:val="17"/>
              </w:rPr>
              <w:t>/3.2=206.880977 g</w:t>
            </w:r>
            <w:r>
              <w:rPr>
                <w:sz w:val="17"/>
              </w:rPr>
              <w:t xml:space="preserve"> →206.9 g</w:t>
            </w:r>
          </w:p>
        </w:tc>
        <w:tc>
          <w:tcPr>
            <w:tcW w:type="dxa" w:w="3740"/>
          </w:tcPr>
          <w:p>
            <w:pPr>
              <w:spacing w:after="60" w:before="40"/>
            </w:pPr>
            <w:r>
              <w:rPr>
                <w:sz w:val="17"/>
              </w:rPr>
              <w:t>103.4/103.5 g; veterinary diet and follow-up. Initial 1–2% of 25 kg =0.25–0.50 kg/week, not guaranteed progress</w:t>
            </w:r>
          </w:p>
        </w:tc>
      </w:tr>
      <w:tr>
        <w:tc>
          <w:tcPr>
            <w:tcW w:type="dxa" w:w="3740"/>
          </w:tcPr>
          <w:p>
            <w:pPr>
              <w:spacing w:after="60" w:before="40"/>
            </w:pPr>
            <w:r>
              <w:rPr>
                <w:sz w:val="17"/>
              </w:rPr>
              <w:t>6. Neutered 10 kg senior, clinician considers senior for expected lifespan, BCS 5, normal MCS, stable, healthy/ordinary activity</w:t>
            </w:r>
          </w:p>
        </w:tc>
        <w:tc>
          <w:tcPr>
            <w:tcW w:type="dxa" w:w="3740"/>
          </w:tcPr>
          <w:p>
            <w:pPr>
              <w:spacing w:after="60" w:before="40"/>
            </w:pPr>
            <w:r>
              <w:rPr>
                <w:sz w:val="17"/>
              </w:rPr>
              <w:t xml:space="preserve">Same RER </w:t>
            </w:r>
            <w:r>
              <w:rPr>
                <w:rFonts w:ascii="Consolas" w:hAnsi="Consolas"/>
                <w:sz w:val="17"/>
              </w:rPr>
              <w:t>393.638928</w:t>
            </w:r>
            <w:r>
              <w:rPr>
                <w:sz w:val="17"/>
              </w:rPr>
              <w:t xml:space="preserve">; adult maintenance example </w:t>
            </w:r>
            <w:r>
              <w:rPr>
                <w:rFonts w:ascii="Consolas" w:hAnsi="Consolas"/>
                <w:sz w:val="17"/>
              </w:rPr>
              <w:t>f=1.4</w:t>
            </w:r>
            <w:r>
              <w:rPr>
                <w:sz w:val="17"/>
              </w:rPr>
              <w:t>, selected from adult range rather than age decrement</w:t>
            </w:r>
          </w:p>
        </w:tc>
        <w:tc>
          <w:tcPr>
            <w:tcW w:type="dxa" w:w="3740"/>
          </w:tcPr>
          <w:p>
            <w:pPr>
              <w:spacing w:after="60" w:before="40"/>
            </w:pPr>
            <w:r>
              <w:rPr>
                <w:rFonts w:ascii="Consolas" w:hAnsi="Consolas"/>
                <w:sz w:val="17"/>
              </w:rPr>
              <w:t>551.094499 kcal</w:t>
            </w:r>
            <w:r>
              <w:rPr>
                <w:sz w:val="17"/>
              </w:rPr>
              <w:t xml:space="preserve">; </w:t>
            </w:r>
            <w:r>
              <w:rPr>
                <w:rFonts w:ascii="Consolas" w:hAnsi="Consolas"/>
                <w:sz w:val="17"/>
              </w:rPr>
              <w:t>/3.7=148.944459 g</w:t>
            </w:r>
            <w:r>
              <w:rPr>
                <w:sz w:val="17"/>
              </w:rPr>
              <w:t xml:space="preserve"> →148.9 g</w:t>
            </w:r>
          </w:p>
        </w:tc>
        <w:tc>
          <w:tcPr>
            <w:tcW w:type="dxa" w:w="3740"/>
          </w:tcPr>
          <w:p>
            <w:pPr>
              <w:spacing w:after="60" w:before="40"/>
            </w:pPr>
            <w:r>
              <w:rPr>
                <w:sz w:val="17"/>
              </w:rPr>
              <w:t>74.4/74.5 g; older age alone neither lowers factor nor prescribes low protein</w:t>
            </w:r>
          </w:p>
        </w:tc>
      </w:tr>
      <w:tr>
        <w:tc>
          <w:tcPr>
            <w:tcW w:type="dxa" w:w="3740"/>
          </w:tcPr>
          <w:p>
            <w:pPr>
              <w:spacing w:after="60" w:before="40"/>
            </w:pPr>
            <w:r>
              <w:rPr>
                <w:sz w:val="17"/>
              </w:rPr>
              <w:t xml:space="preserve">7. Intact 10 kg lactating dam, 4 nursing puppies, week 3, reviewed maternal basis/BCS, </w:t>
            </w:r>
            <w:r>
              <w:rPr>
                <w:rFonts w:ascii="Consolas" w:hAnsi="Consolas"/>
                <w:sz w:val="17"/>
              </w:rPr>
              <w:t>L=1.1</w:t>
            </w:r>
          </w:p>
        </w:tc>
        <w:tc>
          <w:tcPr>
            <w:tcW w:type="dxa" w:w="3740"/>
          </w:tcPr>
          <w:p>
            <w:pPr>
              <w:spacing w:after="60" w:before="40"/>
            </w:pPr>
            <w:r>
              <w:rPr>
                <w:sz w:val="17"/>
              </w:rPr>
              <w:t xml:space="preserve">RER </w:t>
            </w:r>
            <w:r>
              <w:rPr>
                <w:rFonts w:ascii="Consolas" w:hAnsi="Consolas"/>
                <w:sz w:val="17"/>
              </w:rPr>
              <w:t>393.638928</w:t>
            </w:r>
            <w:r>
              <w:rPr>
                <w:sz w:val="17"/>
              </w:rPr>
              <w:t xml:space="preserve"> for reference; </w:t>
            </w:r>
            <w:r>
              <w:rPr>
                <w:b/>
                <w:sz w:val="17"/>
              </w:rPr>
              <w:t>FEDIAF lactation</w:t>
            </w:r>
            <w:r>
              <w:rPr>
                <w:sz w:val="17"/>
              </w:rPr>
              <w:t xml:space="preserve">, no separate factor: </w:t>
            </w:r>
            <w:r>
              <w:rPr>
                <w:rFonts w:ascii="Consolas" w:hAnsi="Consolas"/>
                <w:sz w:val="17"/>
              </w:rPr>
              <w:t>145×10^0.75 +24×4×10×1.1</w:t>
            </w:r>
          </w:p>
        </w:tc>
        <w:tc>
          <w:tcPr>
            <w:tcW w:type="dxa" w:w="3740"/>
          </w:tcPr>
          <w:p>
            <w:pPr>
              <w:spacing w:after="60" w:before="40"/>
            </w:pPr>
            <w:r>
              <w:rPr>
                <w:rFonts w:ascii="Consolas" w:hAnsi="Consolas"/>
                <w:sz w:val="17"/>
              </w:rPr>
              <w:t>815.394922 +1056=1871.394922 kcal</w:t>
            </w:r>
            <w:r>
              <w:rPr>
                <w:sz w:val="17"/>
              </w:rPr>
              <w:t xml:space="preserve">; </w:t>
            </w:r>
            <w:r>
              <w:rPr>
                <w:rFonts w:ascii="Consolas" w:hAnsi="Consolas"/>
                <w:sz w:val="17"/>
              </w:rPr>
              <w:t>/4=467.848730 g</w:t>
            </w:r>
            <w:r>
              <w:rPr>
                <w:sz w:val="17"/>
              </w:rPr>
              <w:t xml:space="preserve"> →467.8 g</w:t>
            </w:r>
          </w:p>
        </w:tc>
        <w:tc>
          <w:tcPr>
            <w:tcW w:type="dxa" w:w="3740"/>
          </w:tcPr>
          <w:p>
            <w:pPr>
              <w:spacing w:after="60" w:before="40"/>
            </w:pPr>
            <w:r>
              <w:rPr>
                <w:sz w:val="17"/>
              </w:rPr>
              <w:t>Four meals:116.9/116.9/116.9/117.1 g; total/display policy in §13. Effective RER factor≈4.754090 is descriptive, not another multiplier</w:t>
            </w:r>
          </w:p>
        </w:tc>
      </w:tr>
    </w:tbl>
    <w:p>
      <w:pPr>
        <w:spacing w:after="0"/>
      </w:pPr>
    </w:p>
    <w:p>
      <w:pPr>
        <w:sectPr>
          <w:pgSz w:w="16834" w:h="11909" w:orient="landscape"/>
          <w:pgMar w:top="936" w:right="936" w:bottom="936" w:left="936" w:header="432" w:footer="432" w:gutter="0"/>
          <w:cols w:space="720"/>
          <w:docGrid w:linePitch="360"/>
        </w:sectPr>
      </w:pPr>
    </w:p>
    <w:p>
      <w:r>
        <w:t xml:space="preserve">Cross-check for puppies using the alternative FEDIAF growth method and expected adult 12 kg: 4 kg gives </w:t>
      </w:r>
      <w:r>
        <w:rPr>
          <w:b/>
        </w:rPr>
        <w:t xml:space="preserve"> 591.424112 kcal/day</w:t>
      </w:r>
      <w:r>
        <w:t xml:space="preserve">; 8 kg gives </w:t>
      </w:r>
      <w:r>
        <w:rPr>
          <w:b/>
        </w:rPr>
        <w:t xml:space="preserve"> 780.595550 kcal/day</w:t>
      </w:r>
      <w:r>
        <w:t xml:space="preserve">. Different estimates are expected; Vetify must not average them or choose whichever approves a desired amount. Their disagreement belongs in reviewer analysis. The 10 kg adult wet-food equivalent is </w:t>
      </w:r>
      <w:r>
        <w:rPr>
          <w:rFonts w:ascii="Consolas" w:hAnsi="Consolas"/>
          <w:sz w:val="18"/>
        </w:rPr>
        <w:t>629.822284/0.9 =699.802538 g/day</w:t>
      </w:r>
      <w:r>
        <w:t>, illustrating why kibble grams cannot be reused for wet food.</w:t>
      </w:r>
    </w:p>
    <w:p>
      <w:bookmarkStart w:id="8" w:name="section_8"/>
      <w:pPr>
        <w:pStyle w:val="Heading1"/>
      </w:pPr>
      <w:r>
        <w:t>8. Macronutrients and Essential Nutrients</w:t>
      </w:r>
      <w:bookmarkEnd w:id="8"/>
    </w:p>
    <w:p>
      <w:pPr>
        <w:pStyle w:val="Heading2"/>
      </w:pPr>
      <w:r>
        <w:t>8.1 Function, risk and interpretation</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Component</w:t>
            </w:r>
          </w:p>
        </w:tc>
        <w:tc>
          <w:tcPr>
            <w:tcW w:type="dxa" w:w="3346"/>
            <w:shd w:fill="154F59"/>
          </w:tcPr>
          <w:p>
            <w:pPr>
              <w:spacing w:after="60" w:before="40"/>
            </w:pPr>
            <w:r>
              <w:rPr>
                <w:b/>
                <w:color w:val="FFFFFF"/>
                <w:sz w:val="19"/>
              </w:rPr>
              <w:t>Function and requirement interpretation</w:t>
            </w:r>
          </w:p>
        </w:tc>
        <w:tc>
          <w:tcPr>
            <w:tcW w:type="dxa" w:w="3346"/>
            <w:shd w:fill="154F59"/>
          </w:tcPr>
          <w:p>
            <w:pPr>
              <w:spacing w:after="60" w:before="40"/>
            </w:pPr>
            <w:r>
              <w:rPr>
                <w:b/>
                <w:color w:val="FFFFFF"/>
                <w:sz w:val="19"/>
              </w:rPr>
              <w:t>Deficiency/excess concerns and engine behavior</w:t>
            </w:r>
          </w:p>
        </w:tc>
      </w:tr>
      <w:tr>
        <w:tc>
          <w:tcPr>
            <w:tcW w:type="dxa" w:w="3346"/>
          </w:tcPr>
          <w:p>
            <w:pPr>
              <w:spacing w:after="60" w:before="40"/>
            </w:pPr>
            <w:r>
              <w:rPr>
                <w:sz w:val="19"/>
              </w:rPr>
              <w:t>Protein and amino acids</w:t>
            </w:r>
          </w:p>
        </w:tc>
        <w:tc>
          <w:tcPr>
            <w:tcW w:type="dxa" w:w="3346"/>
          </w:tcPr>
          <w:p>
            <w:pPr>
              <w:spacing w:after="60" w:before="40"/>
            </w:pPr>
            <w:r>
              <w:rPr>
                <w:sz w:val="19"/>
              </w:rPr>
              <w:t>Tissue/enzymes and other compounds; intake in grams, not just crude percentage</w:t>
            </w:r>
          </w:p>
        </w:tc>
        <w:tc>
          <w:tcPr>
            <w:tcW w:type="dxa" w:w="3346"/>
          </w:tcPr>
          <w:p>
            <w:pPr>
              <w:spacing w:after="60" w:before="40"/>
            </w:pPr>
            <w:r>
              <w:rPr>
                <w:sz w:val="19"/>
              </w:rPr>
              <w:t>Low total or essential amino acids can impair maintenance/growth. Crude protein alone cannot prove digestibility or amino-acid adequacy; no automatic high-protein contraindication in a healthy senior</w:t>
            </w:r>
          </w:p>
        </w:tc>
      </w:tr>
      <w:tr>
        <w:tc>
          <w:tcPr>
            <w:tcW w:type="dxa" w:w="3346"/>
          </w:tcPr>
          <w:p>
            <w:pPr>
              <w:spacing w:after="60" w:before="40"/>
            </w:pPr>
            <w:r>
              <w:rPr>
                <w:sz w:val="19"/>
              </w:rPr>
              <w:t>Fat/fatty acids</w:t>
            </w:r>
          </w:p>
        </w:tc>
        <w:tc>
          <w:tcPr>
            <w:tcW w:type="dxa" w:w="3346"/>
          </w:tcPr>
          <w:p>
            <w:pPr>
              <w:spacing w:after="60" w:before="40"/>
            </w:pPr>
            <w:r>
              <w:rPr>
                <w:sz w:val="19"/>
              </w:rPr>
              <w:t>Concentrated energy, membrane functions, essential fatty acids and fat-soluble nutrient absorption</w:t>
            </w:r>
          </w:p>
        </w:tc>
        <w:tc>
          <w:tcPr>
            <w:tcW w:type="dxa" w:w="3346"/>
          </w:tcPr>
          <w:p>
            <w:pPr>
              <w:spacing w:after="60" w:before="40"/>
            </w:pPr>
            <w:r>
              <w:rPr>
                <w:sz w:val="19"/>
              </w:rPr>
              <w:t>Excess intake can exceed energy needs; clinical fat tolerance differs. Total fat does not prove linoleic acid/EPA/DHA values</w:t>
            </w:r>
          </w:p>
        </w:tc>
      </w:tr>
      <w:tr>
        <w:tc>
          <w:tcPr>
            <w:tcW w:type="dxa" w:w="3346"/>
          </w:tcPr>
          <w:p>
            <w:pPr>
              <w:spacing w:after="60" w:before="40"/>
            </w:pPr>
            <w:r>
              <w:rPr>
                <w:sz w:val="19"/>
              </w:rPr>
              <w:t>Carbohydrates</w:t>
            </w:r>
          </w:p>
        </w:tc>
        <w:tc>
          <w:tcPr>
            <w:tcW w:type="dxa" w:w="3346"/>
          </w:tcPr>
          <w:p>
            <w:pPr>
              <w:spacing w:after="60" w:before="40"/>
            </w:pPr>
            <w:r>
              <w:rPr>
                <w:sz w:val="19"/>
              </w:rPr>
              <w:t>Cooked digestible starch can provide energy; no fixed universal carbohydrate percentage in the selected canine profile</w:t>
            </w:r>
          </w:p>
        </w:tc>
        <w:tc>
          <w:tcPr>
            <w:tcW w:type="dxa" w:w="3346"/>
          </w:tcPr>
          <w:p>
            <w:pPr>
              <w:spacing w:after="60" w:before="40"/>
            </w:pPr>
            <w:r>
              <w:rPr>
                <w:sz w:val="19"/>
              </w:rPr>
              <w:t>NFE is a residual estimate; it is not a required macro target or accurate soluble-carbohydrate analysis. Complex diets require formulation review</w:t>
            </w:r>
          </w:p>
        </w:tc>
      </w:tr>
      <w:tr>
        <w:tc>
          <w:tcPr>
            <w:tcW w:type="dxa" w:w="3346"/>
          </w:tcPr>
          <w:p>
            <w:pPr>
              <w:spacing w:after="60" w:before="40"/>
            </w:pPr>
            <w:r>
              <w:rPr>
                <w:sz w:val="19"/>
              </w:rPr>
              <w:t>Fiber</w:t>
            </w:r>
          </w:p>
        </w:tc>
        <w:tc>
          <w:tcPr>
            <w:tcW w:type="dxa" w:w="3346"/>
          </w:tcPr>
          <w:p>
            <w:pPr>
              <w:spacing w:after="60" w:before="40"/>
            </w:pPr>
            <w:r>
              <w:rPr>
                <w:sz w:val="19"/>
              </w:rPr>
              <w:t>Stool characteristics and fermentation depend on fiber type</w:t>
            </w:r>
          </w:p>
        </w:tc>
        <w:tc>
          <w:tcPr>
            <w:tcW w:type="dxa" w:w="3346"/>
          </w:tcPr>
          <w:p>
            <w:pPr>
              <w:spacing w:after="60" w:before="40"/>
            </w:pPr>
            <w:r>
              <w:rPr>
                <w:sz w:val="19"/>
              </w:rPr>
              <w:t>No universal profile minimum/maximum here; crude fiber is not total dietary fiber. Large amounts affect intake/digestibility; do not prescribe fiber for diabetes or bowel disease automatically</w:t>
            </w:r>
          </w:p>
        </w:tc>
      </w:tr>
      <w:tr>
        <w:tc>
          <w:tcPr>
            <w:tcW w:type="dxa" w:w="3346"/>
          </w:tcPr>
          <w:p>
            <w:pPr>
              <w:spacing w:after="60" w:before="40"/>
            </w:pPr>
            <w:r>
              <w:rPr>
                <w:sz w:val="19"/>
              </w:rPr>
              <w:t>Water</w:t>
            </w:r>
          </w:p>
        </w:tc>
        <w:tc>
          <w:tcPr>
            <w:tcW w:type="dxa" w:w="3346"/>
          </w:tcPr>
          <w:p>
            <w:pPr>
              <w:spacing w:after="60" w:before="40"/>
            </w:pPr>
            <w:r>
              <w:rPr>
                <w:sz w:val="19"/>
              </w:rPr>
              <w:t>Hydration, transport and temperature regulation</w:t>
            </w:r>
          </w:p>
        </w:tc>
        <w:tc>
          <w:tcPr>
            <w:tcW w:type="dxa" w:w="3346"/>
          </w:tcPr>
          <w:p>
            <w:pPr>
              <w:spacing w:after="60" w:before="40"/>
            </w:pPr>
            <w:r>
              <w:rPr>
                <w:sz w:val="19"/>
              </w:rPr>
              <w:t>Fresh drinking water must be available; diet water contributes. No fixed mL/kg prescription for every dog. Abnormal thirst/urination, dehydration or fluid restriction needs clinical assessment</w:t>
            </w:r>
          </w:p>
        </w:tc>
      </w:tr>
    </w:tbl>
    <w:p>
      <w:pPr>
        <w:spacing w:after="0"/>
      </w:pPr>
    </w:p>
    <w:p>
      <w:r>
        <w:t xml:space="preserve">Functions are grounded in </w:t>
      </w:r>
      <w:hyperlink r:id="rId39">
        <w:r>
          <w:rPr>
            <w:color w:val="165D67"/>
            <w:u w:val="single"/>
          </w:rPr>
          <w:t>NRC canine nutrition overview</w:t>
        </w:r>
      </w:hyperlink>
      <w:r>
        <w:t xml:space="preserve"> and </w:t>
      </w:r>
      <w:hyperlink r:id="rId16">
        <w:r>
          <w:rPr>
            <w:color w:val="165D67"/>
            <w:u w:val="single"/>
          </w:rPr>
          <w:t>Merck canine nutritional requirements</w:t>
        </w:r>
      </w:hyperlink>
      <w:r>
        <w:t>. For development, the numeric profile below is authoritative within its stated domain; do not import the NRC brochure's example daily allowances as universal targets.</w:t>
      </w:r>
    </w:p>
    <w:p>
      <w:pPr>
        <w:pStyle w:val="Heading2"/>
      </w:pPr>
      <w:r>
        <w:t>8.2 Complete canine numerical reference</w:t>
      </w:r>
    </w:p>
    <w:p>
      <w:r>
        <w:rPr>
          <w:b/>
        </w:rPr>
        <w:t>Interpretation key:</w:t>
      </w:r>
      <w:r>
        <w:t xml:space="preserve"> the following numbers are FEDIAF 2025 table III-3 b </w:t>
      </w:r>
      <w:r>
        <w:rPr>
          <w:b/>
        </w:rPr>
        <w:t>minimum recommended concentrations</w:t>
      </w:r>
      <w:r>
        <w:t xml:space="preserve"> per </w:t>
      </w:r>
      <w:r>
        <w:rPr>
          <w:b/>
        </w:rPr>
        <w:t xml:space="preserve"> 1,000 kcal ME</w:t>
      </w:r>
      <w:r>
        <w:t xml:space="preserve">, not observed food values or exact daily needs. Column </w:t>
      </w:r>
      <w:r>
        <w:rPr>
          <w:rFonts w:ascii="Consolas" w:hAnsi="Consolas"/>
          <w:sz w:val="18"/>
        </w:rPr>
        <w:t>A95</w:t>
      </w:r>
      <w:r>
        <w:t xml:space="preserve"> is adult maintenance at assumed 95 kcal/kg^0.75; </w:t>
      </w:r>
      <w:r>
        <w:rPr>
          <w:rFonts w:ascii="Consolas" w:hAnsi="Consolas"/>
          <w:sz w:val="18"/>
        </w:rPr>
        <w:t>A110</w:t>
      </w:r>
      <w:r>
        <w:t xml:space="preserve"> assumes 110. </w:t>
      </w:r>
      <w:r>
        <w:rPr>
          <w:rFonts w:ascii="Consolas" w:hAnsi="Consolas"/>
          <w:sz w:val="18"/>
        </w:rPr>
        <w:t>G/R</w:t>
      </w:r>
      <w:r>
        <w:t xml:space="preserve"> is early growth &lt;14 weeks and reproduction; </w:t>
      </w:r>
      <w:r>
        <w:rPr>
          <w:rFonts w:ascii="Consolas" w:hAnsi="Consolas"/>
          <w:sz w:val="18"/>
        </w:rPr>
        <w:t>LG</w:t>
      </w:r>
      <w:r>
        <w:t xml:space="preserve"> is late growth ≥14 weeks. Choose one compatible profile, not a minimum assembled across columns. Production import requires source-rights clearance and independent veterinary table verification. Nutritional maxima are separate from legal limits.</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4040"/>
        <w:gridCol w:w="2394"/>
        <w:gridCol w:w="2132"/>
        <w:gridCol w:w="2132"/>
        <w:gridCol w:w="2132"/>
        <w:gridCol w:w="2132"/>
      </w:tblGrid>
      <w:tr>
        <w:trPr>
          <w:tblHeader w:val="true"/>
        </w:trPr>
        <w:tc>
          <w:tcPr>
            <w:tcW w:type="dxa" w:w="4040"/>
            <w:shd w:fill="154F59"/>
          </w:tcPr>
          <w:p>
            <w:pPr>
              <w:spacing w:after="60" w:before="40"/>
            </w:pPr>
            <w:r>
              <w:rPr>
                <w:b/>
                <w:color w:val="FFFFFF"/>
                <w:sz w:val="17"/>
              </w:rPr>
              <w:t>Nutrient</w:t>
            </w:r>
          </w:p>
        </w:tc>
        <w:tc>
          <w:tcPr>
            <w:tcW w:type="dxa" w:w="2394"/>
            <w:shd w:fill="154F59"/>
          </w:tcPr>
          <w:p>
            <w:pPr>
              <w:spacing w:after="60" w:before="40"/>
            </w:pPr>
            <w:r>
              <w:rPr>
                <w:b/>
                <w:color w:val="FFFFFF"/>
                <w:sz w:val="17"/>
              </w:rPr>
              <w:t>Unit/1,000 kcal</w:t>
            </w:r>
          </w:p>
        </w:tc>
        <w:tc>
          <w:tcPr>
            <w:tcW w:type="dxa" w:w="2132"/>
            <w:shd w:fill="154F59"/>
          </w:tcPr>
          <w:p>
            <w:pPr>
              <w:spacing w:after="60" w:before="40"/>
            </w:pPr>
            <w:r>
              <w:rPr>
                <w:b/>
                <w:color w:val="FFFFFF"/>
                <w:sz w:val="17"/>
              </w:rPr>
              <w:t>A95</w:t>
            </w:r>
          </w:p>
        </w:tc>
        <w:tc>
          <w:tcPr>
            <w:tcW w:type="dxa" w:w="2132"/>
            <w:shd w:fill="154F59"/>
          </w:tcPr>
          <w:p>
            <w:pPr>
              <w:spacing w:after="60" w:before="40"/>
            </w:pPr>
            <w:r>
              <w:rPr>
                <w:b/>
                <w:color w:val="FFFFFF"/>
                <w:sz w:val="17"/>
              </w:rPr>
              <w:t>A110</w:t>
            </w:r>
          </w:p>
        </w:tc>
        <w:tc>
          <w:tcPr>
            <w:tcW w:type="dxa" w:w="2132"/>
            <w:shd w:fill="154F59"/>
          </w:tcPr>
          <w:p>
            <w:pPr>
              <w:spacing w:after="60" w:before="40"/>
            </w:pPr>
            <w:r>
              <w:rPr>
                <w:b/>
                <w:color w:val="FFFFFF"/>
                <w:sz w:val="17"/>
              </w:rPr>
              <w:t>G/R</w:t>
            </w:r>
          </w:p>
        </w:tc>
        <w:tc>
          <w:tcPr>
            <w:tcW w:type="dxa" w:w="2132"/>
            <w:shd w:fill="154F59"/>
          </w:tcPr>
          <w:p>
            <w:pPr>
              <w:spacing w:after="60" w:before="40"/>
            </w:pPr>
            <w:r>
              <w:rPr>
                <w:b/>
                <w:color w:val="FFFFFF"/>
                <w:sz w:val="17"/>
              </w:rPr>
              <w:t>LG</w:t>
            </w:r>
          </w:p>
        </w:tc>
      </w:tr>
      <w:tr>
        <w:tc>
          <w:tcPr>
            <w:tcW w:type="dxa" w:w="4040"/>
          </w:tcPr>
          <w:p>
            <w:pPr>
              <w:spacing w:after="60" w:before="40"/>
            </w:pPr>
            <w:r>
              <w:rPr>
                <w:sz w:val="17"/>
              </w:rPr>
              <w:t>Protein</w:t>
            </w:r>
          </w:p>
        </w:tc>
        <w:tc>
          <w:tcPr>
            <w:tcW w:type="dxa" w:w="2394"/>
          </w:tcPr>
          <w:p>
            <w:pPr>
              <w:spacing w:after="60" w:before="40"/>
            </w:pPr>
            <w:r>
              <w:rPr>
                <w:sz w:val="17"/>
              </w:rPr>
              <w:t>g</w:t>
            </w:r>
          </w:p>
        </w:tc>
        <w:tc>
          <w:tcPr>
            <w:tcW w:type="dxa" w:w="2132"/>
          </w:tcPr>
          <w:p>
            <w:pPr>
              <w:spacing w:after="60" w:before="40"/>
            </w:pPr>
            <w:r>
              <w:rPr>
                <w:sz w:val="17"/>
              </w:rPr>
              <w:t>52.10</w:t>
            </w:r>
          </w:p>
        </w:tc>
        <w:tc>
          <w:tcPr>
            <w:tcW w:type="dxa" w:w="2132"/>
          </w:tcPr>
          <w:p>
            <w:pPr>
              <w:spacing w:after="60" w:before="40"/>
            </w:pPr>
            <w:r>
              <w:rPr>
                <w:sz w:val="17"/>
              </w:rPr>
              <w:t>45.00</w:t>
            </w:r>
          </w:p>
        </w:tc>
        <w:tc>
          <w:tcPr>
            <w:tcW w:type="dxa" w:w="2132"/>
          </w:tcPr>
          <w:p>
            <w:pPr>
              <w:spacing w:after="60" w:before="40"/>
            </w:pPr>
            <w:r>
              <w:rPr>
                <w:sz w:val="17"/>
              </w:rPr>
              <w:t>62.50</w:t>
            </w:r>
          </w:p>
        </w:tc>
        <w:tc>
          <w:tcPr>
            <w:tcW w:type="dxa" w:w="2132"/>
          </w:tcPr>
          <w:p>
            <w:pPr>
              <w:spacing w:after="60" w:before="40"/>
            </w:pPr>
            <w:r>
              <w:rPr>
                <w:sz w:val="17"/>
              </w:rPr>
              <w:t>50.00</w:t>
            </w:r>
          </w:p>
        </w:tc>
      </w:tr>
      <w:tr>
        <w:tc>
          <w:tcPr>
            <w:tcW w:type="dxa" w:w="4040"/>
          </w:tcPr>
          <w:p>
            <w:pPr>
              <w:spacing w:after="60" w:before="40"/>
            </w:pPr>
            <w:r>
              <w:rPr>
                <w:sz w:val="17"/>
              </w:rPr>
              <w:t>Arginine</w:t>
            </w:r>
          </w:p>
        </w:tc>
        <w:tc>
          <w:tcPr>
            <w:tcW w:type="dxa" w:w="2394"/>
          </w:tcPr>
          <w:p>
            <w:pPr>
              <w:spacing w:after="60" w:before="40"/>
            </w:pPr>
            <w:r>
              <w:rPr>
                <w:sz w:val="17"/>
              </w:rPr>
              <w:t>g</w:t>
            </w:r>
          </w:p>
        </w:tc>
        <w:tc>
          <w:tcPr>
            <w:tcW w:type="dxa" w:w="2132"/>
          </w:tcPr>
          <w:p>
            <w:pPr>
              <w:spacing w:after="60" w:before="40"/>
            </w:pPr>
            <w:r>
              <w:rPr>
                <w:sz w:val="17"/>
              </w:rPr>
              <w:t>1.51</w:t>
            </w:r>
          </w:p>
        </w:tc>
        <w:tc>
          <w:tcPr>
            <w:tcW w:type="dxa" w:w="2132"/>
          </w:tcPr>
          <w:p>
            <w:pPr>
              <w:spacing w:after="60" w:before="40"/>
            </w:pPr>
            <w:r>
              <w:rPr>
                <w:sz w:val="17"/>
              </w:rPr>
              <w:t>1.30</w:t>
            </w:r>
          </w:p>
        </w:tc>
        <w:tc>
          <w:tcPr>
            <w:tcW w:type="dxa" w:w="2132"/>
          </w:tcPr>
          <w:p>
            <w:pPr>
              <w:spacing w:after="60" w:before="40"/>
            </w:pPr>
            <w:r>
              <w:rPr>
                <w:sz w:val="17"/>
              </w:rPr>
              <w:t>2.04</w:t>
            </w:r>
          </w:p>
        </w:tc>
        <w:tc>
          <w:tcPr>
            <w:tcW w:type="dxa" w:w="2132"/>
          </w:tcPr>
          <w:p>
            <w:pPr>
              <w:spacing w:after="60" w:before="40"/>
            </w:pPr>
            <w:r>
              <w:rPr>
                <w:sz w:val="17"/>
              </w:rPr>
              <w:t>1.84</w:t>
            </w:r>
          </w:p>
        </w:tc>
      </w:tr>
      <w:tr>
        <w:tc>
          <w:tcPr>
            <w:tcW w:type="dxa" w:w="4040"/>
          </w:tcPr>
          <w:p>
            <w:pPr>
              <w:spacing w:after="60" w:before="40"/>
            </w:pPr>
            <w:r>
              <w:rPr>
                <w:sz w:val="17"/>
              </w:rPr>
              <w:t>Histidine</w:t>
            </w:r>
          </w:p>
        </w:tc>
        <w:tc>
          <w:tcPr>
            <w:tcW w:type="dxa" w:w="2394"/>
          </w:tcPr>
          <w:p>
            <w:pPr>
              <w:spacing w:after="60" w:before="40"/>
            </w:pPr>
            <w:r>
              <w:rPr>
                <w:sz w:val="17"/>
              </w:rPr>
              <w:t>g</w:t>
            </w:r>
          </w:p>
        </w:tc>
        <w:tc>
          <w:tcPr>
            <w:tcW w:type="dxa" w:w="2132"/>
          </w:tcPr>
          <w:p>
            <w:pPr>
              <w:spacing w:after="60" w:before="40"/>
            </w:pPr>
            <w:r>
              <w:rPr>
                <w:sz w:val="17"/>
              </w:rPr>
              <w:t>0.67</w:t>
            </w:r>
          </w:p>
        </w:tc>
        <w:tc>
          <w:tcPr>
            <w:tcW w:type="dxa" w:w="2132"/>
          </w:tcPr>
          <w:p>
            <w:pPr>
              <w:spacing w:after="60" w:before="40"/>
            </w:pPr>
            <w:r>
              <w:rPr>
                <w:sz w:val="17"/>
              </w:rPr>
              <w:t>0.58</w:t>
            </w:r>
          </w:p>
        </w:tc>
        <w:tc>
          <w:tcPr>
            <w:tcW w:type="dxa" w:w="2132"/>
          </w:tcPr>
          <w:p>
            <w:pPr>
              <w:spacing w:after="60" w:before="40"/>
            </w:pPr>
            <w:r>
              <w:rPr>
                <w:sz w:val="17"/>
              </w:rPr>
              <w:t>0.98</w:t>
            </w:r>
          </w:p>
        </w:tc>
        <w:tc>
          <w:tcPr>
            <w:tcW w:type="dxa" w:w="2132"/>
          </w:tcPr>
          <w:p>
            <w:pPr>
              <w:spacing w:after="60" w:before="40"/>
            </w:pPr>
            <w:r>
              <w:rPr>
                <w:sz w:val="17"/>
              </w:rPr>
              <w:t>0.63</w:t>
            </w:r>
          </w:p>
        </w:tc>
      </w:tr>
      <w:tr>
        <w:tc>
          <w:tcPr>
            <w:tcW w:type="dxa" w:w="4040"/>
          </w:tcPr>
          <w:p>
            <w:pPr>
              <w:spacing w:after="60" w:before="40"/>
            </w:pPr>
            <w:r>
              <w:rPr>
                <w:sz w:val="17"/>
              </w:rPr>
              <w:t>Isoleucine</w:t>
            </w:r>
          </w:p>
        </w:tc>
        <w:tc>
          <w:tcPr>
            <w:tcW w:type="dxa" w:w="2394"/>
          </w:tcPr>
          <w:p>
            <w:pPr>
              <w:spacing w:after="60" w:before="40"/>
            </w:pPr>
            <w:r>
              <w:rPr>
                <w:sz w:val="17"/>
              </w:rPr>
              <w:t>g</w:t>
            </w:r>
          </w:p>
        </w:tc>
        <w:tc>
          <w:tcPr>
            <w:tcW w:type="dxa" w:w="2132"/>
          </w:tcPr>
          <w:p>
            <w:pPr>
              <w:spacing w:after="60" w:before="40"/>
            </w:pPr>
            <w:r>
              <w:rPr>
                <w:sz w:val="17"/>
              </w:rPr>
              <w:t>1.33</w:t>
            </w:r>
          </w:p>
        </w:tc>
        <w:tc>
          <w:tcPr>
            <w:tcW w:type="dxa" w:w="2132"/>
          </w:tcPr>
          <w:p>
            <w:pPr>
              <w:spacing w:after="60" w:before="40"/>
            </w:pPr>
            <w:r>
              <w:rPr>
                <w:sz w:val="17"/>
              </w:rPr>
              <w:t>1.15</w:t>
            </w:r>
          </w:p>
        </w:tc>
        <w:tc>
          <w:tcPr>
            <w:tcW w:type="dxa" w:w="2132"/>
          </w:tcPr>
          <w:p>
            <w:pPr>
              <w:spacing w:after="60" w:before="40"/>
            </w:pPr>
            <w:r>
              <w:rPr>
                <w:sz w:val="17"/>
              </w:rPr>
              <w:t>1.63</w:t>
            </w:r>
          </w:p>
        </w:tc>
        <w:tc>
          <w:tcPr>
            <w:tcW w:type="dxa" w:w="2132"/>
          </w:tcPr>
          <w:p>
            <w:pPr>
              <w:spacing w:after="60" w:before="40"/>
            </w:pPr>
            <w:r>
              <w:rPr>
                <w:sz w:val="17"/>
              </w:rPr>
              <w:t>1.25</w:t>
            </w:r>
          </w:p>
        </w:tc>
      </w:tr>
      <w:tr>
        <w:tc>
          <w:tcPr>
            <w:tcW w:type="dxa" w:w="4040"/>
          </w:tcPr>
          <w:p>
            <w:pPr>
              <w:spacing w:after="60" w:before="40"/>
            </w:pPr>
            <w:r>
              <w:rPr>
                <w:sz w:val="17"/>
              </w:rPr>
              <w:t>Leucine</w:t>
            </w:r>
          </w:p>
        </w:tc>
        <w:tc>
          <w:tcPr>
            <w:tcW w:type="dxa" w:w="2394"/>
          </w:tcPr>
          <w:p>
            <w:pPr>
              <w:spacing w:after="60" w:before="40"/>
            </w:pPr>
            <w:r>
              <w:rPr>
                <w:sz w:val="17"/>
              </w:rPr>
              <w:t>g</w:t>
            </w:r>
          </w:p>
        </w:tc>
        <w:tc>
          <w:tcPr>
            <w:tcW w:type="dxa" w:w="2132"/>
          </w:tcPr>
          <w:p>
            <w:pPr>
              <w:spacing w:after="60" w:before="40"/>
            </w:pPr>
            <w:r>
              <w:rPr>
                <w:sz w:val="17"/>
              </w:rPr>
              <w:t>2.37</w:t>
            </w:r>
          </w:p>
        </w:tc>
        <w:tc>
          <w:tcPr>
            <w:tcW w:type="dxa" w:w="2132"/>
          </w:tcPr>
          <w:p>
            <w:pPr>
              <w:spacing w:after="60" w:before="40"/>
            </w:pPr>
            <w:r>
              <w:rPr>
                <w:sz w:val="17"/>
              </w:rPr>
              <w:t>2.05</w:t>
            </w:r>
          </w:p>
        </w:tc>
        <w:tc>
          <w:tcPr>
            <w:tcW w:type="dxa" w:w="2132"/>
          </w:tcPr>
          <w:p>
            <w:pPr>
              <w:spacing w:after="60" w:before="40"/>
            </w:pPr>
            <w:r>
              <w:rPr>
                <w:sz w:val="17"/>
              </w:rPr>
              <w:t>3.23</w:t>
            </w:r>
          </w:p>
        </w:tc>
        <w:tc>
          <w:tcPr>
            <w:tcW w:type="dxa" w:w="2132"/>
          </w:tcPr>
          <w:p>
            <w:pPr>
              <w:spacing w:after="60" w:before="40"/>
            </w:pPr>
            <w:r>
              <w:rPr>
                <w:sz w:val="17"/>
              </w:rPr>
              <w:t>2.00</w:t>
            </w:r>
          </w:p>
        </w:tc>
      </w:tr>
      <w:tr>
        <w:tc>
          <w:tcPr>
            <w:tcW w:type="dxa" w:w="4040"/>
          </w:tcPr>
          <w:p>
            <w:pPr>
              <w:spacing w:after="60" w:before="40"/>
            </w:pPr>
            <w:r>
              <w:rPr>
                <w:sz w:val="17"/>
              </w:rPr>
              <w:t>Lysine</w:t>
            </w:r>
          </w:p>
        </w:tc>
        <w:tc>
          <w:tcPr>
            <w:tcW w:type="dxa" w:w="2394"/>
          </w:tcPr>
          <w:p>
            <w:pPr>
              <w:spacing w:after="60" w:before="40"/>
            </w:pPr>
            <w:r>
              <w:rPr>
                <w:sz w:val="17"/>
              </w:rPr>
              <w:t>g</w:t>
            </w:r>
          </w:p>
        </w:tc>
        <w:tc>
          <w:tcPr>
            <w:tcW w:type="dxa" w:w="2132"/>
          </w:tcPr>
          <w:p>
            <w:pPr>
              <w:spacing w:after="60" w:before="40"/>
            </w:pPr>
            <w:r>
              <w:rPr>
                <w:sz w:val="17"/>
              </w:rPr>
              <w:t>1.22</w:t>
            </w:r>
          </w:p>
        </w:tc>
        <w:tc>
          <w:tcPr>
            <w:tcW w:type="dxa" w:w="2132"/>
          </w:tcPr>
          <w:p>
            <w:pPr>
              <w:spacing w:after="60" w:before="40"/>
            </w:pPr>
            <w:r>
              <w:rPr>
                <w:sz w:val="17"/>
              </w:rPr>
              <w:t>1.05</w:t>
            </w:r>
          </w:p>
        </w:tc>
        <w:tc>
          <w:tcPr>
            <w:tcW w:type="dxa" w:w="2132"/>
          </w:tcPr>
          <w:p>
            <w:pPr>
              <w:spacing w:after="60" w:before="40"/>
            </w:pPr>
            <w:r>
              <w:rPr>
                <w:sz w:val="17"/>
              </w:rPr>
              <w:t>2.20</w:t>
            </w:r>
          </w:p>
        </w:tc>
        <w:tc>
          <w:tcPr>
            <w:tcW w:type="dxa" w:w="2132"/>
          </w:tcPr>
          <w:p>
            <w:pPr>
              <w:spacing w:after="60" w:before="40"/>
            </w:pPr>
            <w:r>
              <w:rPr>
                <w:sz w:val="17"/>
              </w:rPr>
              <w:t>1.75</w:t>
            </w:r>
          </w:p>
        </w:tc>
      </w:tr>
      <w:tr>
        <w:tc>
          <w:tcPr>
            <w:tcW w:type="dxa" w:w="4040"/>
          </w:tcPr>
          <w:p>
            <w:pPr>
              <w:spacing w:after="60" w:before="40"/>
            </w:pPr>
            <w:r>
              <w:rPr>
                <w:sz w:val="17"/>
              </w:rPr>
              <w:t>Methionine</w:t>
            </w:r>
          </w:p>
        </w:tc>
        <w:tc>
          <w:tcPr>
            <w:tcW w:type="dxa" w:w="2394"/>
          </w:tcPr>
          <w:p>
            <w:pPr>
              <w:spacing w:after="60" w:before="40"/>
            </w:pPr>
            <w:r>
              <w:rPr>
                <w:sz w:val="17"/>
              </w:rPr>
              <w:t>g</w:t>
            </w:r>
          </w:p>
        </w:tc>
        <w:tc>
          <w:tcPr>
            <w:tcW w:type="dxa" w:w="2132"/>
          </w:tcPr>
          <w:p>
            <w:pPr>
              <w:spacing w:after="60" w:before="40"/>
            </w:pPr>
            <w:r>
              <w:rPr>
                <w:sz w:val="17"/>
              </w:rPr>
              <w:t>1.16</w:t>
            </w:r>
          </w:p>
        </w:tc>
        <w:tc>
          <w:tcPr>
            <w:tcW w:type="dxa" w:w="2132"/>
          </w:tcPr>
          <w:p>
            <w:pPr>
              <w:spacing w:after="60" w:before="40"/>
            </w:pPr>
            <w:r>
              <w:rPr>
                <w:sz w:val="17"/>
              </w:rPr>
              <w:t>1.00</w:t>
            </w:r>
          </w:p>
        </w:tc>
        <w:tc>
          <w:tcPr>
            <w:tcW w:type="dxa" w:w="2132"/>
          </w:tcPr>
          <w:p>
            <w:pPr>
              <w:spacing w:after="60" w:before="40"/>
            </w:pPr>
            <w:r>
              <w:rPr>
                <w:sz w:val="17"/>
              </w:rPr>
              <w:t>0.88</w:t>
            </w:r>
          </w:p>
        </w:tc>
        <w:tc>
          <w:tcPr>
            <w:tcW w:type="dxa" w:w="2132"/>
          </w:tcPr>
          <w:p>
            <w:pPr>
              <w:spacing w:after="60" w:before="40"/>
            </w:pPr>
            <w:r>
              <w:rPr>
                <w:sz w:val="17"/>
              </w:rPr>
              <w:t>0.65</w:t>
            </w:r>
          </w:p>
        </w:tc>
      </w:tr>
      <w:tr>
        <w:tc>
          <w:tcPr>
            <w:tcW w:type="dxa" w:w="4040"/>
          </w:tcPr>
          <w:p>
            <w:pPr>
              <w:spacing w:after="60" w:before="40"/>
            </w:pPr>
            <w:r>
              <w:rPr>
                <w:sz w:val="17"/>
              </w:rPr>
              <w:t>Methionine + cystine</w:t>
            </w:r>
          </w:p>
        </w:tc>
        <w:tc>
          <w:tcPr>
            <w:tcW w:type="dxa" w:w="2394"/>
          </w:tcPr>
          <w:p>
            <w:pPr>
              <w:spacing w:after="60" w:before="40"/>
            </w:pPr>
            <w:r>
              <w:rPr>
                <w:sz w:val="17"/>
              </w:rPr>
              <w:t>g</w:t>
            </w:r>
          </w:p>
        </w:tc>
        <w:tc>
          <w:tcPr>
            <w:tcW w:type="dxa" w:w="2132"/>
          </w:tcPr>
          <w:p>
            <w:pPr>
              <w:spacing w:after="60" w:before="40"/>
            </w:pPr>
            <w:r>
              <w:rPr>
                <w:sz w:val="17"/>
              </w:rPr>
              <w:t>2.21</w:t>
            </w:r>
          </w:p>
        </w:tc>
        <w:tc>
          <w:tcPr>
            <w:tcW w:type="dxa" w:w="2132"/>
          </w:tcPr>
          <w:p>
            <w:pPr>
              <w:spacing w:after="60" w:before="40"/>
            </w:pPr>
            <w:r>
              <w:rPr>
                <w:sz w:val="17"/>
              </w:rPr>
              <w:t>1.91</w:t>
            </w:r>
          </w:p>
        </w:tc>
        <w:tc>
          <w:tcPr>
            <w:tcW w:type="dxa" w:w="2132"/>
          </w:tcPr>
          <w:p>
            <w:pPr>
              <w:spacing w:after="60" w:before="40"/>
            </w:pPr>
            <w:r>
              <w:rPr>
                <w:sz w:val="17"/>
              </w:rPr>
              <w:t>1.75</w:t>
            </w:r>
          </w:p>
        </w:tc>
        <w:tc>
          <w:tcPr>
            <w:tcW w:type="dxa" w:w="2132"/>
          </w:tcPr>
          <w:p>
            <w:pPr>
              <w:spacing w:after="60" w:before="40"/>
            </w:pPr>
            <w:r>
              <w:rPr>
                <w:sz w:val="17"/>
              </w:rPr>
              <w:t>1.33</w:t>
            </w:r>
          </w:p>
        </w:tc>
      </w:tr>
      <w:tr>
        <w:tc>
          <w:tcPr>
            <w:tcW w:type="dxa" w:w="4040"/>
          </w:tcPr>
          <w:p>
            <w:pPr>
              <w:spacing w:after="60" w:before="40"/>
            </w:pPr>
            <w:r>
              <w:rPr>
                <w:sz w:val="17"/>
              </w:rPr>
              <w:t>Phenylalanine</w:t>
            </w:r>
          </w:p>
        </w:tc>
        <w:tc>
          <w:tcPr>
            <w:tcW w:type="dxa" w:w="2394"/>
          </w:tcPr>
          <w:p>
            <w:pPr>
              <w:spacing w:after="60" w:before="40"/>
            </w:pPr>
            <w:r>
              <w:rPr>
                <w:sz w:val="17"/>
              </w:rPr>
              <w:t>g</w:t>
            </w:r>
          </w:p>
        </w:tc>
        <w:tc>
          <w:tcPr>
            <w:tcW w:type="dxa" w:w="2132"/>
          </w:tcPr>
          <w:p>
            <w:pPr>
              <w:spacing w:after="60" w:before="40"/>
            </w:pPr>
            <w:r>
              <w:rPr>
                <w:sz w:val="17"/>
              </w:rPr>
              <w:t>1.56</w:t>
            </w:r>
          </w:p>
        </w:tc>
        <w:tc>
          <w:tcPr>
            <w:tcW w:type="dxa" w:w="2132"/>
          </w:tcPr>
          <w:p>
            <w:pPr>
              <w:spacing w:after="60" w:before="40"/>
            </w:pPr>
            <w:r>
              <w:rPr>
                <w:sz w:val="17"/>
              </w:rPr>
              <w:t>1.35</w:t>
            </w:r>
          </w:p>
        </w:tc>
        <w:tc>
          <w:tcPr>
            <w:tcW w:type="dxa" w:w="2132"/>
          </w:tcPr>
          <w:p>
            <w:pPr>
              <w:spacing w:after="60" w:before="40"/>
            </w:pPr>
            <w:r>
              <w:rPr>
                <w:sz w:val="17"/>
              </w:rPr>
              <w:t>1.63</w:t>
            </w:r>
          </w:p>
        </w:tc>
        <w:tc>
          <w:tcPr>
            <w:tcW w:type="dxa" w:w="2132"/>
          </w:tcPr>
          <w:p>
            <w:pPr>
              <w:spacing w:after="60" w:before="40"/>
            </w:pPr>
            <w:r>
              <w:rPr>
                <w:sz w:val="17"/>
              </w:rPr>
              <w:t>1.25</w:t>
            </w:r>
          </w:p>
        </w:tc>
      </w:tr>
      <w:tr>
        <w:tc>
          <w:tcPr>
            <w:tcW w:type="dxa" w:w="4040"/>
          </w:tcPr>
          <w:p>
            <w:pPr>
              <w:spacing w:after="60" w:before="40"/>
            </w:pPr>
            <w:r>
              <w:rPr>
                <w:sz w:val="17"/>
              </w:rPr>
              <w:t>Phenylalanine + tyrosine</w:t>
            </w:r>
          </w:p>
        </w:tc>
        <w:tc>
          <w:tcPr>
            <w:tcW w:type="dxa" w:w="2394"/>
          </w:tcPr>
          <w:p>
            <w:pPr>
              <w:spacing w:after="60" w:before="40"/>
            </w:pPr>
            <w:r>
              <w:rPr>
                <w:sz w:val="17"/>
              </w:rPr>
              <w:t>g</w:t>
            </w:r>
          </w:p>
        </w:tc>
        <w:tc>
          <w:tcPr>
            <w:tcW w:type="dxa" w:w="2132"/>
          </w:tcPr>
          <w:p>
            <w:pPr>
              <w:spacing w:after="60" w:before="40"/>
            </w:pPr>
            <w:r>
              <w:rPr>
                <w:sz w:val="17"/>
              </w:rPr>
              <w:t>2.58</w:t>
            </w:r>
          </w:p>
        </w:tc>
        <w:tc>
          <w:tcPr>
            <w:tcW w:type="dxa" w:w="2132"/>
          </w:tcPr>
          <w:p>
            <w:pPr>
              <w:spacing w:after="60" w:before="40"/>
            </w:pPr>
            <w:r>
              <w:rPr>
                <w:sz w:val="17"/>
              </w:rPr>
              <w:t>2.23</w:t>
            </w:r>
          </w:p>
        </w:tc>
        <w:tc>
          <w:tcPr>
            <w:tcW w:type="dxa" w:w="2132"/>
          </w:tcPr>
          <w:p>
            <w:pPr>
              <w:spacing w:after="60" w:before="40"/>
            </w:pPr>
            <w:r>
              <w:rPr>
                <w:sz w:val="17"/>
              </w:rPr>
              <w:t>3.25</w:t>
            </w:r>
          </w:p>
        </w:tc>
        <w:tc>
          <w:tcPr>
            <w:tcW w:type="dxa" w:w="2132"/>
          </w:tcPr>
          <w:p>
            <w:pPr>
              <w:spacing w:after="60" w:before="40"/>
            </w:pPr>
            <w:r>
              <w:rPr>
                <w:sz w:val="17"/>
              </w:rPr>
              <w:t>2.50</w:t>
            </w:r>
          </w:p>
        </w:tc>
      </w:tr>
      <w:tr>
        <w:tc>
          <w:tcPr>
            <w:tcW w:type="dxa" w:w="4040"/>
          </w:tcPr>
          <w:p>
            <w:pPr>
              <w:spacing w:after="60" w:before="40"/>
            </w:pPr>
            <w:r>
              <w:rPr>
                <w:sz w:val="17"/>
              </w:rPr>
              <w:t>Threonine</w:t>
            </w:r>
          </w:p>
        </w:tc>
        <w:tc>
          <w:tcPr>
            <w:tcW w:type="dxa" w:w="2394"/>
          </w:tcPr>
          <w:p>
            <w:pPr>
              <w:spacing w:after="60" w:before="40"/>
            </w:pPr>
            <w:r>
              <w:rPr>
                <w:sz w:val="17"/>
              </w:rPr>
              <w:t>g</w:t>
            </w:r>
          </w:p>
        </w:tc>
        <w:tc>
          <w:tcPr>
            <w:tcW w:type="dxa" w:w="2132"/>
          </w:tcPr>
          <w:p>
            <w:pPr>
              <w:spacing w:after="60" w:before="40"/>
            </w:pPr>
            <w:r>
              <w:rPr>
                <w:sz w:val="17"/>
              </w:rPr>
              <w:t>1.51</w:t>
            </w:r>
          </w:p>
        </w:tc>
        <w:tc>
          <w:tcPr>
            <w:tcW w:type="dxa" w:w="2132"/>
          </w:tcPr>
          <w:p>
            <w:pPr>
              <w:spacing w:after="60" w:before="40"/>
            </w:pPr>
            <w:r>
              <w:rPr>
                <w:sz w:val="17"/>
              </w:rPr>
              <w:t>1.30</w:t>
            </w:r>
          </w:p>
        </w:tc>
        <w:tc>
          <w:tcPr>
            <w:tcW w:type="dxa" w:w="2132"/>
          </w:tcPr>
          <w:p>
            <w:pPr>
              <w:spacing w:after="60" w:before="40"/>
            </w:pPr>
            <w:r>
              <w:rPr>
                <w:sz w:val="17"/>
              </w:rPr>
              <w:t>2.03</w:t>
            </w:r>
          </w:p>
        </w:tc>
        <w:tc>
          <w:tcPr>
            <w:tcW w:type="dxa" w:w="2132"/>
          </w:tcPr>
          <w:p>
            <w:pPr>
              <w:spacing w:after="60" w:before="40"/>
            </w:pPr>
            <w:r>
              <w:rPr>
                <w:sz w:val="17"/>
              </w:rPr>
              <w:t>1.60</w:t>
            </w:r>
          </w:p>
        </w:tc>
      </w:tr>
      <w:tr>
        <w:tc>
          <w:tcPr>
            <w:tcW w:type="dxa" w:w="4040"/>
          </w:tcPr>
          <w:p>
            <w:pPr>
              <w:spacing w:after="60" w:before="40"/>
            </w:pPr>
            <w:r>
              <w:rPr>
                <w:sz w:val="17"/>
              </w:rPr>
              <w:t>Tryptophan</w:t>
            </w:r>
          </w:p>
        </w:tc>
        <w:tc>
          <w:tcPr>
            <w:tcW w:type="dxa" w:w="2394"/>
          </w:tcPr>
          <w:p>
            <w:pPr>
              <w:spacing w:after="60" w:before="40"/>
            </w:pPr>
            <w:r>
              <w:rPr>
                <w:sz w:val="17"/>
              </w:rPr>
              <w:t>g</w:t>
            </w:r>
          </w:p>
        </w:tc>
        <w:tc>
          <w:tcPr>
            <w:tcW w:type="dxa" w:w="2132"/>
          </w:tcPr>
          <w:p>
            <w:pPr>
              <w:spacing w:after="60" w:before="40"/>
            </w:pPr>
            <w:r>
              <w:rPr>
                <w:sz w:val="17"/>
              </w:rPr>
              <w:t>0.49</w:t>
            </w:r>
          </w:p>
        </w:tc>
        <w:tc>
          <w:tcPr>
            <w:tcW w:type="dxa" w:w="2132"/>
          </w:tcPr>
          <w:p>
            <w:pPr>
              <w:spacing w:after="60" w:before="40"/>
            </w:pPr>
            <w:r>
              <w:rPr>
                <w:sz w:val="17"/>
              </w:rPr>
              <w:t>0.43</w:t>
            </w:r>
          </w:p>
        </w:tc>
        <w:tc>
          <w:tcPr>
            <w:tcW w:type="dxa" w:w="2132"/>
          </w:tcPr>
          <w:p>
            <w:pPr>
              <w:spacing w:after="60" w:before="40"/>
            </w:pPr>
            <w:r>
              <w:rPr>
                <w:sz w:val="17"/>
              </w:rPr>
              <w:t>0.58</w:t>
            </w:r>
          </w:p>
        </w:tc>
        <w:tc>
          <w:tcPr>
            <w:tcW w:type="dxa" w:w="2132"/>
          </w:tcPr>
          <w:p>
            <w:pPr>
              <w:spacing w:after="60" w:before="40"/>
            </w:pPr>
            <w:r>
              <w:rPr>
                <w:sz w:val="17"/>
              </w:rPr>
              <w:t>0.53</w:t>
            </w:r>
          </w:p>
        </w:tc>
      </w:tr>
      <w:tr>
        <w:tc>
          <w:tcPr>
            <w:tcW w:type="dxa" w:w="4040"/>
          </w:tcPr>
          <w:p>
            <w:pPr>
              <w:spacing w:after="60" w:before="40"/>
            </w:pPr>
            <w:r>
              <w:rPr>
                <w:sz w:val="17"/>
              </w:rPr>
              <w:t>Valine</w:t>
            </w:r>
          </w:p>
        </w:tc>
        <w:tc>
          <w:tcPr>
            <w:tcW w:type="dxa" w:w="2394"/>
          </w:tcPr>
          <w:p>
            <w:pPr>
              <w:spacing w:after="60" w:before="40"/>
            </w:pPr>
            <w:r>
              <w:rPr>
                <w:sz w:val="17"/>
              </w:rPr>
              <w:t>g</w:t>
            </w:r>
          </w:p>
        </w:tc>
        <w:tc>
          <w:tcPr>
            <w:tcW w:type="dxa" w:w="2132"/>
          </w:tcPr>
          <w:p>
            <w:pPr>
              <w:spacing w:after="60" w:before="40"/>
            </w:pPr>
            <w:r>
              <w:rPr>
                <w:sz w:val="17"/>
              </w:rPr>
              <w:t>1.71</w:t>
            </w:r>
          </w:p>
        </w:tc>
        <w:tc>
          <w:tcPr>
            <w:tcW w:type="dxa" w:w="2132"/>
          </w:tcPr>
          <w:p>
            <w:pPr>
              <w:spacing w:after="60" w:before="40"/>
            </w:pPr>
            <w:r>
              <w:rPr>
                <w:sz w:val="17"/>
              </w:rPr>
              <w:t>1.48</w:t>
            </w:r>
          </w:p>
        </w:tc>
        <w:tc>
          <w:tcPr>
            <w:tcW w:type="dxa" w:w="2132"/>
          </w:tcPr>
          <w:p>
            <w:pPr>
              <w:spacing w:after="60" w:before="40"/>
            </w:pPr>
            <w:r>
              <w:rPr>
                <w:sz w:val="17"/>
              </w:rPr>
              <w:t>1.70</w:t>
            </w:r>
          </w:p>
        </w:tc>
        <w:tc>
          <w:tcPr>
            <w:tcW w:type="dxa" w:w="2132"/>
          </w:tcPr>
          <w:p>
            <w:pPr>
              <w:spacing w:after="60" w:before="40"/>
            </w:pPr>
            <w:r>
              <w:rPr>
                <w:sz w:val="17"/>
              </w:rPr>
              <w:t>1.40</w:t>
            </w:r>
          </w:p>
        </w:tc>
      </w:tr>
      <w:tr>
        <w:tc>
          <w:tcPr>
            <w:tcW w:type="dxa" w:w="4040"/>
          </w:tcPr>
          <w:p>
            <w:pPr>
              <w:spacing w:after="60" w:before="40"/>
            </w:pPr>
            <w:r>
              <w:rPr>
                <w:sz w:val="17"/>
              </w:rPr>
              <w:t>Total fat</w:t>
            </w:r>
          </w:p>
        </w:tc>
        <w:tc>
          <w:tcPr>
            <w:tcW w:type="dxa" w:w="2394"/>
          </w:tcPr>
          <w:p>
            <w:pPr>
              <w:spacing w:after="60" w:before="40"/>
            </w:pPr>
            <w:r>
              <w:rPr>
                <w:sz w:val="17"/>
              </w:rPr>
              <w:t>g</w:t>
            </w:r>
          </w:p>
        </w:tc>
        <w:tc>
          <w:tcPr>
            <w:tcW w:type="dxa" w:w="2132"/>
          </w:tcPr>
          <w:p>
            <w:pPr>
              <w:spacing w:after="60" w:before="40"/>
            </w:pPr>
            <w:r>
              <w:rPr>
                <w:sz w:val="17"/>
              </w:rPr>
              <w:t>13.75</w:t>
            </w:r>
          </w:p>
        </w:tc>
        <w:tc>
          <w:tcPr>
            <w:tcW w:type="dxa" w:w="2132"/>
          </w:tcPr>
          <w:p>
            <w:pPr>
              <w:spacing w:after="60" w:before="40"/>
            </w:pPr>
            <w:r>
              <w:rPr>
                <w:sz w:val="17"/>
              </w:rPr>
              <w:t>13.75</w:t>
            </w:r>
          </w:p>
        </w:tc>
        <w:tc>
          <w:tcPr>
            <w:tcW w:type="dxa" w:w="2132"/>
          </w:tcPr>
          <w:p>
            <w:pPr>
              <w:spacing w:after="60" w:before="40"/>
            </w:pPr>
            <w:r>
              <w:rPr>
                <w:sz w:val="17"/>
              </w:rPr>
              <w:t>21.25</w:t>
            </w:r>
          </w:p>
        </w:tc>
        <w:tc>
          <w:tcPr>
            <w:tcW w:type="dxa" w:w="2132"/>
          </w:tcPr>
          <w:p>
            <w:pPr>
              <w:spacing w:after="60" w:before="40"/>
            </w:pPr>
            <w:r>
              <w:rPr>
                <w:sz w:val="17"/>
              </w:rPr>
              <w:t>21.25</w:t>
            </w:r>
          </w:p>
        </w:tc>
      </w:tr>
      <w:tr>
        <w:tc>
          <w:tcPr>
            <w:tcW w:type="dxa" w:w="4040"/>
          </w:tcPr>
          <w:p>
            <w:pPr>
              <w:spacing w:after="60" w:before="40"/>
            </w:pPr>
            <w:r>
              <w:rPr>
                <w:sz w:val="17"/>
              </w:rPr>
              <w:t>Linoleic acid</w:t>
            </w:r>
          </w:p>
        </w:tc>
        <w:tc>
          <w:tcPr>
            <w:tcW w:type="dxa" w:w="2394"/>
          </w:tcPr>
          <w:p>
            <w:pPr>
              <w:spacing w:after="60" w:before="40"/>
            </w:pPr>
            <w:r>
              <w:rPr>
                <w:sz w:val="17"/>
              </w:rPr>
              <w:t>g</w:t>
            </w:r>
          </w:p>
        </w:tc>
        <w:tc>
          <w:tcPr>
            <w:tcW w:type="dxa" w:w="2132"/>
          </w:tcPr>
          <w:p>
            <w:pPr>
              <w:spacing w:after="60" w:before="40"/>
            </w:pPr>
            <w:r>
              <w:rPr>
                <w:sz w:val="17"/>
              </w:rPr>
              <w:t>3.82</w:t>
            </w:r>
          </w:p>
        </w:tc>
        <w:tc>
          <w:tcPr>
            <w:tcW w:type="dxa" w:w="2132"/>
          </w:tcPr>
          <w:p>
            <w:pPr>
              <w:spacing w:after="60" w:before="40"/>
            </w:pPr>
            <w:r>
              <w:rPr>
                <w:sz w:val="17"/>
              </w:rPr>
              <w:t>3.27</w:t>
            </w:r>
          </w:p>
        </w:tc>
        <w:tc>
          <w:tcPr>
            <w:tcW w:type="dxa" w:w="2132"/>
          </w:tcPr>
          <w:p>
            <w:pPr>
              <w:spacing w:after="60" w:before="40"/>
            </w:pPr>
            <w:r>
              <w:rPr>
                <w:sz w:val="17"/>
              </w:rPr>
              <w:t>3.25</w:t>
            </w:r>
          </w:p>
        </w:tc>
        <w:tc>
          <w:tcPr>
            <w:tcW w:type="dxa" w:w="2132"/>
          </w:tcPr>
          <w:p>
            <w:pPr>
              <w:spacing w:after="60" w:before="40"/>
            </w:pPr>
            <w:r>
              <w:rPr>
                <w:sz w:val="17"/>
              </w:rPr>
              <w:t>3.25</w:t>
            </w:r>
          </w:p>
        </w:tc>
      </w:tr>
      <w:tr>
        <w:tc>
          <w:tcPr>
            <w:tcW w:type="dxa" w:w="4040"/>
          </w:tcPr>
          <w:p>
            <w:pPr>
              <w:spacing w:after="60" w:before="40"/>
            </w:pPr>
            <w:r>
              <w:rPr>
                <w:sz w:val="17"/>
              </w:rPr>
              <w:t>Arachidonic acid</w:t>
            </w:r>
          </w:p>
        </w:tc>
        <w:tc>
          <w:tcPr>
            <w:tcW w:type="dxa" w:w="2394"/>
          </w:tcPr>
          <w:p>
            <w:pPr>
              <w:spacing w:after="60" w:before="40"/>
            </w:pPr>
            <w:r>
              <w:rPr>
                <w:sz w:val="17"/>
              </w:rPr>
              <w:t>mg</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75.00</w:t>
            </w:r>
          </w:p>
        </w:tc>
        <w:tc>
          <w:tcPr>
            <w:tcW w:type="dxa" w:w="2132"/>
          </w:tcPr>
          <w:p>
            <w:pPr>
              <w:spacing w:after="60" w:before="40"/>
            </w:pPr>
            <w:r>
              <w:rPr>
                <w:sz w:val="17"/>
              </w:rPr>
              <w:t>75.00</w:t>
            </w:r>
          </w:p>
        </w:tc>
      </w:tr>
      <w:tr>
        <w:tc>
          <w:tcPr>
            <w:tcW w:type="dxa" w:w="4040"/>
          </w:tcPr>
          <w:p>
            <w:pPr>
              <w:spacing w:after="60" w:before="40"/>
            </w:pPr>
            <w:r>
              <w:rPr>
                <w:sz w:val="17"/>
              </w:rPr>
              <w:t>Alpha-linolenic acid (ALA)</w:t>
            </w:r>
          </w:p>
        </w:tc>
        <w:tc>
          <w:tcPr>
            <w:tcW w:type="dxa" w:w="2394"/>
          </w:tcPr>
          <w:p>
            <w:pPr>
              <w:spacing w:after="60" w:before="40"/>
            </w:pPr>
            <w:r>
              <w:rPr>
                <w:sz w:val="17"/>
              </w:rPr>
              <w:t>g</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0.20</w:t>
            </w:r>
          </w:p>
        </w:tc>
        <w:tc>
          <w:tcPr>
            <w:tcW w:type="dxa" w:w="2132"/>
          </w:tcPr>
          <w:p>
            <w:pPr>
              <w:spacing w:after="60" w:before="40"/>
            </w:pPr>
            <w:r>
              <w:rPr>
                <w:sz w:val="17"/>
              </w:rPr>
              <w:t>0.20</w:t>
            </w:r>
          </w:p>
        </w:tc>
      </w:tr>
      <w:tr>
        <w:tc>
          <w:tcPr>
            <w:tcW w:type="dxa" w:w="4040"/>
          </w:tcPr>
          <w:p>
            <w:pPr>
              <w:spacing w:after="60" w:before="40"/>
            </w:pPr>
            <w:r>
              <w:rPr>
                <w:sz w:val="17"/>
              </w:rPr>
              <w:t>EPA + DHA</w:t>
            </w:r>
          </w:p>
        </w:tc>
        <w:tc>
          <w:tcPr>
            <w:tcW w:type="dxa" w:w="2394"/>
          </w:tcPr>
          <w:p>
            <w:pPr>
              <w:spacing w:after="60" w:before="40"/>
            </w:pPr>
            <w:r>
              <w:rPr>
                <w:sz w:val="17"/>
              </w:rPr>
              <w:t>g</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0.13</w:t>
            </w:r>
          </w:p>
        </w:tc>
        <w:tc>
          <w:tcPr>
            <w:tcW w:type="dxa" w:w="2132"/>
          </w:tcPr>
          <w:p>
            <w:pPr>
              <w:spacing w:after="60" w:before="40"/>
            </w:pPr>
            <w:r>
              <w:rPr>
                <w:sz w:val="17"/>
              </w:rPr>
              <w:t>0.13</w:t>
            </w:r>
          </w:p>
        </w:tc>
      </w:tr>
      <w:tr>
        <w:tc>
          <w:tcPr>
            <w:tcW w:type="dxa" w:w="4040"/>
          </w:tcPr>
          <w:p>
            <w:pPr>
              <w:spacing w:after="60" w:before="40"/>
            </w:pPr>
            <w:r>
              <w:rPr>
                <w:sz w:val="17"/>
              </w:rPr>
              <w:t>Calcium</w:t>
            </w:r>
          </w:p>
        </w:tc>
        <w:tc>
          <w:tcPr>
            <w:tcW w:type="dxa" w:w="2394"/>
          </w:tcPr>
          <w:p>
            <w:pPr>
              <w:spacing w:after="60" w:before="40"/>
            </w:pPr>
            <w:r>
              <w:rPr>
                <w:sz w:val="17"/>
              </w:rPr>
              <w:t>g</w:t>
            </w:r>
          </w:p>
        </w:tc>
        <w:tc>
          <w:tcPr>
            <w:tcW w:type="dxa" w:w="2132"/>
          </w:tcPr>
          <w:p>
            <w:pPr>
              <w:spacing w:after="60" w:before="40"/>
            </w:pPr>
            <w:r>
              <w:rPr>
                <w:sz w:val="17"/>
              </w:rPr>
              <w:t>1.45</w:t>
            </w:r>
          </w:p>
        </w:tc>
        <w:tc>
          <w:tcPr>
            <w:tcW w:type="dxa" w:w="2132"/>
          </w:tcPr>
          <w:p>
            <w:pPr>
              <w:spacing w:after="60" w:before="40"/>
            </w:pPr>
            <w:r>
              <w:rPr>
                <w:sz w:val="17"/>
              </w:rPr>
              <w:t>1.25</w:t>
            </w:r>
          </w:p>
        </w:tc>
        <w:tc>
          <w:tcPr>
            <w:tcW w:type="dxa" w:w="2132"/>
          </w:tcPr>
          <w:p>
            <w:pPr>
              <w:spacing w:after="60" w:before="40"/>
            </w:pPr>
            <w:r>
              <w:rPr>
                <w:sz w:val="17"/>
              </w:rPr>
              <w:t>2.50</w:t>
            </w:r>
          </w:p>
        </w:tc>
        <w:tc>
          <w:tcPr>
            <w:tcW w:type="dxa" w:w="2132"/>
          </w:tcPr>
          <w:p>
            <w:pPr>
              <w:spacing w:after="60" w:before="40"/>
            </w:pPr>
            <w:r>
              <w:rPr>
                <w:sz w:val="17"/>
              </w:rPr>
              <w:t>2.00(a)/2.50(b)</w:t>
            </w:r>
          </w:p>
        </w:tc>
      </w:tr>
      <w:tr>
        <w:tc>
          <w:tcPr>
            <w:tcW w:type="dxa" w:w="4040"/>
          </w:tcPr>
          <w:p>
            <w:pPr>
              <w:spacing w:after="60" w:before="40"/>
            </w:pPr>
            <w:r>
              <w:rPr>
                <w:sz w:val="17"/>
              </w:rPr>
              <w:t>Phosphorus</w:t>
            </w:r>
          </w:p>
        </w:tc>
        <w:tc>
          <w:tcPr>
            <w:tcW w:type="dxa" w:w="2394"/>
          </w:tcPr>
          <w:p>
            <w:pPr>
              <w:spacing w:after="60" w:before="40"/>
            </w:pPr>
            <w:r>
              <w:rPr>
                <w:sz w:val="17"/>
              </w:rPr>
              <w:t>g</w:t>
            </w:r>
          </w:p>
        </w:tc>
        <w:tc>
          <w:tcPr>
            <w:tcW w:type="dxa" w:w="2132"/>
          </w:tcPr>
          <w:p>
            <w:pPr>
              <w:spacing w:after="60" w:before="40"/>
            </w:pPr>
            <w:r>
              <w:rPr>
                <w:sz w:val="17"/>
              </w:rPr>
              <w:t>1.16</w:t>
            </w:r>
          </w:p>
        </w:tc>
        <w:tc>
          <w:tcPr>
            <w:tcW w:type="dxa" w:w="2132"/>
          </w:tcPr>
          <w:p>
            <w:pPr>
              <w:spacing w:after="60" w:before="40"/>
            </w:pPr>
            <w:r>
              <w:rPr>
                <w:sz w:val="17"/>
              </w:rPr>
              <w:t>1.00</w:t>
            </w:r>
          </w:p>
        </w:tc>
        <w:tc>
          <w:tcPr>
            <w:tcW w:type="dxa" w:w="2132"/>
          </w:tcPr>
          <w:p>
            <w:pPr>
              <w:spacing w:after="60" w:before="40"/>
            </w:pPr>
            <w:r>
              <w:rPr>
                <w:sz w:val="17"/>
              </w:rPr>
              <w:t>2.25</w:t>
            </w:r>
          </w:p>
        </w:tc>
        <w:tc>
          <w:tcPr>
            <w:tcW w:type="dxa" w:w="2132"/>
          </w:tcPr>
          <w:p>
            <w:pPr>
              <w:spacing w:after="60" w:before="40"/>
            </w:pPr>
            <w:r>
              <w:rPr>
                <w:sz w:val="17"/>
              </w:rPr>
              <w:t>1.75</w:t>
            </w:r>
          </w:p>
        </w:tc>
      </w:tr>
      <w:tr>
        <w:tc>
          <w:tcPr>
            <w:tcW w:type="dxa" w:w="4040"/>
          </w:tcPr>
          <w:p>
            <w:pPr>
              <w:spacing w:after="60" w:before="40"/>
            </w:pPr>
            <w:r>
              <w:rPr>
                <w:sz w:val="17"/>
              </w:rPr>
              <w:t>Calcium:phosphorus</w:t>
            </w:r>
          </w:p>
        </w:tc>
        <w:tc>
          <w:tcPr>
            <w:tcW w:type="dxa" w:w="2394"/>
          </w:tcPr>
          <w:p>
            <w:pPr>
              <w:spacing w:after="60" w:before="40"/>
            </w:pPr>
            <w:r>
              <w:rPr>
                <w:sz w:val="17"/>
              </w:rPr>
              <w:t>mass ratio</w:t>
            </w:r>
          </w:p>
        </w:tc>
        <w:tc>
          <w:tcPr>
            <w:tcW w:type="dxa" w:w="2132"/>
          </w:tcPr>
          <w:p>
            <w:pPr>
              <w:spacing w:after="60" w:before="40"/>
            </w:pPr>
            <w:r>
              <w:rPr>
                <w:sz w:val="17"/>
              </w:rPr>
              <w:t>≥1:1</w:t>
            </w:r>
          </w:p>
        </w:tc>
        <w:tc>
          <w:tcPr>
            <w:tcW w:type="dxa" w:w="2132"/>
          </w:tcPr>
          <w:p>
            <w:pPr>
              <w:spacing w:after="60" w:before="40"/>
            </w:pPr>
            <w:r>
              <w:rPr>
                <w:sz w:val="17"/>
              </w:rPr>
              <w:t>≥1:1</w:t>
            </w:r>
          </w:p>
        </w:tc>
        <w:tc>
          <w:tcPr>
            <w:tcW w:type="dxa" w:w="2132"/>
          </w:tcPr>
          <w:p>
            <w:pPr>
              <w:spacing w:after="60" w:before="40"/>
            </w:pPr>
            <w:r>
              <w:rPr>
                <w:sz w:val="17"/>
              </w:rPr>
              <w:t>≥1:1</w:t>
            </w:r>
          </w:p>
        </w:tc>
        <w:tc>
          <w:tcPr>
            <w:tcW w:type="dxa" w:w="2132"/>
          </w:tcPr>
          <w:p>
            <w:pPr>
              <w:spacing w:after="60" w:before="40"/>
            </w:pPr>
            <w:r>
              <w:rPr>
                <w:sz w:val="17"/>
              </w:rPr>
              <w:t>≥1:1</w:t>
            </w:r>
          </w:p>
        </w:tc>
      </w:tr>
      <w:tr>
        <w:tc>
          <w:tcPr>
            <w:tcW w:type="dxa" w:w="4040"/>
          </w:tcPr>
          <w:p>
            <w:pPr>
              <w:spacing w:after="60" w:before="40"/>
            </w:pPr>
            <w:r>
              <w:rPr>
                <w:sz w:val="17"/>
              </w:rPr>
              <w:t>Potassium</w:t>
            </w:r>
          </w:p>
        </w:tc>
        <w:tc>
          <w:tcPr>
            <w:tcW w:type="dxa" w:w="2394"/>
          </w:tcPr>
          <w:p>
            <w:pPr>
              <w:spacing w:after="60" w:before="40"/>
            </w:pPr>
            <w:r>
              <w:rPr>
                <w:sz w:val="17"/>
              </w:rPr>
              <w:t>g</w:t>
            </w:r>
          </w:p>
        </w:tc>
        <w:tc>
          <w:tcPr>
            <w:tcW w:type="dxa" w:w="2132"/>
          </w:tcPr>
          <w:p>
            <w:pPr>
              <w:spacing w:after="60" w:before="40"/>
            </w:pPr>
            <w:r>
              <w:rPr>
                <w:sz w:val="17"/>
              </w:rPr>
              <w:t>1.45</w:t>
            </w:r>
          </w:p>
        </w:tc>
        <w:tc>
          <w:tcPr>
            <w:tcW w:type="dxa" w:w="2132"/>
          </w:tcPr>
          <w:p>
            <w:pPr>
              <w:spacing w:after="60" w:before="40"/>
            </w:pPr>
            <w:r>
              <w:rPr>
                <w:sz w:val="17"/>
              </w:rPr>
              <w:t>1.25</w:t>
            </w:r>
          </w:p>
        </w:tc>
        <w:tc>
          <w:tcPr>
            <w:tcW w:type="dxa" w:w="2132"/>
          </w:tcPr>
          <w:p>
            <w:pPr>
              <w:spacing w:after="60" w:before="40"/>
            </w:pPr>
            <w:r>
              <w:rPr>
                <w:sz w:val="17"/>
              </w:rPr>
              <w:t>1.10</w:t>
            </w:r>
          </w:p>
        </w:tc>
        <w:tc>
          <w:tcPr>
            <w:tcW w:type="dxa" w:w="2132"/>
          </w:tcPr>
          <w:p>
            <w:pPr>
              <w:spacing w:after="60" w:before="40"/>
            </w:pPr>
            <w:r>
              <w:rPr>
                <w:sz w:val="17"/>
              </w:rPr>
              <w:t>1.10</w:t>
            </w:r>
          </w:p>
        </w:tc>
      </w:tr>
      <w:tr>
        <w:tc>
          <w:tcPr>
            <w:tcW w:type="dxa" w:w="4040"/>
          </w:tcPr>
          <w:p>
            <w:pPr>
              <w:spacing w:after="60" w:before="40"/>
            </w:pPr>
            <w:r>
              <w:rPr>
                <w:sz w:val="17"/>
              </w:rPr>
              <w:t>Sodium</w:t>
            </w:r>
          </w:p>
        </w:tc>
        <w:tc>
          <w:tcPr>
            <w:tcW w:type="dxa" w:w="2394"/>
          </w:tcPr>
          <w:p>
            <w:pPr>
              <w:spacing w:after="60" w:before="40"/>
            </w:pPr>
            <w:r>
              <w:rPr>
                <w:sz w:val="17"/>
              </w:rPr>
              <w:t>g</w:t>
            </w:r>
          </w:p>
        </w:tc>
        <w:tc>
          <w:tcPr>
            <w:tcW w:type="dxa" w:w="2132"/>
          </w:tcPr>
          <w:p>
            <w:pPr>
              <w:spacing w:after="60" w:before="40"/>
            </w:pPr>
            <w:r>
              <w:rPr>
                <w:sz w:val="17"/>
              </w:rPr>
              <w:t>0.29</w:t>
            </w:r>
          </w:p>
        </w:tc>
        <w:tc>
          <w:tcPr>
            <w:tcW w:type="dxa" w:w="2132"/>
          </w:tcPr>
          <w:p>
            <w:pPr>
              <w:spacing w:after="60" w:before="40"/>
            </w:pPr>
            <w:r>
              <w:rPr>
                <w:sz w:val="17"/>
              </w:rPr>
              <w:t>0.25</w:t>
            </w:r>
          </w:p>
        </w:tc>
        <w:tc>
          <w:tcPr>
            <w:tcW w:type="dxa" w:w="2132"/>
          </w:tcPr>
          <w:p>
            <w:pPr>
              <w:spacing w:after="60" w:before="40"/>
            </w:pPr>
            <w:r>
              <w:rPr>
                <w:sz w:val="17"/>
              </w:rPr>
              <w:t>0.55</w:t>
            </w:r>
          </w:p>
        </w:tc>
        <w:tc>
          <w:tcPr>
            <w:tcW w:type="dxa" w:w="2132"/>
          </w:tcPr>
          <w:p>
            <w:pPr>
              <w:spacing w:after="60" w:before="40"/>
            </w:pPr>
            <w:r>
              <w:rPr>
                <w:sz w:val="17"/>
              </w:rPr>
              <w:t>0.55</w:t>
            </w:r>
          </w:p>
        </w:tc>
      </w:tr>
      <w:tr>
        <w:tc>
          <w:tcPr>
            <w:tcW w:type="dxa" w:w="4040"/>
          </w:tcPr>
          <w:p>
            <w:pPr>
              <w:spacing w:after="60" w:before="40"/>
            </w:pPr>
            <w:r>
              <w:rPr>
                <w:sz w:val="17"/>
              </w:rPr>
              <w:t>Chloride</w:t>
            </w:r>
          </w:p>
        </w:tc>
        <w:tc>
          <w:tcPr>
            <w:tcW w:type="dxa" w:w="2394"/>
          </w:tcPr>
          <w:p>
            <w:pPr>
              <w:spacing w:after="60" w:before="40"/>
            </w:pPr>
            <w:r>
              <w:rPr>
                <w:sz w:val="17"/>
              </w:rPr>
              <w:t>g</w:t>
            </w:r>
          </w:p>
        </w:tc>
        <w:tc>
          <w:tcPr>
            <w:tcW w:type="dxa" w:w="2132"/>
          </w:tcPr>
          <w:p>
            <w:pPr>
              <w:spacing w:after="60" w:before="40"/>
            </w:pPr>
            <w:r>
              <w:rPr>
                <w:sz w:val="17"/>
              </w:rPr>
              <w:t>0.43</w:t>
            </w:r>
          </w:p>
        </w:tc>
        <w:tc>
          <w:tcPr>
            <w:tcW w:type="dxa" w:w="2132"/>
          </w:tcPr>
          <w:p>
            <w:pPr>
              <w:spacing w:after="60" w:before="40"/>
            </w:pPr>
            <w:r>
              <w:rPr>
                <w:sz w:val="17"/>
              </w:rPr>
              <w:t>0.38</w:t>
            </w:r>
          </w:p>
        </w:tc>
        <w:tc>
          <w:tcPr>
            <w:tcW w:type="dxa" w:w="2132"/>
          </w:tcPr>
          <w:p>
            <w:pPr>
              <w:spacing w:after="60" w:before="40"/>
            </w:pPr>
            <w:r>
              <w:rPr>
                <w:sz w:val="17"/>
              </w:rPr>
              <w:t>0.83</w:t>
            </w:r>
          </w:p>
        </w:tc>
        <w:tc>
          <w:tcPr>
            <w:tcW w:type="dxa" w:w="2132"/>
          </w:tcPr>
          <w:p>
            <w:pPr>
              <w:spacing w:after="60" w:before="40"/>
            </w:pPr>
            <w:r>
              <w:rPr>
                <w:sz w:val="17"/>
              </w:rPr>
              <w:t>0.83</w:t>
            </w:r>
          </w:p>
        </w:tc>
      </w:tr>
      <w:tr>
        <w:tc>
          <w:tcPr>
            <w:tcW w:type="dxa" w:w="4040"/>
          </w:tcPr>
          <w:p>
            <w:pPr>
              <w:spacing w:after="60" w:before="40"/>
            </w:pPr>
            <w:r>
              <w:rPr>
                <w:sz w:val="17"/>
              </w:rPr>
              <w:t>Magnesium</w:t>
            </w:r>
          </w:p>
        </w:tc>
        <w:tc>
          <w:tcPr>
            <w:tcW w:type="dxa" w:w="2394"/>
          </w:tcPr>
          <w:p>
            <w:pPr>
              <w:spacing w:after="60" w:before="40"/>
            </w:pPr>
            <w:r>
              <w:rPr>
                <w:sz w:val="17"/>
              </w:rPr>
              <w:t>g</w:t>
            </w:r>
          </w:p>
        </w:tc>
        <w:tc>
          <w:tcPr>
            <w:tcW w:type="dxa" w:w="2132"/>
          </w:tcPr>
          <w:p>
            <w:pPr>
              <w:spacing w:after="60" w:before="40"/>
            </w:pPr>
            <w:r>
              <w:rPr>
                <w:sz w:val="17"/>
              </w:rPr>
              <w:t>0.20</w:t>
            </w:r>
          </w:p>
        </w:tc>
        <w:tc>
          <w:tcPr>
            <w:tcW w:type="dxa" w:w="2132"/>
          </w:tcPr>
          <w:p>
            <w:pPr>
              <w:spacing w:after="60" w:before="40"/>
            </w:pPr>
            <w:r>
              <w:rPr>
                <w:sz w:val="17"/>
              </w:rPr>
              <w:t>0.18</w:t>
            </w:r>
          </w:p>
        </w:tc>
        <w:tc>
          <w:tcPr>
            <w:tcW w:type="dxa" w:w="2132"/>
          </w:tcPr>
          <w:p>
            <w:pPr>
              <w:spacing w:after="60" w:before="40"/>
            </w:pPr>
            <w:r>
              <w:rPr>
                <w:sz w:val="17"/>
              </w:rPr>
              <w:t>0.10</w:t>
            </w:r>
          </w:p>
        </w:tc>
        <w:tc>
          <w:tcPr>
            <w:tcW w:type="dxa" w:w="2132"/>
          </w:tcPr>
          <w:p>
            <w:pPr>
              <w:spacing w:after="60" w:before="40"/>
            </w:pPr>
            <w:r>
              <w:rPr>
                <w:sz w:val="17"/>
              </w:rPr>
              <w:t>0.10</w:t>
            </w:r>
          </w:p>
        </w:tc>
      </w:tr>
      <w:tr>
        <w:tc>
          <w:tcPr>
            <w:tcW w:type="dxa" w:w="4040"/>
          </w:tcPr>
          <w:p>
            <w:pPr>
              <w:spacing w:after="60" w:before="40"/>
            </w:pPr>
            <w:r>
              <w:rPr>
                <w:sz w:val="17"/>
              </w:rPr>
              <w:t>Copper</w:t>
            </w:r>
          </w:p>
        </w:tc>
        <w:tc>
          <w:tcPr>
            <w:tcW w:type="dxa" w:w="2394"/>
          </w:tcPr>
          <w:p>
            <w:pPr>
              <w:spacing w:after="60" w:before="40"/>
            </w:pPr>
            <w:r>
              <w:rPr>
                <w:sz w:val="17"/>
              </w:rPr>
              <w:t>mg</w:t>
            </w:r>
          </w:p>
        </w:tc>
        <w:tc>
          <w:tcPr>
            <w:tcW w:type="dxa" w:w="2132"/>
          </w:tcPr>
          <w:p>
            <w:pPr>
              <w:spacing w:after="60" w:before="40"/>
            </w:pPr>
            <w:r>
              <w:rPr>
                <w:sz w:val="17"/>
              </w:rPr>
              <w:t>2.08</w:t>
            </w:r>
          </w:p>
        </w:tc>
        <w:tc>
          <w:tcPr>
            <w:tcW w:type="dxa" w:w="2132"/>
          </w:tcPr>
          <w:p>
            <w:pPr>
              <w:spacing w:after="60" w:before="40"/>
            </w:pPr>
            <w:r>
              <w:rPr>
                <w:sz w:val="17"/>
              </w:rPr>
              <w:t>1.80</w:t>
            </w:r>
          </w:p>
        </w:tc>
        <w:tc>
          <w:tcPr>
            <w:tcW w:type="dxa" w:w="2132"/>
          </w:tcPr>
          <w:p>
            <w:pPr>
              <w:spacing w:after="60" w:before="40"/>
            </w:pPr>
            <w:r>
              <w:rPr>
                <w:sz w:val="17"/>
              </w:rPr>
              <w:t>2.75</w:t>
            </w:r>
          </w:p>
        </w:tc>
        <w:tc>
          <w:tcPr>
            <w:tcW w:type="dxa" w:w="2132"/>
          </w:tcPr>
          <w:p>
            <w:pPr>
              <w:spacing w:after="60" w:before="40"/>
            </w:pPr>
            <w:r>
              <w:rPr>
                <w:sz w:val="17"/>
              </w:rPr>
              <w:t>2.75</w:t>
            </w:r>
          </w:p>
        </w:tc>
      </w:tr>
      <w:tr>
        <w:tc>
          <w:tcPr>
            <w:tcW w:type="dxa" w:w="4040"/>
          </w:tcPr>
          <w:p>
            <w:pPr>
              <w:spacing w:after="60" w:before="40"/>
            </w:pPr>
            <w:r>
              <w:rPr>
                <w:sz w:val="17"/>
              </w:rPr>
              <w:t>Iodine</w:t>
            </w:r>
          </w:p>
        </w:tc>
        <w:tc>
          <w:tcPr>
            <w:tcW w:type="dxa" w:w="2394"/>
          </w:tcPr>
          <w:p>
            <w:pPr>
              <w:spacing w:after="60" w:before="40"/>
            </w:pPr>
            <w:r>
              <w:rPr>
                <w:sz w:val="17"/>
              </w:rPr>
              <w:t>mg</w:t>
            </w:r>
          </w:p>
        </w:tc>
        <w:tc>
          <w:tcPr>
            <w:tcW w:type="dxa" w:w="2132"/>
          </w:tcPr>
          <w:p>
            <w:pPr>
              <w:spacing w:after="60" w:before="40"/>
            </w:pPr>
            <w:r>
              <w:rPr>
                <w:sz w:val="17"/>
              </w:rPr>
              <w:t>0.30</w:t>
            </w:r>
          </w:p>
        </w:tc>
        <w:tc>
          <w:tcPr>
            <w:tcW w:type="dxa" w:w="2132"/>
          </w:tcPr>
          <w:p>
            <w:pPr>
              <w:spacing w:after="60" w:before="40"/>
            </w:pPr>
            <w:r>
              <w:rPr>
                <w:sz w:val="17"/>
              </w:rPr>
              <w:t>0.26</w:t>
            </w:r>
          </w:p>
        </w:tc>
        <w:tc>
          <w:tcPr>
            <w:tcW w:type="dxa" w:w="2132"/>
          </w:tcPr>
          <w:p>
            <w:pPr>
              <w:spacing w:after="60" w:before="40"/>
            </w:pPr>
            <w:r>
              <w:rPr>
                <w:sz w:val="17"/>
              </w:rPr>
              <w:t>0.38</w:t>
            </w:r>
          </w:p>
        </w:tc>
        <w:tc>
          <w:tcPr>
            <w:tcW w:type="dxa" w:w="2132"/>
          </w:tcPr>
          <w:p>
            <w:pPr>
              <w:spacing w:after="60" w:before="40"/>
            </w:pPr>
            <w:r>
              <w:rPr>
                <w:sz w:val="17"/>
              </w:rPr>
              <w:t>0.38</w:t>
            </w:r>
          </w:p>
        </w:tc>
      </w:tr>
      <w:tr>
        <w:tc>
          <w:tcPr>
            <w:tcW w:type="dxa" w:w="4040"/>
          </w:tcPr>
          <w:p>
            <w:pPr>
              <w:spacing w:after="60" w:before="40"/>
            </w:pPr>
            <w:r>
              <w:rPr>
                <w:sz w:val="17"/>
              </w:rPr>
              <w:t>Iron</w:t>
            </w:r>
          </w:p>
        </w:tc>
        <w:tc>
          <w:tcPr>
            <w:tcW w:type="dxa" w:w="2394"/>
          </w:tcPr>
          <w:p>
            <w:pPr>
              <w:spacing w:after="60" w:before="40"/>
            </w:pPr>
            <w:r>
              <w:rPr>
                <w:sz w:val="17"/>
              </w:rPr>
              <w:t>mg</w:t>
            </w:r>
          </w:p>
        </w:tc>
        <w:tc>
          <w:tcPr>
            <w:tcW w:type="dxa" w:w="2132"/>
          </w:tcPr>
          <w:p>
            <w:pPr>
              <w:spacing w:after="60" w:before="40"/>
            </w:pPr>
            <w:r>
              <w:rPr>
                <w:sz w:val="17"/>
              </w:rPr>
              <w:t>10.40</w:t>
            </w:r>
          </w:p>
        </w:tc>
        <w:tc>
          <w:tcPr>
            <w:tcW w:type="dxa" w:w="2132"/>
          </w:tcPr>
          <w:p>
            <w:pPr>
              <w:spacing w:after="60" w:before="40"/>
            </w:pPr>
            <w:r>
              <w:rPr>
                <w:sz w:val="17"/>
              </w:rPr>
              <w:t>9.00</w:t>
            </w:r>
          </w:p>
        </w:tc>
        <w:tc>
          <w:tcPr>
            <w:tcW w:type="dxa" w:w="2132"/>
          </w:tcPr>
          <w:p>
            <w:pPr>
              <w:spacing w:after="60" w:before="40"/>
            </w:pPr>
            <w:r>
              <w:rPr>
                <w:sz w:val="17"/>
              </w:rPr>
              <w:t>22.00</w:t>
            </w:r>
          </w:p>
        </w:tc>
        <w:tc>
          <w:tcPr>
            <w:tcW w:type="dxa" w:w="2132"/>
          </w:tcPr>
          <w:p>
            <w:pPr>
              <w:spacing w:after="60" w:before="40"/>
            </w:pPr>
            <w:r>
              <w:rPr>
                <w:sz w:val="17"/>
              </w:rPr>
              <w:t>22.00</w:t>
            </w:r>
          </w:p>
        </w:tc>
      </w:tr>
      <w:tr>
        <w:tc>
          <w:tcPr>
            <w:tcW w:type="dxa" w:w="4040"/>
          </w:tcPr>
          <w:p>
            <w:pPr>
              <w:spacing w:after="60" w:before="40"/>
            </w:pPr>
            <w:r>
              <w:rPr>
                <w:sz w:val="17"/>
              </w:rPr>
              <w:t>Manganese</w:t>
            </w:r>
          </w:p>
        </w:tc>
        <w:tc>
          <w:tcPr>
            <w:tcW w:type="dxa" w:w="2394"/>
          </w:tcPr>
          <w:p>
            <w:pPr>
              <w:spacing w:after="60" w:before="40"/>
            </w:pPr>
            <w:r>
              <w:rPr>
                <w:sz w:val="17"/>
              </w:rPr>
              <w:t>mg</w:t>
            </w:r>
          </w:p>
        </w:tc>
        <w:tc>
          <w:tcPr>
            <w:tcW w:type="dxa" w:w="2132"/>
          </w:tcPr>
          <w:p>
            <w:pPr>
              <w:spacing w:after="60" w:before="40"/>
            </w:pPr>
            <w:r>
              <w:rPr>
                <w:sz w:val="17"/>
              </w:rPr>
              <w:t>1.67</w:t>
            </w:r>
          </w:p>
        </w:tc>
        <w:tc>
          <w:tcPr>
            <w:tcW w:type="dxa" w:w="2132"/>
          </w:tcPr>
          <w:p>
            <w:pPr>
              <w:spacing w:after="60" w:before="40"/>
            </w:pPr>
            <w:r>
              <w:rPr>
                <w:sz w:val="17"/>
              </w:rPr>
              <w:t>1.44</w:t>
            </w:r>
          </w:p>
        </w:tc>
        <w:tc>
          <w:tcPr>
            <w:tcW w:type="dxa" w:w="2132"/>
          </w:tcPr>
          <w:p>
            <w:pPr>
              <w:spacing w:after="60" w:before="40"/>
            </w:pPr>
            <w:r>
              <w:rPr>
                <w:sz w:val="17"/>
              </w:rPr>
              <w:t>1.40</w:t>
            </w:r>
          </w:p>
        </w:tc>
        <w:tc>
          <w:tcPr>
            <w:tcW w:type="dxa" w:w="2132"/>
          </w:tcPr>
          <w:p>
            <w:pPr>
              <w:spacing w:after="60" w:before="40"/>
            </w:pPr>
            <w:r>
              <w:rPr>
                <w:sz w:val="17"/>
              </w:rPr>
              <w:t>1.40</w:t>
            </w:r>
          </w:p>
        </w:tc>
      </w:tr>
      <w:tr>
        <w:tc>
          <w:tcPr>
            <w:tcW w:type="dxa" w:w="4040"/>
          </w:tcPr>
          <w:p>
            <w:pPr>
              <w:spacing w:after="60" w:before="40"/>
            </w:pPr>
            <w:r>
              <w:rPr>
                <w:sz w:val="17"/>
              </w:rPr>
              <w:t>Selenium, wet food</w:t>
            </w:r>
          </w:p>
        </w:tc>
        <w:tc>
          <w:tcPr>
            <w:tcW w:type="dxa" w:w="2394"/>
          </w:tcPr>
          <w:p>
            <w:pPr>
              <w:spacing w:after="60" w:before="40"/>
            </w:pPr>
            <w:r>
              <w:rPr>
                <w:sz w:val="17"/>
              </w:rPr>
              <w:t>µg</w:t>
            </w:r>
          </w:p>
        </w:tc>
        <w:tc>
          <w:tcPr>
            <w:tcW w:type="dxa" w:w="2132"/>
          </w:tcPr>
          <w:p>
            <w:pPr>
              <w:spacing w:after="60" w:before="40"/>
            </w:pPr>
            <w:r>
              <w:rPr>
                <w:sz w:val="17"/>
              </w:rPr>
              <w:t>67.50</w:t>
            </w:r>
          </w:p>
        </w:tc>
        <w:tc>
          <w:tcPr>
            <w:tcW w:type="dxa" w:w="2132"/>
          </w:tcPr>
          <w:p>
            <w:pPr>
              <w:spacing w:after="60" w:before="40"/>
            </w:pPr>
            <w:r>
              <w:rPr>
                <w:sz w:val="17"/>
              </w:rPr>
              <w:t>57.50</w:t>
            </w:r>
          </w:p>
        </w:tc>
        <w:tc>
          <w:tcPr>
            <w:tcW w:type="dxa" w:w="2132"/>
          </w:tcPr>
          <w:p>
            <w:pPr>
              <w:spacing w:after="60" w:before="40"/>
            </w:pPr>
            <w:r>
              <w:rPr>
                <w:sz w:val="17"/>
              </w:rPr>
              <w:t>100.00</w:t>
            </w:r>
          </w:p>
        </w:tc>
        <w:tc>
          <w:tcPr>
            <w:tcW w:type="dxa" w:w="2132"/>
          </w:tcPr>
          <w:p>
            <w:pPr>
              <w:spacing w:after="60" w:before="40"/>
            </w:pPr>
            <w:r>
              <w:rPr>
                <w:sz w:val="17"/>
              </w:rPr>
              <w:t>100.00</w:t>
            </w:r>
          </w:p>
        </w:tc>
      </w:tr>
      <w:tr>
        <w:tc>
          <w:tcPr>
            <w:tcW w:type="dxa" w:w="4040"/>
          </w:tcPr>
          <w:p>
            <w:pPr>
              <w:spacing w:after="60" w:before="40"/>
            </w:pPr>
            <w:r>
              <w:rPr>
                <w:sz w:val="17"/>
              </w:rPr>
              <w:t>Selenium, dry food</w:t>
            </w:r>
          </w:p>
        </w:tc>
        <w:tc>
          <w:tcPr>
            <w:tcW w:type="dxa" w:w="2394"/>
          </w:tcPr>
          <w:p>
            <w:pPr>
              <w:spacing w:after="60" w:before="40"/>
            </w:pPr>
            <w:r>
              <w:rPr>
                <w:sz w:val="17"/>
              </w:rPr>
              <w:t>µg</w:t>
            </w:r>
          </w:p>
        </w:tc>
        <w:tc>
          <w:tcPr>
            <w:tcW w:type="dxa" w:w="2132"/>
          </w:tcPr>
          <w:p>
            <w:pPr>
              <w:spacing w:after="60" w:before="40"/>
            </w:pPr>
            <w:r>
              <w:rPr>
                <w:sz w:val="17"/>
              </w:rPr>
              <w:t>55.00</w:t>
            </w:r>
          </w:p>
        </w:tc>
        <w:tc>
          <w:tcPr>
            <w:tcW w:type="dxa" w:w="2132"/>
          </w:tcPr>
          <w:p>
            <w:pPr>
              <w:spacing w:after="60" w:before="40"/>
            </w:pPr>
            <w:r>
              <w:rPr>
                <w:sz w:val="17"/>
              </w:rPr>
              <w:t>45.00</w:t>
            </w:r>
          </w:p>
        </w:tc>
        <w:tc>
          <w:tcPr>
            <w:tcW w:type="dxa" w:w="2132"/>
          </w:tcPr>
          <w:p>
            <w:pPr>
              <w:spacing w:after="60" w:before="40"/>
            </w:pPr>
            <w:r>
              <w:rPr>
                <w:sz w:val="17"/>
              </w:rPr>
              <w:t>100.00</w:t>
            </w:r>
          </w:p>
        </w:tc>
        <w:tc>
          <w:tcPr>
            <w:tcW w:type="dxa" w:w="2132"/>
          </w:tcPr>
          <w:p>
            <w:pPr>
              <w:spacing w:after="60" w:before="40"/>
            </w:pPr>
            <w:r>
              <w:rPr>
                <w:sz w:val="17"/>
              </w:rPr>
              <w:t>100.00</w:t>
            </w:r>
          </w:p>
        </w:tc>
      </w:tr>
      <w:tr>
        <w:tc>
          <w:tcPr>
            <w:tcW w:type="dxa" w:w="4040"/>
          </w:tcPr>
          <w:p>
            <w:pPr>
              <w:spacing w:after="60" w:before="40"/>
            </w:pPr>
            <w:r>
              <w:rPr>
                <w:sz w:val="17"/>
              </w:rPr>
              <w:t>Zinc</w:t>
            </w:r>
          </w:p>
        </w:tc>
        <w:tc>
          <w:tcPr>
            <w:tcW w:type="dxa" w:w="2394"/>
          </w:tcPr>
          <w:p>
            <w:pPr>
              <w:spacing w:after="60" w:before="40"/>
            </w:pPr>
            <w:r>
              <w:rPr>
                <w:sz w:val="17"/>
              </w:rPr>
              <w:t>mg</w:t>
            </w:r>
          </w:p>
        </w:tc>
        <w:tc>
          <w:tcPr>
            <w:tcW w:type="dxa" w:w="2132"/>
          </w:tcPr>
          <w:p>
            <w:pPr>
              <w:spacing w:after="60" w:before="40"/>
            </w:pPr>
            <w:r>
              <w:rPr>
                <w:sz w:val="17"/>
              </w:rPr>
              <w:t>20.80</w:t>
            </w:r>
          </w:p>
        </w:tc>
        <w:tc>
          <w:tcPr>
            <w:tcW w:type="dxa" w:w="2132"/>
          </w:tcPr>
          <w:p>
            <w:pPr>
              <w:spacing w:after="60" w:before="40"/>
            </w:pPr>
            <w:r>
              <w:rPr>
                <w:sz w:val="17"/>
              </w:rPr>
              <w:t>18.00</w:t>
            </w:r>
          </w:p>
        </w:tc>
        <w:tc>
          <w:tcPr>
            <w:tcW w:type="dxa" w:w="2132"/>
          </w:tcPr>
          <w:p>
            <w:pPr>
              <w:spacing w:after="60" w:before="40"/>
            </w:pPr>
            <w:r>
              <w:rPr>
                <w:sz w:val="17"/>
              </w:rPr>
              <w:t>25.00</w:t>
            </w:r>
          </w:p>
        </w:tc>
        <w:tc>
          <w:tcPr>
            <w:tcW w:type="dxa" w:w="2132"/>
          </w:tcPr>
          <w:p>
            <w:pPr>
              <w:spacing w:after="60" w:before="40"/>
            </w:pPr>
            <w:r>
              <w:rPr>
                <w:sz w:val="17"/>
              </w:rPr>
              <w:t>25.00</w:t>
            </w:r>
          </w:p>
        </w:tc>
      </w:tr>
      <w:tr>
        <w:tc>
          <w:tcPr>
            <w:tcW w:type="dxa" w:w="4040"/>
          </w:tcPr>
          <w:p>
            <w:pPr>
              <w:spacing w:after="60" w:before="40"/>
            </w:pPr>
            <w:r>
              <w:rPr>
                <w:sz w:val="17"/>
              </w:rPr>
              <w:t>Vitamin A</w:t>
            </w:r>
          </w:p>
        </w:tc>
        <w:tc>
          <w:tcPr>
            <w:tcW w:type="dxa" w:w="2394"/>
          </w:tcPr>
          <w:p>
            <w:pPr>
              <w:spacing w:after="60" w:before="40"/>
            </w:pPr>
            <w:r>
              <w:rPr>
                <w:sz w:val="17"/>
              </w:rPr>
              <w:t>IU</w:t>
            </w:r>
          </w:p>
        </w:tc>
        <w:tc>
          <w:tcPr>
            <w:tcW w:type="dxa" w:w="2132"/>
          </w:tcPr>
          <w:p>
            <w:pPr>
              <w:spacing w:after="60" w:before="40"/>
            </w:pPr>
            <w:r>
              <w:rPr>
                <w:sz w:val="17"/>
              </w:rPr>
              <w:t>1754</w:t>
            </w:r>
          </w:p>
        </w:tc>
        <w:tc>
          <w:tcPr>
            <w:tcW w:type="dxa" w:w="2132"/>
          </w:tcPr>
          <w:p>
            <w:pPr>
              <w:spacing w:after="60" w:before="40"/>
            </w:pPr>
            <w:r>
              <w:rPr>
                <w:sz w:val="17"/>
              </w:rPr>
              <w:t>1515</w:t>
            </w:r>
          </w:p>
        </w:tc>
        <w:tc>
          <w:tcPr>
            <w:tcW w:type="dxa" w:w="2132"/>
          </w:tcPr>
          <w:p>
            <w:pPr>
              <w:spacing w:after="60" w:before="40"/>
            </w:pPr>
            <w:r>
              <w:rPr>
                <w:sz w:val="17"/>
              </w:rPr>
              <w:t>1250</w:t>
            </w:r>
          </w:p>
        </w:tc>
        <w:tc>
          <w:tcPr>
            <w:tcW w:type="dxa" w:w="2132"/>
          </w:tcPr>
          <w:p>
            <w:pPr>
              <w:spacing w:after="60" w:before="40"/>
            </w:pPr>
            <w:r>
              <w:rPr>
                <w:sz w:val="17"/>
              </w:rPr>
              <w:t>1250</w:t>
            </w:r>
          </w:p>
        </w:tc>
      </w:tr>
      <w:tr>
        <w:tc>
          <w:tcPr>
            <w:tcW w:type="dxa" w:w="4040"/>
          </w:tcPr>
          <w:p>
            <w:pPr>
              <w:spacing w:after="60" w:before="40"/>
            </w:pPr>
            <w:r>
              <w:rPr>
                <w:sz w:val="17"/>
              </w:rPr>
              <w:t>Vitamin D</w:t>
            </w:r>
          </w:p>
        </w:tc>
        <w:tc>
          <w:tcPr>
            <w:tcW w:type="dxa" w:w="2394"/>
          </w:tcPr>
          <w:p>
            <w:pPr>
              <w:spacing w:after="60" w:before="40"/>
            </w:pPr>
            <w:r>
              <w:rPr>
                <w:sz w:val="17"/>
              </w:rPr>
              <w:t>IU</w:t>
            </w:r>
          </w:p>
        </w:tc>
        <w:tc>
          <w:tcPr>
            <w:tcW w:type="dxa" w:w="2132"/>
          </w:tcPr>
          <w:p>
            <w:pPr>
              <w:spacing w:after="60" w:before="40"/>
            </w:pPr>
            <w:r>
              <w:rPr>
                <w:sz w:val="17"/>
              </w:rPr>
              <w:t>159</w:t>
            </w:r>
          </w:p>
        </w:tc>
        <w:tc>
          <w:tcPr>
            <w:tcW w:type="dxa" w:w="2132"/>
          </w:tcPr>
          <w:p>
            <w:pPr>
              <w:spacing w:after="60" w:before="40"/>
            </w:pPr>
            <w:r>
              <w:rPr>
                <w:sz w:val="17"/>
              </w:rPr>
              <w:t>138</w:t>
            </w:r>
          </w:p>
        </w:tc>
        <w:tc>
          <w:tcPr>
            <w:tcW w:type="dxa" w:w="2132"/>
          </w:tcPr>
          <w:p>
            <w:pPr>
              <w:spacing w:after="60" w:before="40"/>
            </w:pPr>
            <w:r>
              <w:rPr>
                <w:sz w:val="17"/>
              </w:rPr>
              <w:t>138</w:t>
            </w:r>
          </w:p>
        </w:tc>
        <w:tc>
          <w:tcPr>
            <w:tcW w:type="dxa" w:w="2132"/>
          </w:tcPr>
          <w:p>
            <w:pPr>
              <w:spacing w:after="60" w:before="40"/>
            </w:pPr>
            <w:r>
              <w:rPr>
                <w:sz w:val="17"/>
              </w:rPr>
              <w:t>125</w:t>
            </w:r>
          </w:p>
        </w:tc>
      </w:tr>
      <w:tr>
        <w:tc>
          <w:tcPr>
            <w:tcW w:type="dxa" w:w="4040"/>
          </w:tcPr>
          <w:p>
            <w:pPr>
              <w:spacing w:after="60" w:before="40"/>
            </w:pPr>
            <w:r>
              <w:rPr>
                <w:sz w:val="17"/>
              </w:rPr>
              <w:t>Vitamin E</w:t>
            </w:r>
          </w:p>
        </w:tc>
        <w:tc>
          <w:tcPr>
            <w:tcW w:type="dxa" w:w="2394"/>
          </w:tcPr>
          <w:p>
            <w:pPr>
              <w:spacing w:after="60" w:before="40"/>
            </w:pPr>
            <w:r>
              <w:rPr>
                <w:sz w:val="17"/>
              </w:rPr>
              <w:t>IU</w:t>
            </w:r>
          </w:p>
        </w:tc>
        <w:tc>
          <w:tcPr>
            <w:tcW w:type="dxa" w:w="2132"/>
          </w:tcPr>
          <w:p>
            <w:pPr>
              <w:spacing w:after="60" w:before="40"/>
            </w:pPr>
            <w:r>
              <w:rPr>
                <w:sz w:val="17"/>
              </w:rPr>
              <w:t>10.40</w:t>
            </w:r>
          </w:p>
        </w:tc>
        <w:tc>
          <w:tcPr>
            <w:tcW w:type="dxa" w:w="2132"/>
          </w:tcPr>
          <w:p>
            <w:pPr>
              <w:spacing w:after="60" w:before="40"/>
            </w:pPr>
            <w:r>
              <w:rPr>
                <w:sz w:val="17"/>
              </w:rPr>
              <w:t>9.00</w:t>
            </w:r>
          </w:p>
        </w:tc>
        <w:tc>
          <w:tcPr>
            <w:tcW w:type="dxa" w:w="2132"/>
          </w:tcPr>
          <w:p>
            <w:pPr>
              <w:spacing w:after="60" w:before="40"/>
            </w:pPr>
            <w:r>
              <w:rPr>
                <w:sz w:val="17"/>
              </w:rPr>
              <w:t>12.50</w:t>
            </w:r>
          </w:p>
        </w:tc>
        <w:tc>
          <w:tcPr>
            <w:tcW w:type="dxa" w:w="2132"/>
          </w:tcPr>
          <w:p>
            <w:pPr>
              <w:spacing w:after="60" w:before="40"/>
            </w:pPr>
            <w:r>
              <w:rPr>
                <w:sz w:val="17"/>
              </w:rPr>
              <w:t>12.50</w:t>
            </w:r>
          </w:p>
        </w:tc>
      </w:tr>
      <w:tr>
        <w:tc>
          <w:tcPr>
            <w:tcW w:type="dxa" w:w="4040"/>
          </w:tcPr>
          <w:p>
            <w:pPr>
              <w:spacing w:after="60" w:before="40"/>
            </w:pPr>
            <w:r>
              <w:rPr>
                <w:sz w:val="17"/>
              </w:rPr>
              <w:t>Thiamine (B1)</w:t>
            </w:r>
          </w:p>
        </w:tc>
        <w:tc>
          <w:tcPr>
            <w:tcW w:type="dxa" w:w="2394"/>
          </w:tcPr>
          <w:p>
            <w:pPr>
              <w:spacing w:after="60" w:before="40"/>
            </w:pPr>
            <w:r>
              <w:rPr>
                <w:sz w:val="17"/>
              </w:rPr>
              <w:t>mg</w:t>
            </w:r>
          </w:p>
        </w:tc>
        <w:tc>
          <w:tcPr>
            <w:tcW w:type="dxa" w:w="2132"/>
          </w:tcPr>
          <w:p>
            <w:pPr>
              <w:spacing w:after="60" w:before="40"/>
            </w:pPr>
            <w:r>
              <w:rPr>
                <w:sz w:val="17"/>
              </w:rPr>
              <w:t>0.62</w:t>
            </w:r>
          </w:p>
        </w:tc>
        <w:tc>
          <w:tcPr>
            <w:tcW w:type="dxa" w:w="2132"/>
          </w:tcPr>
          <w:p>
            <w:pPr>
              <w:spacing w:after="60" w:before="40"/>
            </w:pPr>
            <w:r>
              <w:rPr>
                <w:sz w:val="17"/>
              </w:rPr>
              <w:t>0.54</w:t>
            </w:r>
          </w:p>
        </w:tc>
        <w:tc>
          <w:tcPr>
            <w:tcW w:type="dxa" w:w="2132"/>
          </w:tcPr>
          <w:p>
            <w:pPr>
              <w:spacing w:after="60" w:before="40"/>
            </w:pPr>
            <w:r>
              <w:rPr>
                <w:sz w:val="17"/>
              </w:rPr>
              <w:t>0.45</w:t>
            </w:r>
          </w:p>
        </w:tc>
        <w:tc>
          <w:tcPr>
            <w:tcW w:type="dxa" w:w="2132"/>
          </w:tcPr>
          <w:p>
            <w:pPr>
              <w:spacing w:after="60" w:before="40"/>
            </w:pPr>
            <w:r>
              <w:rPr>
                <w:sz w:val="17"/>
              </w:rPr>
              <w:t>0.45</w:t>
            </w:r>
          </w:p>
        </w:tc>
      </w:tr>
      <w:tr>
        <w:tc>
          <w:tcPr>
            <w:tcW w:type="dxa" w:w="4040"/>
          </w:tcPr>
          <w:p>
            <w:pPr>
              <w:spacing w:after="60" w:before="40"/>
            </w:pPr>
            <w:r>
              <w:rPr>
                <w:sz w:val="17"/>
              </w:rPr>
              <w:t>Riboflavin (B2)</w:t>
            </w:r>
          </w:p>
        </w:tc>
        <w:tc>
          <w:tcPr>
            <w:tcW w:type="dxa" w:w="2394"/>
          </w:tcPr>
          <w:p>
            <w:pPr>
              <w:spacing w:after="60" w:before="40"/>
            </w:pPr>
            <w:r>
              <w:rPr>
                <w:sz w:val="17"/>
              </w:rPr>
              <w:t>mg</w:t>
            </w:r>
          </w:p>
        </w:tc>
        <w:tc>
          <w:tcPr>
            <w:tcW w:type="dxa" w:w="2132"/>
          </w:tcPr>
          <w:p>
            <w:pPr>
              <w:spacing w:after="60" w:before="40"/>
            </w:pPr>
            <w:r>
              <w:rPr>
                <w:sz w:val="17"/>
              </w:rPr>
              <w:t>1.74</w:t>
            </w:r>
          </w:p>
        </w:tc>
        <w:tc>
          <w:tcPr>
            <w:tcW w:type="dxa" w:w="2132"/>
          </w:tcPr>
          <w:p>
            <w:pPr>
              <w:spacing w:after="60" w:before="40"/>
            </w:pPr>
            <w:r>
              <w:rPr>
                <w:sz w:val="17"/>
              </w:rPr>
              <w:t>1.50</w:t>
            </w:r>
          </w:p>
        </w:tc>
        <w:tc>
          <w:tcPr>
            <w:tcW w:type="dxa" w:w="2132"/>
          </w:tcPr>
          <w:p>
            <w:pPr>
              <w:spacing w:after="60" w:before="40"/>
            </w:pPr>
            <w:r>
              <w:rPr>
                <w:sz w:val="17"/>
              </w:rPr>
              <w:t>1.05</w:t>
            </w:r>
          </w:p>
        </w:tc>
        <w:tc>
          <w:tcPr>
            <w:tcW w:type="dxa" w:w="2132"/>
          </w:tcPr>
          <w:p>
            <w:pPr>
              <w:spacing w:after="60" w:before="40"/>
            </w:pPr>
            <w:r>
              <w:rPr>
                <w:sz w:val="17"/>
              </w:rPr>
              <w:t>1.05</w:t>
            </w:r>
          </w:p>
        </w:tc>
      </w:tr>
      <w:tr>
        <w:tc>
          <w:tcPr>
            <w:tcW w:type="dxa" w:w="4040"/>
          </w:tcPr>
          <w:p>
            <w:pPr>
              <w:spacing w:after="60" w:before="40"/>
            </w:pPr>
            <w:r>
              <w:rPr>
                <w:sz w:val="17"/>
              </w:rPr>
              <w:t>Pantothenic acid (B5)</w:t>
            </w:r>
          </w:p>
        </w:tc>
        <w:tc>
          <w:tcPr>
            <w:tcW w:type="dxa" w:w="2394"/>
          </w:tcPr>
          <w:p>
            <w:pPr>
              <w:spacing w:after="60" w:before="40"/>
            </w:pPr>
            <w:r>
              <w:rPr>
                <w:sz w:val="17"/>
              </w:rPr>
              <w:t>mg</w:t>
            </w:r>
          </w:p>
        </w:tc>
        <w:tc>
          <w:tcPr>
            <w:tcW w:type="dxa" w:w="2132"/>
          </w:tcPr>
          <w:p>
            <w:pPr>
              <w:spacing w:after="60" w:before="40"/>
            </w:pPr>
            <w:r>
              <w:rPr>
                <w:sz w:val="17"/>
              </w:rPr>
              <w:t>4.11</w:t>
            </w:r>
          </w:p>
        </w:tc>
        <w:tc>
          <w:tcPr>
            <w:tcW w:type="dxa" w:w="2132"/>
          </w:tcPr>
          <w:p>
            <w:pPr>
              <w:spacing w:after="60" w:before="40"/>
            </w:pPr>
            <w:r>
              <w:rPr>
                <w:sz w:val="17"/>
              </w:rPr>
              <w:t>3.55</w:t>
            </w:r>
          </w:p>
        </w:tc>
        <w:tc>
          <w:tcPr>
            <w:tcW w:type="dxa" w:w="2132"/>
          </w:tcPr>
          <w:p>
            <w:pPr>
              <w:spacing w:after="60" w:before="40"/>
            </w:pPr>
            <w:r>
              <w:rPr>
                <w:sz w:val="17"/>
              </w:rPr>
              <w:t>3.00</w:t>
            </w:r>
          </w:p>
        </w:tc>
        <w:tc>
          <w:tcPr>
            <w:tcW w:type="dxa" w:w="2132"/>
          </w:tcPr>
          <w:p>
            <w:pPr>
              <w:spacing w:after="60" w:before="40"/>
            </w:pPr>
            <w:r>
              <w:rPr>
                <w:sz w:val="17"/>
              </w:rPr>
              <w:t>3.00</w:t>
            </w:r>
          </w:p>
        </w:tc>
      </w:tr>
      <w:tr>
        <w:tc>
          <w:tcPr>
            <w:tcW w:type="dxa" w:w="4040"/>
          </w:tcPr>
          <w:p>
            <w:pPr>
              <w:spacing w:after="60" w:before="40"/>
            </w:pPr>
            <w:r>
              <w:rPr>
                <w:sz w:val="17"/>
              </w:rPr>
              <w:t>Pyridoxine (B6)</w:t>
            </w:r>
          </w:p>
        </w:tc>
        <w:tc>
          <w:tcPr>
            <w:tcW w:type="dxa" w:w="2394"/>
          </w:tcPr>
          <w:p>
            <w:pPr>
              <w:spacing w:after="60" w:before="40"/>
            </w:pPr>
            <w:r>
              <w:rPr>
                <w:sz w:val="17"/>
              </w:rPr>
              <w:t>mg</w:t>
            </w:r>
          </w:p>
        </w:tc>
        <w:tc>
          <w:tcPr>
            <w:tcW w:type="dxa" w:w="2132"/>
          </w:tcPr>
          <w:p>
            <w:pPr>
              <w:spacing w:after="60" w:before="40"/>
            </w:pPr>
            <w:r>
              <w:rPr>
                <w:sz w:val="17"/>
              </w:rPr>
              <w:t>0.42</w:t>
            </w:r>
          </w:p>
        </w:tc>
        <w:tc>
          <w:tcPr>
            <w:tcW w:type="dxa" w:w="2132"/>
          </w:tcPr>
          <w:p>
            <w:pPr>
              <w:spacing w:after="60" w:before="40"/>
            </w:pPr>
            <w:r>
              <w:rPr>
                <w:sz w:val="17"/>
              </w:rPr>
              <w:t>0.36</w:t>
            </w:r>
          </w:p>
        </w:tc>
        <w:tc>
          <w:tcPr>
            <w:tcW w:type="dxa" w:w="2132"/>
          </w:tcPr>
          <w:p>
            <w:pPr>
              <w:spacing w:after="60" w:before="40"/>
            </w:pPr>
            <w:r>
              <w:rPr>
                <w:sz w:val="17"/>
              </w:rPr>
              <w:t>0.30</w:t>
            </w:r>
          </w:p>
        </w:tc>
        <w:tc>
          <w:tcPr>
            <w:tcW w:type="dxa" w:w="2132"/>
          </w:tcPr>
          <w:p>
            <w:pPr>
              <w:spacing w:after="60" w:before="40"/>
            </w:pPr>
            <w:r>
              <w:rPr>
                <w:sz w:val="17"/>
              </w:rPr>
              <w:t>0.30</w:t>
            </w:r>
          </w:p>
        </w:tc>
      </w:tr>
      <w:tr>
        <w:tc>
          <w:tcPr>
            <w:tcW w:type="dxa" w:w="4040"/>
          </w:tcPr>
          <w:p>
            <w:pPr>
              <w:spacing w:after="60" w:before="40"/>
            </w:pPr>
            <w:r>
              <w:rPr>
                <w:sz w:val="17"/>
              </w:rPr>
              <w:t>Cobalamin (B12)</w:t>
            </w:r>
          </w:p>
        </w:tc>
        <w:tc>
          <w:tcPr>
            <w:tcW w:type="dxa" w:w="2394"/>
          </w:tcPr>
          <w:p>
            <w:pPr>
              <w:spacing w:after="60" w:before="40"/>
            </w:pPr>
            <w:r>
              <w:rPr>
                <w:sz w:val="17"/>
              </w:rPr>
              <w:t>µg</w:t>
            </w:r>
          </w:p>
        </w:tc>
        <w:tc>
          <w:tcPr>
            <w:tcW w:type="dxa" w:w="2132"/>
          </w:tcPr>
          <w:p>
            <w:pPr>
              <w:spacing w:after="60" w:before="40"/>
            </w:pPr>
            <w:r>
              <w:rPr>
                <w:sz w:val="17"/>
              </w:rPr>
              <w:t>9.68</w:t>
            </w:r>
          </w:p>
        </w:tc>
        <w:tc>
          <w:tcPr>
            <w:tcW w:type="dxa" w:w="2132"/>
          </w:tcPr>
          <w:p>
            <w:pPr>
              <w:spacing w:after="60" w:before="40"/>
            </w:pPr>
            <w:r>
              <w:rPr>
                <w:sz w:val="17"/>
              </w:rPr>
              <w:t>8.36</w:t>
            </w:r>
          </w:p>
        </w:tc>
        <w:tc>
          <w:tcPr>
            <w:tcW w:type="dxa" w:w="2132"/>
          </w:tcPr>
          <w:p>
            <w:pPr>
              <w:spacing w:after="60" w:before="40"/>
            </w:pPr>
            <w:r>
              <w:rPr>
                <w:sz w:val="17"/>
              </w:rPr>
              <w:t>7.00</w:t>
            </w:r>
          </w:p>
        </w:tc>
        <w:tc>
          <w:tcPr>
            <w:tcW w:type="dxa" w:w="2132"/>
          </w:tcPr>
          <w:p>
            <w:pPr>
              <w:spacing w:after="60" w:before="40"/>
            </w:pPr>
            <w:r>
              <w:rPr>
                <w:sz w:val="17"/>
              </w:rPr>
              <w:t>7.00</w:t>
            </w:r>
          </w:p>
        </w:tc>
      </w:tr>
      <w:tr>
        <w:tc>
          <w:tcPr>
            <w:tcW w:type="dxa" w:w="4040"/>
          </w:tcPr>
          <w:p>
            <w:pPr>
              <w:spacing w:after="60" w:before="40"/>
            </w:pPr>
            <w:r>
              <w:rPr>
                <w:sz w:val="17"/>
              </w:rPr>
              <w:t>Niacin (B3)</w:t>
            </w:r>
          </w:p>
        </w:tc>
        <w:tc>
          <w:tcPr>
            <w:tcW w:type="dxa" w:w="2394"/>
          </w:tcPr>
          <w:p>
            <w:pPr>
              <w:spacing w:after="60" w:before="40"/>
            </w:pPr>
            <w:r>
              <w:rPr>
                <w:sz w:val="17"/>
              </w:rPr>
              <w:t>mg</w:t>
            </w:r>
          </w:p>
        </w:tc>
        <w:tc>
          <w:tcPr>
            <w:tcW w:type="dxa" w:w="2132"/>
          </w:tcPr>
          <w:p>
            <w:pPr>
              <w:spacing w:after="60" w:before="40"/>
            </w:pPr>
            <w:r>
              <w:rPr>
                <w:sz w:val="17"/>
              </w:rPr>
              <w:t>4.74</w:t>
            </w:r>
          </w:p>
        </w:tc>
        <w:tc>
          <w:tcPr>
            <w:tcW w:type="dxa" w:w="2132"/>
          </w:tcPr>
          <w:p>
            <w:pPr>
              <w:spacing w:after="60" w:before="40"/>
            </w:pPr>
            <w:r>
              <w:rPr>
                <w:sz w:val="17"/>
              </w:rPr>
              <w:t>4.09</w:t>
            </w:r>
          </w:p>
        </w:tc>
        <w:tc>
          <w:tcPr>
            <w:tcW w:type="dxa" w:w="2132"/>
          </w:tcPr>
          <w:p>
            <w:pPr>
              <w:spacing w:after="60" w:before="40"/>
            </w:pPr>
            <w:r>
              <w:rPr>
                <w:sz w:val="17"/>
              </w:rPr>
              <w:t>3.40</w:t>
            </w:r>
          </w:p>
        </w:tc>
        <w:tc>
          <w:tcPr>
            <w:tcW w:type="dxa" w:w="2132"/>
          </w:tcPr>
          <w:p>
            <w:pPr>
              <w:spacing w:after="60" w:before="40"/>
            </w:pPr>
            <w:r>
              <w:rPr>
                <w:sz w:val="17"/>
              </w:rPr>
              <w:t>3.40</w:t>
            </w:r>
          </w:p>
        </w:tc>
      </w:tr>
      <w:tr>
        <w:tc>
          <w:tcPr>
            <w:tcW w:type="dxa" w:w="4040"/>
          </w:tcPr>
          <w:p>
            <w:pPr>
              <w:spacing w:after="60" w:before="40"/>
            </w:pPr>
            <w:r>
              <w:rPr>
                <w:sz w:val="17"/>
              </w:rPr>
              <w:t>Folate (B9)</w:t>
            </w:r>
          </w:p>
        </w:tc>
        <w:tc>
          <w:tcPr>
            <w:tcW w:type="dxa" w:w="2394"/>
          </w:tcPr>
          <w:p>
            <w:pPr>
              <w:spacing w:after="60" w:before="40"/>
            </w:pPr>
            <w:r>
              <w:rPr>
                <w:sz w:val="17"/>
              </w:rPr>
              <w:t>µg</w:t>
            </w:r>
          </w:p>
        </w:tc>
        <w:tc>
          <w:tcPr>
            <w:tcW w:type="dxa" w:w="2132"/>
          </w:tcPr>
          <w:p>
            <w:pPr>
              <w:spacing w:after="60" w:before="40"/>
            </w:pPr>
            <w:r>
              <w:rPr>
                <w:sz w:val="17"/>
              </w:rPr>
              <w:t>74.70</w:t>
            </w:r>
          </w:p>
        </w:tc>
        <w:tc>
          <w:tcPr>
            <w:tcW w:type="dxa" w:w="2132"/>
          </w:tcPr>
          <w:p>
            <w:pPr>
              <w:spacing w:after="60" w:before="40"/>
            </w:pPr>
            <w:r>
              <w:rPr>
                <w:sz w:val="17"/>
              </w:rPr>
              <w:t>64.50</w:t>
            </w:r>
          </w:p>
        </w:tc>
        <w:tc>
          <w:tcPr>
            <w:tcW w:type="dxa" w:w="2132"/>
          </w:tcPr>
          <w:p>
            <w:pPr>
              <w:spacing w:after="60" w:before="40"/>
            </w:pPr>
            <w:r>
              <w:rPr>
                <w:sz w:val="17"/>
              </w:rPr>
              <w:t>54.00</w:t>
            </w:r>
          </w:p>
        </w:tc>
        <w:tc>
          <w:tcPr>
            <w:tcW w:type="dxa" w:w="2132"/>
          </w:tcPr>
          <w:p>
            <w:pPr>
              <w:spacing w:after="60" w:before="40"/>
            </w:pPr>
            <w:r>
              <w:rPr>
                <w:sz w:val="17"/>
              </w:rPr>
              <w:t>54.00</w:t>
            </w:r>
          </w:p>
        </w:tc>
      </w:tr>
      <w:tr>
        <w:tc>
          <w:tcPr>
            <w:tcW w:type="dxa" w:w="4040"/>
          </w:tcPr>
          <w:p>
            <w:pPr>
              <w:spacing w:after="60" w:before="40"/>
            </w:pPr>
            <w:r>
              <w:rPr>
                <w:sz w:val="17"/>
              </w:rPr>
              <w:t>Biotin (B7)</w:t>
            </w:r>
          </w:p>
        </w:tc>
        <w:tc>
          <w:tcPr>
            <w:tcW w:type="dxa" w:w="2394"/>
          </w:tcPr>
          <w:p>
            <w:pPr>
              <w:spacing w:after="60" w:before="40"/>
            </w:pPr>
            <w:r>
              <w:rPr>
                <w:sz w:val="17"/>
              </w:rPr>
              <w:t>µg</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w:t>
            </w:r>
          </w:p>
        </w:tc>
      </w:tr>
      <w:tr>
        <w:tc>
          <w:tcPr>
            <w:tcW w:type="dxa" w:w="4040"/>
          </w:tcPr>
          <w:p>
            <w:pPr>
              <w:spacing w:after="60" w:before="40"/>
            </w:pPr>
            <w:r>
              <w:rPr>
                <w:sz w:val="17"/>
              </w:rPr>
              <w:t>Choline</w:t>
            </w:r>
          </w:p>
        </w:tc>
        <w:tc>
          <w:tcPr>
            <w:tcW w:type="dxa" w:w="2394"/>
          </w:tcPr>
          <w:p>
            <w:pPr>
              <w:spacing w:after="60" w:before="40"/>
            </w:pPr>
            <w:r>
              <w:rPr>
                <w:sz w:val="17"/>
              </w:rPr>
              <w:t>mg</w:t>
            </w:r>
          </w:p>
        </w:tc>
        <w:tc>
          <w:tcPr>
            <w:tcW w:type="dxa" w:w="2132"/>
          </w:tcPr>
          <w:p>
            <w:pPr>
              <w:spacing w:after="60" w:before="40"/>
            </w:pPr>
            <w:r>
              <w:rPr>
                <w:sz w:val="17"/>
              </w:rPr>
              <w:t>474</w:t>
            </w:r>
          </w:p>
        </w:tc>
        <w:tc>
          <w:tcPr>
            <w:tcW w:type="dxa" w:w="2132"/>
          </w:tcPr>
          <w:p>
            <w:pPr>
              <w:spacing w:after="60" w:before="40"/>
            </w:pPr>
            <w:r>
              <w:rPr>
                <w:sz w:val="17"/>
              </w:rPr>
              <w:t>409</w:t>
            </w:r>
          </w:p>
        </w:tc>
        <w:tc>
          <w:tcPr>
            <w:tcW w:type="dxa" w:w="2132"/>
          </w:tcPr>
          <w:p>
            <w:pPr>
              <w:spacing w:after="60" w:before="40"/>
            </w:pPr>
            <w:r>
              <w:rPr>
                <w:sz w:val="17"/>
              </w:rPr>
              <w:t>425</w:t>
            </w:r>
          </w:p>
        </w:tc>
        <w:tc>
          <w:tcPr>
            <w:tcW w:type="dxa" w:w="2132"/>
          </w:tcPr>
          <w:p>
            <w:pPr>
              <w:spacing w:after="60" w:before="40"/>
            </w:pPr>
            <w:r>
              <w:rPr>
                <w:sz w:val="17"/>
              </w:rPr>
              <w:t>425</w:t>
            </w:r>
          </w:p>
        </w:tc>
      </w:tr>
      <w:tr>
        <w:tc>
          <w:tcPr>
            <w:tcW w:type="dxa" w:w="4040"/>
          </w:tcPr>
          <w:p>
            <w:pPr>
              <w:spacing w:after="60" w:before="40"/>
            </w:pPr>
            <w:r>
              <w:rPr>
                <w:sz w:val="17"/>
              </w:rPr>
              <w:t>Vitamin K</w:t>
            </w:r>
          </w:p>
        </w:tc>
        <w:tc>
          <w:tcPr>
            <w:tcW w:type="dxa" w:w="2394"/>
          </w:tcPr>
          <w:p>
            <w:pPr>
              <w:spacing w:after="60" w:before="40"/>
            </w:pPr>
            <w:r>
              <w:rPr>
                <w:sz w:val="17"/>
              </w:rPr>
              <w:t>µg</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w:t>
            </w:r>
          </w:p>
        </w:tc>
        <w:tc>
          <w:tcPr>
            <w:tcW w:type="dxa" w:w="2132"/>
          </w:tcPr>
          <w:p>
            <w:pPr>
              <w:spacing w:after="60" w:before="40"/>
            </w:pPr>
            <w:r>
              <w:rPr>
                <w:sz w:val="17"/>
              </w:rPr>
              <w:t>—</w:t>
            </w:r>
          </w:p>
        </w:tc>
      </w:tr>
    </w:tbl>
    <w:p>
      <w:pPr>
        <w:spacing w:after="0"/>
      </w:pPr>
    </w:p>
    <w:p>
      <w:pPr>
        <w:sectPr>
          <w:pgSz w:w="16834" w:h="11909" w:orient="landscape"/>
          <w:pgMar w:top="936" w:right="936" w:bottom="936" w:left="936" w:header="432" w:footer="432" w:gutter="0"/>
          <w:cols w:space="720"/>
          <w:docGrid w:linePitch="360"/>
        </w:sectPr>
      </w:pPr>
    </w:p>
    <w:p>
      <w:r>
        <w:t xml:space="preserve">Source: </w:t>
      </w:r>
      <w:hyperlink r:id="rId18">
        <w:r>
          <w:rPr>
            <w:color w:val="165D67"/>
            <w:u w:val="single"/>
          </w:rPr>
          <w:t>FEDIAF September 2025, pp. 15–17, footnotes p. 21, canine substantiation pp. 22–27</w:t>
        </w:r>
      </w:hyperlink>
      <w:r>
        <w:t xml:space="preserve">. All ten essential amino acids are represented; paired methionine/cystine and phenylalanine/tyrosine checks are </w:t>
      </w:r>
      <w:r>
        <w:rPr>
          <w:b/>
        </w:rPr>
        <w:t>additional</w:t>
      </w:r>
      <w:r>
        <w:t xml:space="preserve"> to individual methionine and phenylalanine checks. Cystine and tyrosine cannot simply replace their precursors without those constraints.</w:t>
      </w:r>
    </w:p>
    <w:p>
      <w:r>
        <w:rPr>
          <w:rFonts w:ascii="Consolas" w:hAnsi="Consolas"/>
          <w:sz w:val="18"/>
        </w:rPr>
        <w:t>—</w:t>
      </w:r>
      <w:r>
        <w:t xml:space="preserve"> means </w:t>
      </w:r>
      <w:r>
        <w:rPr>
          <w:b/>
        </w:rPr>
        <w:t>no numerical recommendation established in this selected table</w:t>
      </w:r>
      <w:r>
        <w:t xml:space="preserve">. It does not mean zero intake, a missing food measurement, or no biological function. Vitamin K and biotin remain catalog nutrients with </w:t>
      </w:r>
      <w:r>
        <w:rPr>
          <w:rFonts w:ascii="Consolas" w:hAnsi="Consolas"/>
          <w:sz w:val="18"/>
        </w:rPr>
        <w:t>not_established</w:t>
      </w:r>
      <w:r>
        <w:t xml:space="preserve"> profile state. Taurine and carnitine have no general dog-profile minimum here; supplementary or cardiac treatment doses cannot be invented. Linoleic acid has an adult minimum; growth/reproduction also has ALA and long-chain fatty-acid recommendations. An adult omega-3 absence in the table is not a proof of no benefit or a permission for unlimited fish oil.</w:t>
      </w:r>
    </w:p>
    <w:p>
      <w:pPr>
        <w:pStyle w:val="Heading2"/>
      </w:pPr>
      <w:r>
        <w:t>8.3 Upper limits and conditional branches</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Nutritional maximum</w:t>
            </w:r>
          </w:p>
        </w:tc>
        <w:tc>
          <w:tcPr>
            <w:tcW w:type="dxa" w:w="3346"/>
            <w:shd w:fill="154F59"/>
          </w:tcPr>
          <w:p>
            <w:pPr>
              <w:spacing w:after="60" w:before="40"/>
            </w:pPr>
            <w:r>
              <w:rPr>
                <w:b/>
                <w:color w:val="FFFFFF"/>
                <w:sz w:val="19"/>
              </w:rPr>
              <w:t>Basis</w:t>
            </w:r>
          </w:p>
        </w:tc>
        <w:tc>
          <w:tcPr>
            <w:tcW w:type="dxa" w:w="3346"/>
            <w:shd w:fill="154F59"/>
          </w:tcPr>
          <w:p>
            <w:pPr>
              <w:spacing w:after="60" w:before="40"/>
            </w:pPr>
            <w:r>
              <w:rPr>
                <w:b/>
                <w:color w:val="FFFFFF"/>
                <w:sz w:val="19"/>
              </w:rPr>
              <w:t>Applicable context</w:t>
            </w:r>
          </w:p>
        </w:tc>
      </w:tr>
      <w:tr>
        <w:tc>
          <w:tcPr>
            <w:tcW w:type="dxa" w:w="3346"/>
          </w:tcPr>
          <w:p>
            <w:pPr>
              <w:spacing w:after="60" w:before="40"/>
            </w:pPr>
            <w:r>
              <w:rPr>
                <w:sz w:val="19"/>
              </w:rPr>
              <w:t>Calcium 6.25 g</w:t>
            </w:r>
          </w:p>
        </w:tc>
        <w:tc>
          <w:tcPr>
            <w:tcW w:type="dxa" w:w="3346"/>
          </w:tcPr>
          <w:p>
            <w:pPr>
              <w:spacing w:after="60" w:before="40"/>
            </w:pPr>
            <w:r>
              <w:rPr>
                <w:sz w:val="19"/>
              </w:rPr>
              <w:t>/1,000 kcal ME</w:t>
            </w:r>
          </w:p>
        </w:tc>
        <w:tc>
          <w:tcPr>
            <w:tcW w:type="dxa" w:w="3346"/>
          </w:tcPr>
          <w:p>
            <w:pPr>
              <w:spacing w:after="60" w:before="40"/>
            </w:pPr>
            <w:r>
              <w:rPr>
                <w:sz w:val="19"/>
              </w:rPr>
              <w:t>Adult</w:t>
            </w:r>
          </w:p>
        </w:tc>
      </w:tr>
      <w:tr>
        <w:tc>
          <w:tcPr>
            <w:tcW w:type="dxa" w:w="3346"/>
          </w:tcPr>
          <w:p>
            <w:pPr>
              <w:spacing w:after="60" w:before="40"/>
            </w:pPr>
            <w:r>
              <w:rPr>
                <w:sz w:val="19"/>
              </w:rPr>
              <w:t>Calcium 4.00 g</w:t>
            </w:r>
          </w:p>
        </w:tc>
        <w:tc>
          <w:tcPr>
            <w:tcW w:type="dxa" w:w="3346"/>
          </w:tcPr>
          <w:p>
            <w:pPr>
              <w:spacing w:after="60" w:before="40"/>
            </w:pPr>
            <w:r>
              <w:rPr>
                <w:sz w:val="19"/>
              </w:rPr>
              <w:t>/1,000 kcal ME</w:t>
            </w:r>
          </w:p>
        </w:tc>
        <w:tc>
          <w:tcPr>
            <w:tcW w:type="dxa" w:w="3346"/>
          </w:tcPr>
          <w:p>
            <w:pPr>
              <w:spacing w:after="60" w:before="40"/>
            </w:pPr>
            <w:r>
              <w:rPr>
                <w:sz w:val="19"/>
              </w:rPr>
              <w:t>Early growth; interpret reproduction use with reviewed profile footnotes</w:t>
            </w:r>
          </w:p>
        </w:tc>
      </w:tr>
      <w:tr>
        <w:tc>
          <w:tcPr>
            <w:tcW w:type="dxa" w:w="3346"/>
          </w:tcPr>
          <w:p>
            <w:pPr>
              <w:spacing w:after="60" w:before="40"/>
            </w:pPr>
            <w:r>
              <w:rPr>
                <w:sz w:val="19"/>
              </w:rPr>
              <w:t>Calcium 4.50 g</w:t>
            </w:r>
          </w:p>
        </w:tc>
        <w:tc>
          <w:tcPr>
            <w:tcW w:type="dxa" w:w="3346"/>
          </w:tcPr>
          <w:p>
            <w:pPr>
              <w:spacing w:after="60" w:before="40"/>
            </w:pPr>
            <w:r>
              <w:rPr>
                <w:sz w:val="19"/>
              </w:rPr>
              <w:t>/1,000 kcal ME</w:t>
            </w:r>
          </w:p>
        </w:tc>
        <w:tc>
          <w:tcPr>
            <w:tcW w:type="dxa" w:w="3346"/>
          </w:tcPr>
          <w:p>
            <w:pPr>
              <w:spacing w:after="60" w:before="40"/>
            </w:pPr>
            <w:r>
              <w:rPr>
                <w:sz w:val="19"/>
              </w:rPr>
              <w:t>Late growth; Great Dane exception requires stricter reviewed handling (4.00 g energy-table equivalent)</w:t>
            </w:r>
          </w:p>
        </w:tc>
      </w:tr>
      <w:tr>
        <w:tc>
          <w:tcPr>
            <w:tcW w:type="dxa" w:w="3346"/>
          </w:tcPr>
          <w:p>
            <w:pPr>
              <w:spacing w:after="60" w:before="40"/>
            </w:pPr>
            <w:r>
              <w:rPr>
                <w:sz w:val="19"/>
              </w:rPr>
              <w:t>Phosphorus 4.00 g</w:t>
            </w:r>
          </w:p>
        </w:tc>
        <w:tc>
          <w:tcPr>
            <w:tcW w:type="dxa" w:w="3346"/>
          </w:tcPr>
          <w:p>
            <w:pPr>
              <w:spacing w:after="60" w:before="40"/>
            </w:pPr>
            <w:r>
              <w:rPr>
                <w:sz w:val="19"/>
              </w:rPr>
              <w:t>/1,000 kcal ME</w:t>
            </w:r>
          </w:p>
        </w:tc>
        <w:tc>
          <w:tcPr>
            <w:tcW w:type="dxa" w:w="3346"/>
          </w:tcPr>
          <w:p>
            <w:pPr>
              <w:spacing w:after="60" w:before="40"/>
            </w:pPr>
            <w:r>
              <w:rPr>
                <w:sz w:val="19"/>
              </w:rPr>
              <w:t>Adult; do not extrapolate adult maximum into an unlisted growth limit</w:t>
            </w:r>
          </w:p>
        </w:tc>
      </w:tr>
      <w:tr>
        <w:tc>
          <w:tcPr>
            <w:tcW w:type="dxa" w:w="3346"/>
          </w:tcPr>
          <w:p>
            <w:pPr>
              <w:spacing w:after="60" w:before="40"/>
            </w:pPr>
            <w:r>
              <w:rPr>
                <w:sz w:val="19"/>
              </w:rPr>
              <w:t>Ca:P ≤2.0</w:t>
            </w:r>
          </w:p>
        </w:tc>
        <w:tc>
          <w:tcPr>
            <w:tcW w:type="dxa" w:w="3346"/>
          </w:tcPr>
          <w:p>
            <w:pPr>
              <w:spacing w:after="60" w:before="40"/>
            </w:pPr>
            <w:r>
              <w:rPr>
                <w:sz w:val="19"/>
              </w:rPr>
              <w:t>Same-basis mass ratio</w:t>
            </w:r>
          </w:p>
        </w:tc>
        <w:tc>
          <w:tcPr>
            <w:tcW w:type="dxa" w:w="3346"/>
          </w:tcPr>
          <w:p>
            <w:pPr>
              <w:spacing w:after="60" w:before="40"/>
            </w:pPr>
            <w:r>
              <w:rPr>
                <w:sz w:val="19"/>
              </w:rPr>
              <w:t>Adult</w:t>
            </w:r>
          </w:p>
        </w:tc>
      </w:tr>
      <w:tr>
        <w:tc>
          <w:tcPr>
            <w:tcW w:type="dxa" w:w="3346"/>
          </w:tcPr>
          <w:p>
            <w:pPr>
              <w:spacing w:after="60" w:before="40"/>
            </w:pPr>
            <w:r>
              <w:rPr>
                <w:sz w:val="19"/>
              </w:rPr>
              <w:t>Ca:P ≤1.6</w:t>
            </w:r>
          </w:p>
        </w:tc>
        <w:tc>
          <w:tcPr>
            <w:tcW w:type="dxa" w:w="3346"/>
          </w:tcPr>
          <w:p>
            <w:pPr>
              <w:spacing w:after="60" w:before="40"/>
            </w:pPr>
            <w:r>
              <w:rPr>
                <w:sz w:val="19"/>
              </w:rPr>
              <w:t>Same-basis mass ratio</w:t>
            </w:r>
          </w:p>
        </w:tc>
        <w:tc>
          <w:tcPr>
            <w:tcW w:type="dxa" w:w="3346"/>
          </w:tcPr>
          <w:p>
            <w:pPr>
              <w:spacing w:after="60" w:before="40"/>
            </w:pPr>
            <w:r>
              <w:rPr>
                <w:sz w:val="19"/>
              </w:rPr>
              <w:t>Early growth/reproduction</w:t>
            </w:r>
          </w:p>
        </w:tc>
      </w:tr>
      <w:tr>
        <w:tc>
          <w:tcPr>
            <w:tcW w:type="dxa" w:w="3346"/>
          </w:tcPr>
          <w:p>
            <w:pPr>
              <w:spacing w:after="60" w:before="40"/>
            </w:pPr>
            <w:r>
              <w:rPr>
                <w:sz w:val="19"/>
              </w:rPr>
              <w:t>Ca:P ≤1.8(a)/1.6(b)</w:t>
            </w:r>
          </w:p>
        </w:tc>
        <w:tc>
          <w:tcPr>
            <w:tcW w:type="dxa" w:w="3346"/>
          </w:tcPr>
          <w:p>
            <w:pPr>
              <w:spacing w:after="60" w:before="40"/>
            </w:pPr>
            <w:r>
              <w:rPr>
                <w:sz w:val="19"/>
              </w:rPr>
              <w:t>Same-basis mass ratio</w:t>
            </w:r>
          </w:p>
        </w:tc>
        <w:tc>
          <w:tcPr>
            <w:tcW w:type="dxa" w:w="3346"/>
          </w:tcPr>
          <w:p>
            <w:pPr>
              <w:spacing w:after="60" w:before="40"/>
            </w:pPr>
            <w:r>
              <w:rPr>
                <w:sz w:val="19"/>
              </w:rPr>
              <w:t>Late growth branch</w:t>
            </w:r>
          </w:p>
        </w:tc>
      </w:tr>
      <w:tr>
        <w:tc>
          <w:tcPr>
            <w:tcW w:type="dxa" w:w="3346"/>
          </w:tcPr>
          <w:p>
            <w:pPr>
              <w:spacing w:after="60" w:before="40"/>
            </w:pPr>
            <w:r>
              <w:rPr>
                <w:sz w:val="19"/>
              </w:rPr>
              <w:t>Lysine 7.00 g</w:t>
            </w:r>
          </w:p>
        </w:tc>
        <w:tc>
          <w:tcPr>
            <w:tcW w:type="dxa" w:w="3346"/>
          </w:tcPr>
          <w:p>
            <w:pPr>
              <w:spacing w:after="60" w:before="40"/>
            </w:pPr>
            <w:r>
              <w:rPr>
                <w:sz w:val="19"/>
              </w:rPr>
              <w:t>/1,000 kcal ME</w:t>
            </w:r>
          </w:p>
        </w:tc>
        <w:tc>
          <w:tcPr>
            <w:tcW w:type="dxa" w:w="3346"/>
          </w:tcPr>
          <w:p>
            <w:pPr>
              <w:spacing w:after="60" w:before="40"/>
            </w:pPr>
            <w:r>
              <w:rPr>
                <w:sz w:val="19"/>
              </w:rPr>
              <w:t>Growth</w:t>
            </w:r>
          </w:p>
        </w:tc>
      </w:tr>
      <w:tr>
        <w:tc>
          <w:tcPr>
            <w:tcW w:type="dxa" w:w="3346"/>
          </w:tcPr>
          <w:p>
            <w:pPr>
              <w:spacing w:after="60" w:before="40"/>
            </w:pPr>
            <w:r>
              <w:rPr>
                <w:sz w:val="19"/>
              </w:rPr>
              <w:t>Linoleic acid 16.25 g</w:t>
            </w:r>
          </w:p>
        </w:tc>
        <w:tc>
          <w:tcPr>
            <w:tcW w:type="dxa" w:w="3346"/>
          </w:tcPr>
          <w:p>
            <w:pPr>
              <w:spacing w:after="60" w:before="40"/>
            </w:pPr>
            <w:r>
              <w:rPr>
                <w:sz w:val="19"/>
              </w:rPr>
              <w:t>/1,000 kcal ME</w:t>
            </w:r>
          </w:p>
        </w:tc>
        <w:tc>
          <w:tcPr>
            <w:tcW w:type="dxa" w:w="3346"/>
          </w:tcPr>
          <w:p>
            <w:pPr>
              <w:spacing w:after="60" w:before="40"/>
            </w:pPr>
            <w:r>
              <w:rPr>
                <w:sz w:val="19"/>
              </w:rPr>
              <w:t>Early growth</w:t>
            </w:r>
          </w:p>
        </w:tc>
      </w:tr>
      <w:tr>
        <w:tc>
          <w:tcPr>
            <w:tcW w:type="dxa" w:w="3346"/>
          </w:tcPr>
          <w:p>
            <w:pPr>
              <w:spacing w:after="60" w:before="40"/>
            </w:pPr>
            <w:r>
              <w:rPr>
                <w:sz w:val="19"/>
              </w:rPr>
              <w:t>Vitamin A 100,000 IU</w:t>
            </w:r>
          </w:p>
        </w:tc>
        <w:tc>
          <w:tcPr>
            <w:tcW w:type="dxa" w:w="3346"/>
          </w:tcPr>
          <w:p>
            <w:pPr>
              <w:spacing w:after="60" w:before="40"/>
            </w:pPr>
            <w:r>
              <w:rPr>
                <w:sz w:val="19"/>
              </w:rPr>
              <w:t>/1,000 kcal ME</w:t>
            </w:r>
          </w:p>
        </w:tc>
        <w:tc>
          <w:tcPr>
            <w:tcW w:type="dxa" w:w="3346"/>
          </w:tcPr>
          <w:p>
            <w:pPr>
              <w:spacing w:after="60" w:before="40"/>
            </w:pPr>
            <w:r>
              <w:rPr>
                <w:sz w:val="19"/>
              </w:rPr>
              <w:t>Canine table nutritional maximum</w:t>
            </w:r>
          </w:p>
        </w:tc>
      </w:tr>
      <w:tr>
        <w:tc>
          <w:tcPr>
            <w:tcW w:type="dxa" w:w="3346"/>
          </w:tcPr>
          <w:p>
            <w:pPr>
              <w:spacing w:after="60" w:before="40"/>
            </w:pPr>
            <w:r>
              <w:rPr>
                <w:sz w:val="19"/>
              </w:rPr>
              <w:t>Vitamin D 800 IU</w:t>
            </w:r>
          </w:p>
        </w:tc>
        <w:tc>
          <w:tcPr>
            <w:tcW w:type="dxa" w:w="3346"/>
          </w:tcPr>
          <w:p>
            <w:pPr>
              <w:spacing w:after="60" w:before="40"/>
            </w:pPr>
            <w:r>
              <w:rPr>
                <w:sz w:val="19"/>
              </w:rPr>
              <w:t>/1,000 kcal ME</w:t>
            </w:r>
          </w:p>
        </w:tc>
        <w:tc>
          <w:tcPr>
            <w:tcW w:type="dxa" w:w="3346"/>
          </w:tcPr>
          <w:p>
            <w:pPr>
              <w:spacing w:after="60" w:before="40"/>
            </w:pPr>
            <w:r>
              <w:rPr>
                <w:sz w:val="19"/>
              </w:rPr>
              <w:t>Canine table nutritional maximum; legal constraint remains separate</w:t>
            </w:r>
          </w:p>
        </w:tc>
      </w:tr>
    </w:tbl>
    <w:p>
      <w:pPr>
        <w:spacing w:after="0"/>
      </w:pPr>
    </w:p>
    <w:p>
      <w:r>
        <w:t xml:space="preserve">Branch </w:t>
      </w:r>
      <w:r>
        <w:rPr>
          <w:b/>
        </w:rPr>
        <w:t>(a)</w:t>
      </w:r>
      <w:r>
        <w:t xml:space="preserve">: expected adult mass ≤15 kg throughout late growth. Branch </w:t>
      </w:r>
      <w:r>
        <w:rPr>
          <w:b/>
        </w:rPr>
        <w:t>(b)</w:t>
      </w:r>
      <w:r>
        <w:t>: &gt;15 kg until approximately six months; after that, minimum calcium 2.00 g/1,000 kcal and Ca:P maximum 1.8 may apply. Because “about six months” is not an exact biological birthday, the proposed conservative policy retains branch (b) until a reviewed transition is recorded. Missing expected adult mass blocks a growth-profile decision.</w:t>
      </w:r>
    </w:p>
    <w:p>
      <w:r>
        <w:t xml:space="preserve">FEDIAF also identifies these </w:t>
      </w:r>
      <w:r>
        <w:rPr>
          <w:b/>
        </w:rPr>
        <w:t>EU legal maxima on a dry-matter basis</w:t>
      </w:r>
      <w:r>
        <w:t xml:space="preserve">, not universal clinical safe doses: copper 2.80 mg/100 g DM; iodine 1.10 mg/100 g DM; iron 68.18 mg/100 g DM; manganese 17.00 mg/100 g DM; selenium 56.80 µg/100 g DM; zinc 22.70 mg/100 g DM; vitamin D 227 IU/100 g DM. Organic selenium supplementation has a separate 22.73 µg/100 g DM constraint. Preserve jurisdiction, chemical form, total versus added amount, and original basis; Philippine regulatory applicability needs local verification. Nutrients without a table maximum must be </w:t>
      </w:r>
      <w:r>
        <w:rPr>
          <w:rFonts w:ascii="Consolas" w:hAnsi="Consolas"/>
          <w:sz w:val="18"/>
        </w:rPr>
        <w:t>not_established</w:t>
      </w:r>
      <w:r>
        <w:t xml:space="preserve">, not infinity or proven safe. Sodium/chloride substantiation values are not universal toxic-dose cutoffs. </w:t>
      </w:r>
      <w:hyperlink r:id="rId18">
        <w:r>
          <w:rPr>
            <w:color w:val="165D67"/>
            <w:u w:val="single"/>
          </w:rPr>
          <w:t>FEDIAF tables/footnotes</w:t>
        </w:r>
      </w:hyperlink>
      <w:r>
        <w:t>.</w:t>
      </w:r>
    </w:p>
    <w:p>
      <w:pPr>
        <w:pStyle w:val="Heading2"/>
      </w:pPr>
      <w:r>
        <w:t>8.4 Daily quantities, functions and bioavailability</w:t>
      </w:r>
    </w:p>
    <w:p>
      <w:r>
        <w:t xml:space="preserve">Convert a profile concentration </w:t>
      </w:r>
      <w:r>
        <w:rPr>
          <w:rFonts w:ascii="Consolas" w:hAnsi="Consolas"/>
          <w:sz w:val="18"/>
        </w:rPr>
        <w:t>q</w:t>
      </w:r>
      <w:r>
        <w:t xml:space="preserve"> to a comparison amount </w:t>
      </w:r>
      <w:r>
        <w:rPr>
          <w:rFonts w:ascii="Consolas" w:hAnsi="Consolas"/>
          <w:sz w:val="18"/>
        </w:rPr>
        <w:t>q×E/1000</w:t>
      </w:r>
      <w:r>
        <w:t xml:space="preserve">. For the 629.822284 kcal adult example, A110 protein is </w:t>
      </w:r>
      <w:r>
        <w:rPr>
          <w:b/>
        </w:rPr>
        <w:t xml:space="preserve"> 28.342003 g/day</w:t>
      </w:r>
      <w:r>
        <w:t xml:space="preserve"> and fat </w:t>
      </w:r>
      <w:r>
        <w:rPr>
          <w:b/>
        </w:rPr>
        <w:t xml:space="preserve"> 8.660056 g/day</w:t>
      </w:r>
      <w:r>
        <w:t xml:space="preserve">. These are profile-derived comparison amounts, not a recommendation to feed only those ingredients. Calculated </w:t>
      </w:r>
      <w:r>
        <w:rPr>
          <w:rFonts w:ascii="Consolas" w:hAnsi="Consolas"/>
          <w:sz w:val="18"/>
        </w:rPr>
        <w:t>E/W^0.75</w:t>
      </w:r>
      <w:r>
        <w:t xml:space="preserve"> is 112 kcal/kg^0.75 in that example; the proposed lower intake default </w:t>
      </w:r>
      <w:r>
        <w:rPr>
          <w:rFonts w:ascii="Consolas" w:hAnsi="Consolas"/>
          <w:sz w:val="18"/>
        </w:rPr>
        <w:t>1.4×RER</w:t>
      </w:r>
      <w:r>
        <w:t xml:space="preserve"> yields 98 and uses A95 conservatively. Below 95 requires nutrient-density review; do not extrapolate. The exact adult-profile mapping must be reviewer-approved and versioned.</w:t>
      </w:r>
    </w:p>
    <w:p>
      <w:r>
        <w:t xml:space="preserve">Calcium/phosphorus support skeletal functions; sodium/potassium/chloride electrolyte physiology; magnesium enzymatic functions; iron oxygen transport; copper/iodine/zinc/manganese/selenium distinct enzyme, endocrine and tissue functions. Vitamins A/D/E/K support vision/tissues, calcium regulation, antioxidative functions and coagulation; B vitamins/choline support metabolism and other cellular functions. Deficiency and excess differ by nutrient, chemical form, diet and patient. This is why the validator checks every applicable row rather than a single “vitamin total.” </w:t>
      </w:r>
      <w:hyperlink r:id="rId39">
        <w:r>
          <w:rPr>
            <w:color w:val="165D67"/>
            <w:u w:val="single"/>
          </w:rPr>
          <w:t>NRC canine nutrient overview</w:t>
        </w:r>
      </w:hyperlink>
      <w:r>
        <w:t>.</w:t>
      </w:r>
    </w:p>
    <w:p>
      <w:r>
        <w:t>No ingredient's total analytical content proves absorbed availability. Store digestibility, chemical form and retention evidence where known; phytate/fiber, mineral interactions and processing matter. A recipe barely passing numerical minima with uncertain availability cannot receive approval. Do not count an unsuitable mineral form as an adequate available source solely because its elemental total is high. Veterinary formulation review and diet-quality evidence remain required.</w:t>
      </w:r>
    </w:p>
    <w:p>
      <w:pPr>
        <w:pStyle w:val="Heading2"/>
      </w:pPr>
      <w:r>
        <w:t>8.5 Substantiation rules beyond table cells</w:t>
      </w:r>
    </w:p>
    <w:p>
      <w:r>
        <w:t>The nutrient matrix is not the entire standard. Additional canine substantiation must be imported as conditions, not discarded as prose:</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Condition</w:t>
            </w:r>
          </w:p>
        </w:tc>
        <w:tc>
          <w:tcPr>
            <w:tcW w:type="dxa" w:w="7929"/>
            <w:shd w:fill="154F59"/>
          </w:tcPr>
          <w:p>
            <w:pPr>
              <w:spacing w:after="60" w:before="40"/>
            </w:pPr>
            <w:r>
              <w:rPr>
                <w:b/>
                <w:color w:val="FFFFFF"/>
                <w:sz w:val="19"/>
              </w:rPr>
              <w:t>Proposed validator behavior</w:t>
            </w:r>
          </w:p>
        </w:tc>
      </w:tr>
      <w:tr>
        <w:tc>
          <w:tcPr>
            <w:tcW w:type="dxa" w:w="2108"/>
          </w:tcPr>
          <w:p>
            <w:pPr>
              <w:spacing w:after="60" w:before="40"/>
            </w:pPr>
            <w:r>
              <w:rPr>
                <w:sz w:val="19"/>
              </w:rPr>
              <w:t>Protein above the selected table level</w:t>
            </w:r>
          </w:p>
        </w:tc>
        <w:tc>
          <w:tcPr>
            <w:tcW w:type="dxa" w:w="7929"/>
          </w:tcPr>
          <w:p>
            <w:pPr>
              <w:spacing w:after="60" w:before="40"/>
            </w:pPr>
            <w:r>
              <w:rPr>
                <w:sz w:val="19"/>
              </w:rPr>
              <w:t xml:space="preserve">Required arginine increases by </w:t>
            </w:r>
            <w:r>
              <w:rPr>
                <w:b/>
                <w:sz w:val="19"/>
              </w:rPr>
              <w:t xml:space="preserve"> 0.01 g for each gram of additional protein</w:t>
            </w:r>
            <w:r>
              <w:rPr>
                <w:sz w:val="19"/>
              </w:rPr>
              <w:t xml:space="preserve">, on the same basis. </w:t>
            </w:r>
            <w:r>
              <w:rPr>
                <w:rFonts w:ascii="Consolas" w:hAnsi="Consolas"/>
                <w:sz w:val="19"/>
              </w:rPr>
              <w:t>arginine_min = table_min +0.01×max(0, protein_g_per1000−table_protein_min)</w:t>
            </w:r>
            <w:r>
              <w:rPr>
                <w:sz w:val="19"/>
              </w:rPr>
              <w:t>. With A110 protein 67.567568, required arginine is 1.52567568 g/1000, rather than 1.30. Uncertain protein makes the required arginine range uncertain</w:t>
            </w:r>
          </w:p>
        </w:tc>
      </w:tr>
      <w:tr>
        <w:tc>
          <w:tcPr>
            <w:tcW w:type="dxa" w:w="2108"/>
          </w:tcPr>
          <w:p>
            <w:pPr>
              <w:spacing w:after="60" w:before="40"/>
            </w:pPr>
            <w:r>
              <w:rPr>
                <w:sz w:val="19"/>
              </w:rPr>
              <w:t>Very low/absent carbohydrate during reproduction</w:t>
            </w:r>
          </w:p>
        </w:tc>
        <w:tc>
          <w:tcPr>
            <w:tcW w:type="dxa" w:w="7929"/>
          </w:tcPr>
          <w:p>
            <w:pPr>
              <w:spacing w:after="60" w:before="40"/>
            </w:pPr>
            <w:r>
              <w:rPr>
                <w:sz w:val="19"/>
              </w:rPr>
              <w:t>The baseline protein recommendation assumes some carbohydrate; higher protein may be needed. No validated automatic low-carbohydrate threshold is established here; require qualified formulation rather than invent a doubling rule</w:t>
            </w:r>
          </w:p>
        </w:tc>
      </w:tr>
      <w:tr>
        <w:tc>
          <w:tcPr>
            <w:tcW w:type="dxa" w:w="2108"/>
          </w:tcPr>
          <w:p>
            <w:pPr>
              <w:spacing w:after="60" w:before="40"/>
            </w:pPr>
            <w:r>
              <w:rPr>
                <w:sz w:val="19"/>
              </w:rPr>
              <w:t>High PUFA/fish-oil intake</w:t>
            </w:r>
          </w:p>
        </w:tc>
        <w:tc>
          <w:tcPr>
            <w:tcW w:type="dxa" w:w="7929"/>
          </w:tcPr>
          <w:p>
            <w:pPr>
              <w:spacing w:after="60" w:before="40"/>
            </w:pPr>
            <w:r>
              <w:rPr>
                <w:sz w:val="19"/>
              </w:rPr>
              <w:t>Vitamin E requirement may increase; baseline table compliance is insufficient for unreviewed high-PUFA supplementation. Require reviewed nutrient interactions</w:t>
            </w:r>
          </w:p>
        </w:tc>
      </w:tr>
      <w:tr>
        <w:tc>
          <w:tcPr>
            <w:tcW w:type="dxa" w:w="2108"/>
          </w:tcPr>
          <w:p>
            <w:pPr>
              <w:spacing w:after="60" w:before="40"/>
            </w:pPr>
            <w:r>
              <w:rPr>
                <w:sz w:val="19"/>
              </w:rPr>
              <w:t>Anti-vitamin/antimicrobial compounds affecting biotin or vitamin K</w:t>
            </w:r>
          </w:p>
        </w:tc>
        <w:tc>
          <w:tcPr>
            <w:tcW w:type="dxa" w:w="7929"/>
          </w:tcPr>
          <w:p>
            <w:pPr>
              <w:spacing w:after="60" w:before="40"/>
            </w:pPr>
            <w:r>
              <w:rPr>
                <w:sz w:val="19"/>
              </w:rPr>
              <w:t>“Not established” table entries do not waive condition-specific evaluation; require clinical/formulation review</w:t>
            </w:r>
          </w:p>
        </w:tc>
      </w:tr>
      <w:tr>
        <w:tc>
          <w:tcPr>
            <w:tcW w:type="dxa" w:w="2108"/>
          </w:tcPr>
          <w:p>
            <w:pPr>
              <w:spacing w:after="60" w:before="40"/>
            </w:pPr>
            <w:r>
              <w:rPr>
                <w:sz w:val="19"/>
              </w:rPr>
              <w:t>Sulfur amino acids/taurine and some formulations</w:t>
            </w:r>
          </w:p>
        </w:tc>
        <w:tc>
          <w:tcPr>
            <w:tcW w:type="dxa" w:w="7929"/>
          </w:tcPr>
          <w:p>
            <w:pPr>
              <w:spacing w:after="60" w:before="40"/>
            </w:pPr>
            <w:r>
              <w:rPr>
                <w:sz w:val="19"/>
              </w:rPr>
              <w:t>Do not automatically lower methionine/combined sulfur-AA minima based on claimed taurine content; qualified formulation review is required</w:t>
            </w:r>
          </w:p>
        </w:tc>
      </w:tr>
      <w:tr>
        <w:tc>
          <w:tcPr>
            <w:tcW w:type="dxa" w:w="2108"/>
          </w:tcPr>
          <w:p>
            <w:pPr>
              <w:spacing w:after="60" w:before="40"/>
            </w:pPr>
            <w:r>
              <w:rPr>
                <w:sz w:val="19"/>
              </w:rPr>
              <w:t>Mineral source/availability and high fiber/phytate</w:t>
            </w:r>
          </w:p>
        </w:tc>
        <w:tc>
          <w:tcPr>
            <w:tcW w:type="dxa" w:w="7929"/>
          </w:tcPr>
          <w:p>
            <w:pPr>
              <w:spacing w:after="60" w:before="40"/>
            </w:pPr>
            <w:r>
              <w:rPr>
                <w:sz w:val="19"/>
              </w:rPr>
              <w:t>Evaluate elemental form and availability; copper oxide or poorly available mineral content cannot simply certify nutritional sufficiency</w:t>
            </w:r>
          </w:p>
        </w:tc>
      </w:tr>
    </w:tbl>
    <w:p>
      <w:pPr>
        <w:spacing w:after="0"/>
      </w:pPr>
    </w:p>
    <w:p>
      <w:r>
        <w:t xml:space="preserve">Source locators: </w:t>
      </w:r>
      <w:hyperlink r:id="rId18">
        <w:r>
          <w:rPr>
            <w:color w:val="165D67"/>
            <w:u w:val="single"/>
          </w:rPr>
          <w:t>FEDIAF canine substantiation, pp. 22–27</w:t>
        </w:r>
      </w:hyperlink>
      <w:r>
        <w:t>. Conditions that lack a safely codified rule remain explicit review gates. This prevents a solver from treating the table as unconditional permission for every ingredient combination.</w:t>
      </w:r>
    </w:p>
    <w:p>
      <w:bookmarkStart w:id="9" w:name="section_9"/>
      <w:pPr>
        <w:pStyle w:val="Heading1"/>
      </w:pPr>
      <w:r>
        <w:t>9. Nutritional Standards and Unit Conversions</w:t>
      </w:r>
      <w:bookmarkEnd w:id="9"/>
    </w:p>
    <w:p>
      <w:pPr>
        <w:pStyle w:val="Heading2"/>
      </w:pPr>
      <w:r>
        <w:t>9.1 Typed arithmetic</w:t>
      </w:r>
    </w:p>
    <w:p>
      <w:r>
        <w:t xml:space="preserve">Every value carries nutrient ID, unit, denominator, preparation state, evidence type and version. Internally use a canonical mass unit per nutrient (g for macros, mg or µg for appropriate micros), while retaining the source value. Never convert IU without nutrient-specific chemical-form equivalence. Missing moisture prevents a dry-matter conversion; missing ME prevents an energy-basis comparison. A confirmed measured zero is stored as zero; unknown is </w:t>
      </w:r>
      <w:r>
        <w:rPr>
          <w:rFonts w:ascii="Consolas" w:hAnsi="Consolas"/>
          <w:sz w:val="18"/>
        </w:rPr>
        <w:t>null</w:t>
      </w:r>
      <w:r>
        <w:t xml:space="preserve"> plus reason.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Conversion</w:t>
            </w:r>
          </w:p>
        </w:tc>
        <w:tc>
          <w:tcPr>
            <w:tcW w:type="dxa" w:w="7929"/>
            <w:shd w:fill="154F59"/>
          </w:tcPr>
          <w:p>
            <w:pPr>
              <w:spacing w:after="60" w:before="40"/>
            </w:pPr>
            <w:r>
              <w:rPr>
                <w:b/>
                <w:color w:val="FFFFFF"/>
                <w:sz w:val="19"/>
              </w:rPr>
              <w:t>Formula and independently checked example</w:t>
            </w:r>
          </w:p>
        </w:tc>
      </w:tr>
      <w:tr>
        <w:tc>
          <w:tcPr>
            <w:tcW w:type="dxa" w:w="2108"/>
          </w:tcPr>
          <w:p>
            <w:pPr>
              <w:spacing w:after="60" w:before="40"/>
            </w:pPr>
            <w:r>
              <w:rPr>
                <w:sz w:val="19"/>
              </w:rPr>
              <w:t>Dry-matter percentage</w:t>
            </w:r>
          </w:p>
        </w:tc>
        <w:tc>
          <w:tcPr>
            <w:tcW w:type="dxa" w:w="7929"/>
          </w:tcPr>
          <w:p>
            <w:pPr>
              <w:spacing w:after="60" w:before="40"/>
            </w:pPr>
            <w:r>
              <w:rPr>
                <w:rFonts w:ascii="Consolas" w:hAnsi="Consolas"/>
                <w:sz w:val="19"/>
              </w:rPr>
              <w:t>DM% =100−moisture%</w:t>
            </w:r>
            <w:r>
              <w:rPr>
                <w:sz w:val="19"/>
              </w:rPr>
              <w:t xml:space="preserve">; 10% moisture →90% DM; </w:t>
            </w:r>
            <w:r>
              <w:rPr>
                <w:rFonts w:ascii="Consolas" w:hAnsi="Consolas"/>
                <w:sz w:val="19"/>
              </w:rPr>
              <w:t>DMfraction=0.9</w:t>
            </w:r>
          </w:p>
        </w:tc>
      </w:tr>
      <w:tr>
        <w:tc>
          <w:tcPr>
            <w:tcW w:type="dxa" w:w="2108"/>
          </w:tcPr>
          <w:p>
            <w:pPr>
              <w:spacing w:after="60" w:before="40"/>
            </w:pPr>
            <w:r>
              <w:rPr>
                <w:sz w:val="19"/>
              </w:rPr>
              <w:t>AF percent →DM percent, percent-number convention</w:t>
            </w:r>
          </w:p>
        </w:tc>
        <w:tc>
          <w:tcPr>
            <w:tcW w:type="dxa" w:w="7929"/>
          </w:tcPr>
          <w:p>
            <w:pPr>
              <w:spacing w:after="60" w:before="40"/>
            </w:pPr>
            <w:r>
              <w:rPr>
                <w:rFonts w:ascii="Consolas" w:hAnsi="Consolas"/>
                <w:sz w:val="19"/>
              </w:rPr>
              <w:t>25/0.9=27.777778% DM</w:t>
            </w:r>
            <w:r>
              <w:rPr>
                <w:sz w:val="19"/>
              </w:rPr>
              <w:t xml:space="preserve">; </w:t>
            </w:r>
            <w:r>
              <w:rPr>
                <w:b/>
                <w:sz w:val="19"/>
              </w:rPr>
              <w:t>no additional ×100</w:t>
            </w:r>
          </w:p>
        </w:tc>
      </w:tr>
      <w:tr>
        <w:tc>
          <w:tcPr>
            <w:tcW w:type="dxa" w:w="2108"/>
          </w:tcPr>
          <w:p>
            <w:pPr>
              <w:spacing w:after="60" w:before="40"/>
            </w:pPr>
            <w:r>
              <w:rPr>
                <w:sz w:val="19"/>
              </w:rPr>
              <w:t>AF percent →DM percent, percent/percent convention</w:t>
            </w:r>
          </w:p>
        </w:tc>
        <w:tc>
          <w:tcPr>
            <w:tcW w:type="dxa" w:w="7929"/>
          </w:tcPr>
          <w:p>
            <w:pPr>
              <w:spacing w:after="60" w:before="40"/>
            </w:pPr>
            <w:r>
              <w:rPr>
                <w:rFonts w:ascii="Consolas" w:hAnsi="Consolas"/>
                <w:sz w:val="19"/>
              </w:rPr>
              <w:t>(25/90)×100=27.777778% DM</w:t>
            </w:r>
          </w:p>
        </w:tc>
      </w:tr>
      <w:tr>
        <w:tc>
          <w:tcPr>
            <w:tcW w:type="dxa" w:w="2108"/>
          </w:tcPr>
          <w:p>
            <w:pPr>
              <w:spacing w:after="60" w:before="40"/>
            </w:pPr>
            <w:r>
              <w:rPr>
                <w:sz w:val="19"/>
              </w:rPr>
              <w:t>Fraction convention</w:t>
            </w:r>
          </w:p>
        </w:tc>
        <w:tc>
          <w:tcPr>
            <w:tcW w:type="dxa" w:w="7929"/>
          </w:tcPr>
          <w:p>
            <w:pPr>
              <w:spacing w:after="60" w:before="40"/>
            </w:pPr>
            <w:r>
              <w:rPr>
                <w:rFonts w:ascii="Consolas" w:hAnsi="Consolas"/>
                <w:sz w:val="19"/>
              </w:rPr>
              <w:t>(0.25/0.90)×100=27.777778% DM</w:t>
            </w:r>
          </w:p>
        </w:tc>
      </w:tr>
      <w:tr>
        <w:tc>
          <w:tcPr>
            <w:tcW w:type="dxa" w:w="2108"/>
          </w:tcPr>
          <w:p>
            <w:pPr>
              <w:spacing w:after="60" w:before="40"/>
            </w:pPr>
            <w:r>
              <w:rPr>
                <w:sz w:val="19"/>
              </w:rPr>
              <w:t>Wet-food comparison</w:t>
            </w:r>
          </w:p>
        </w:tc>
        <w:tc>
          <w:tcPr>
            <w:tcW w:type="dxa" w:w="7929"/>
          </w:tcPr>
          <w:p>
            <w:pPr>
              <w:spacing w:after="60" w:before="40"/>
            </w:pPr>
            <w:r>
              <w:rPr>
                <w:sz w:val="19"/>
              </w:rPr>
              <w:t>10% AF protein and 75% moisture →</w:t>
            </w:r>
            <w:r>
              <w:rPr>
                <w:rFonts w:ascii="Consolas" w:hAnsi="Consolas"/>
                <w:sz w:val="19"/>
              </w:rPr>
              <w:t>10/0.25=40% DM</w:t>
            </w:r>
            <w:r>
              <w:rPr>
                <w:sz w:val="19"/>
              </w:rPr>
              <w:t>; higher DM% does not establish better food</w:t>
            </w:r>
          </w:p>
        </w:tc>
      </w:tr>
      <w:tr>
        <w:tc>
          <w:tcPr>
            <w:tcW w:type="dxa" w:w="2108"/>
          </w:tcPr>
          <w:p>
            <w:pPr>
              <w:spacing w:after="60" w:before="40"/>
            </w:pPr>
            <w:r>
              <w:rPr>
                <w:sz w:val="19"/>
              </w:rPr>
              <w:t>Percent →g/100 g</w:t>
            </w:r>
          </w:p>
        </w:tc>
        <w:tc>
          <w:tcPr>
            <w:tcW w:type="dxa" w:w="7929"/>
          </w:tcPr>
          <w:p>
            <w:pPr>
              <w:spacing w:after="60" w:before="40"/>
            </w:pPr>
            <w:r>
              <w:rPr>
                <w:sz w:val="19"/>
              </w:rPr>
              <w:t xml:space="preserve">25% AF =25 g/100 g AF; </w:t>
            </w:r>
            <w:r>
              <w:rPr>
                <w:rFonts w:ascii="Consolas" w:hAnsi="Consolas"/>
                <w:sz w:val="19"/>
              </w:rPr>
              <w:t>g/day=grams_food×25/100</w:t>
            </w:r>
          </w:p>
        </w:tc>
      </w:tr>
      <w:tr>
        <w:tc>
          <w:tcPr>
            <w:tcW w:type="dxa" w:w="2108"/>
          </w:tcPr>
          <w:p>
            <w:pPr>
              <w:spacing w:after="60" w:before="40"/>
            </w:pPr>
            <w:r>
              <w:rPr>
                <w:sz w:val="19"/>
              </w:rPr>
              <w:t>kcal/kg →kcal/g</w:t>
            </w:r>
          </w:p>
        </w:tc>
        <w:tc>
          <w:tcPr>
            <w:tcW w:type="dxa" w:w="7929"/>
          </w:tcPr>
          <w:p>
            <w:pPr>
              <w:spacing w:after="60" w:before="40"/>
            </w:pPr>
            <w:r>
              <w:rPr>
                <w:sz w:val="19"/>
              </w:rPr>
              <w:t>3700/1000=3.7 kcal/g</w:t>
            </w:r>
          </w:p>
        </w:tc>
      </w:tr>
      <w:tr>
        <w:tc>
          <w:tcPr>
            <w:tcW w:type="dxa" w:w="2108"/>
          </w:tcPr>
          <w:p>
            <w:pPr>
              <w:spacing w:after="60" w:before="40"/>
            </w:pPr>
            <w:r>
              <w:rPr>
                <w:sz w:val="19"/>
              </w:rPr>
              <w:t>Package label</w:t>
            </w:r>
          </w:p>
        </w:tc>
        <w:tc>
          <w:tcPr>
            <w:tcW w:type="dxa" w:w="7929"/>
          </w:tcPr>
          <w:p>
            <w:pPr>
              <w:spacing w:after="60" w:before="40"/>
            </w:pPr>
            <w:r>
              <w:rPr>
                <w:sz w:val="19"/>
              </w:rPr>
              <w:t>360 kcal per 400 g can →0.9 kcal/g; serving net mass must be known</w:t>
            </w:r>
          </w:p>
        </w:tc>
      </w:tr>
      <w:tr>
        <w:tc>
          <w:tcPr>
            <w:tcW w:type="dxa" w:w="2108"/>
          </w:tcPr>
          <w:p>
            <w:pPr>
              <w:spacing w:after="60" w:before="40"/>
            </w:pPr>
            <w:r>
              <w:rPr>
                <w:sz w:val="19"/>
              </w:rPr>
              <w:t>g/100 g AF →g/1,000 kcal</w:t>
            </w:r>
          </w:p>
        </w:tc>
        <w:tc>
          <w:tcPr>
            <w:tcW w:type="dxa" w:w="7929"/>
          </w:tcPr>
          <w:p>
            <w:pPr>
              <w:spacing w:after="60" w:before="40"/>
            </w:pPr>
            <w:r>
              <w:rPr>
                <w:rFonts w:ascii="Consolas" w:hAnsi="Consolas"/>
                <w:sz w:val="19"/>
              </w:rPr>
              <w:t>25/370×1000=67.567568 g/1000 kcal</w:t>
            </w:r>
            <w:r>
              <w:rPr>
                <w:sz w:val="19"/>
              </w:rPr>
              <w:t xml:space="preserve"> for food at 370 kcal/100 g</w:t>
            </w:r>
          </w:p>
        </w:tc>
      </w:tr>
      <w:tr>
        <w:tc>
          <w:tcPr>
            <w:tcW w:type="dxa" w:w="2108"/>
          </w:tcPr>
          <w:p>
            <w:pPr>
              <w:spacing w:after="60" w:before="40"/>
            </w:pPr>
            <w:r>
              <w:rPr>
                <w:sz w:val="19"/>
              </w:rPr>
              <w:t>mg/100 g →mg/day</w:t>
            </w:r>
          </w:p>
        </w:tc>
        <w:tc>
          <w:tcPr>
            <w:tcW w:type="dxa" w:w="7929"/>
          </w:tcPr>
          <w:p>
            <w:pPr>
              <w:spacing w:after="60" w:before="40"/>
            </w:pPr>
            <w:r>
              <w:rPr>
                <w:rFonts w:ascii="Consolas" w:hAnsi="Consolas"/>
                <w:sz w:val="19"/>
              </w:rPr>
              <w:t>8 mg/100g ×50g/100=4mg/day</w:t>
            </w:r>
          </w:p>
        </w:tc>
      </w:tr>
      <w:tr>
        <w:tc>
          <w:tcPr>
            <w:tcW w:type="dxa" w:w="2108"/>
          </w:tcPr>
          <w:p>
            <w:pPr>
              <w:spacing w:after="60" w:before="40"/>
            </w:pPr>
            <w:r>
              <w:rPr>
                <w:sz w:val="19"/>
              </w:rPr>
              <w:t>Profile →daily comparison</w:t>
            </w:r>
          </w:p>
        </w:tc>
        <w:tc>
          <w:tcPr>
            <w:tcW w:type="dxa" w:w="7929"/>
          </w:tcPr>
          <w:p>
            <w:pPr>
              <w:spacing w:after="60" w:before="40"/>
            </w:pPr>
            <w:r>
              <w:rPr>
                <w:rFonts w:ascii="Consolas" w:hAnsi="Consolas"/>
                <w:sz w:val="19"/>
              </w:rPr>
              <w:t>45 g/1000kcal ×629.822284kcal/1000=28.342003g/day</w:t>
            </w:r>
          </w:p>
        </w:tc>
      </w:tr>
      <w:tr>
        <w:tc>
          <w:tcPr>
            <w:tcW w:type="dxa" w:w="2108"/>
          </w:tcPr>
          <w:p>
            <w:pPr>
              <w:spacing w:after="60" w:before="40"/>
            </w:pPr>
            <w:r>
              <w:rPr>
                <w:sz w:val="19"/>
              </w:rPr>
              <w:t>Food →daily nutrient</w:t>
            </w:r>
          </w:p>
        </w:tc>
        <w:tc>
          <w:tcPr>
            <w:tcW w:type="dxa" w:w="7929"/>
          </w:tcPr>
          <w:p>
            <w:pPr>
              <w:spacing w:after="60" w:before="40"/>
            </w:pPr>
            <w:r>
              <w:rPr>
                <w:rFonts w:ascii="Consolas" w:hAnsi="Consolas"/>
                <w:sz w:val="19"/>
              </w:rPr>
              <w:t>170.222239g ×0.25=42.555560g protein/day</w:t>
            </w:r>
            <w:r>
              <w:rPr>
                <w:sz w:val="19"/>
              </w:rPr>
              <w:t xml:space="preserve"> if 25% is an exact analytical value; if guaranteed minimum, this is a lower-bound estimate</w:t>
            </w:r>
          </w:p>
        </w:tc>
      </w:tr>
      <w:tr>
        <w:tc>
          <w:tcPr>
            <w:tcW w:type="dxa" w:w="2108"/>
          </w:tcPr>
          <w:p>
            <w:pPr>
              <w:spacing w:after="60" w:before="40"/>
            </w:pPr>
            <w:r>
              <w:rPr>
                <w:sz w:val="19"/>
              </w:rPr>
              <w:t>mg↔µg</w:t>
            </w:r>
          </w:p>
        </w:tc>
        <w:tc>
          <w:tcPr>
            <w:tcW w:type="dxa" w:w="7929"/>
          </w:tcPr>
          <w:p>
            <w:pPr>
              <w:spacing w:after="60" w:before="40"/>
            </w:pPr>
            <w:r>
              <w:rPr>
                <w:sz w:val="19"/>
              </w:rPr>
              <w:t>1 mg=1000 µg; 0.1 mg selenium=100 µg</w:t>
            </w:r>
          </w:p>
        </w:tc>
      </w:tr>
      <w:tr>
        <w:tc>
          <w:tcPr>
            <w:tcW w:type="dxa" w:w="2108"/>
          </w:tcPr>
          <w:p>
            <w:pPr>
              <w:spacing w:after="60" w:before="40"/>
            </w:pPr>
            <w:r>
              <w:rPr>
                <w:sz w:val="19"/>
              </w:rPr>
              <w:t>kJ↔kcal</w:t>
            </w:r>
          </w:p>
        </w:tc>
        <w:tc>
          <w:tcPr>
            <w:tcW w:type="dxa" w:w="7929"/>
          </w:tcPr>
          <w:p>
            <w:pPr>
              <w:spacing w:after="60" w:before="40"/>
            </w:pPr>
            <w:r>
              <w:rPr>
                <w:sz w:val="19"/>
              </w:rPr>
              <w:t>1 kcal=4.184 kJ; 1 MJ≈239.005736 kcal</w:t>
            </w:r>
          </w:p>
        </w:tc>
      </w:tr>
      <w:tr>
        <w:tc>
          <w:tcPr>
            <w:tcW w:type="dxa" w:w="2108"/>
          </w:tcPr>
          <w:p>
            <w:pPr>
              <w:spacing w:after="60" w:before="40"/>
            </w:pPr>
            <w:r>
              <w:rPr>
                <w:sz w:val="19"/>
              </w:rPr>
              <w:t>Ca:P</w:t>
            </w:r>
          </w:p>
        </w:tc>
        <w:tc>
          <w:tcPr>
            <w:tcW w:type="dxa" w:w="7929"/>
          </w:tcPr>
          <w:p>
            <w:pPr>
              <w:spacing w:after="60" w:before="40"/>
            </w:pPr>
            <w:r>
              <w:rPr>
                <w:rFonts w:ascii="Consolas" w:hAnsi="Consolas"/>
                <w:sz w:val="19"/>
              </w:rPr>
              <w:t>total elemental Ca grams/total elemental P grams</w:t>
            </w:r>
            <w:r>
              <w:rPr>
                <w:sz w:val="19"/>
              </w:rPr>
              <w:t>; 1.5 g/1 g=1.5:1; P≤0 or unknown cannot yield a passing ratio</w:t>
            </w:r>
          </w:p>
        </w:tc>
      </w:tr>
      <w:tr>
        <w:tc>
          <w:tcPr>
            <w:tcW w:type="dxa" w:w="2108"/>
          </w:tcPr>
          <w:p>
            <w:pPr>
              <w:spacing w:after="60" w:before="40"/>
            </w:pPr>
            <w:r>
              <w:rPr>
                <w:sz w:val="19"/>
              </w:rPr>
              <w:t>DM legal limit →AF amount</w:t>
            </w:r>
          </w:p>
        </w:tc>
        <w:tc>
          <w:tcPr>
            <w:tcW w:type="dxa" w:w="7929"/>
          </w:tcPr>
          <w:p>
            <w:pPr>
              <w:spacing w:after="60" w:before="40"/>
            </w:pPr>
            <w:r>
              <w:rPr>
                <w:rFonts w:ascii="Consolas" w:hAnsi="Consolas"/>
                <w:sz w:val="19"/>
              </w:rPr>
              <w:t>limit_per100gDM ×food_grams×DMfraction/100</w:t>
            </w:r>
            <w:r>
              <w:rPr>
                <w:sz w:val="19"/>
              </w:rPr>
              <w:t>; use measured moisture, not assumed food dryness</w:t>
            </w:r>
          </w:p>
        </w:tc>
      </w:tr>
    </w:tbl>
    <w:p>
      <w:pPr>
        <w:spacing w:after="0"/>
      </w:pPr>
    </w:p>
    <w:p>
      <w:r>
        <w:t xml:space="preserve">These are algebra/unit identities, not new medical claims. Comparison concepts follow </w:t>
      </w:r>
      <w:hyperlink r:id="rId13">
        <w:r>
          <w:rPr>
            <w:color w:val="165D67"/>
            <w:u w:val="single"/>
          </w:rPr>
          <w:t>FDA dry-matter/adequacy guidance</w:t>
        </w:r>
      </w:hyperlink>
      <w:r>
        <w:t>. Keep separate source units even when transformed.</w:t>
      </w:r>
    </w:p>
    <w:p>
      <w:pPr>
        <w:pStyle w:val="Heading2"/>
      </w:pPr>
      <w:r>
        <w:t>9.2 Energy and evidence distinctions</w:t>
      </w:r>
    </w:p>
    <w:p>
      <w:r>
        <w:t xml:space="preserve">ME is energy available after relevant digestive/urinary losses, distinct from gross energy and human-food label energy. Prefer canine feeding-trial ME or a documented manufacturer's canine ME. If using a modified Atwater estimate, record method and analytical inputs: </w:t>
      </w:r>
      <w:r>
        <w:rPr>
          <w:rFonts w:ascii="Consolas" w:hAnsi="Consolas"/>
          <w:sz w:val="18"/>
        </w:rPr>
        <w:t>ME kcal/100g ≈3.5×protein_g +8.5×fat_g +3.5×NFE_g</w:t>
      </w:r>
      <w:r>
        <w:t xml:space="preserve">, with </w:t>
      </w:r>
      <w:r>
        <w:rPr>
          <w:rFonts w:ascii="Consolas" w:hAnsi="Consolas"/>
          <w:sz w:val="18"/>
        </w:rPr>
        <w:t>NFE%=100−protein−fat−moisture−ash−crude_fiber</w:t>
      </w:r>
      <w:r>
        <w:t xml:space="preserve">. This is an estimate with digestibility limitations, not a safe default when ash is missing or guaranteed minima/maxima are mixed. Do not replace manufacturer ME with that estimate just because labels differ. </w:t>
      </w:r>
      <w:hyperlink r:id="rId40">
        <w:r>
          <w:rPr>
            <w:color w:val="165D67"/>
            <w:u w:val="single"/>
          </w:rPr>
          <w:t>AAFCO calorie calculation</w:t>
        </w:r>
      </w:hyperlink>
      <w:r>
        <w:t>.</w:t>
      </w:r>
    </w:p>
    <w:p>
      <w:pPr>
        <w:pStyle w:val="Heading2"/>
      </w:pPr>
      <w:r>
        <w:t>9.3 Evidence-aware completeness checks</w:t>
      </w:r>
    </w:p>
    <w:p>
      <w:r>
        <w:rPr>
          <w:rFonts w:ascii="Consolas" w:hAnsi="Consolas"/>
          <w:sz w:val="18"/>
        </w:rPr>
        <w:t>minimum requirement</w:t>
      </w:r>
      <w:r>
        <w:t xml:space="preserve"> is a physiological research concept; </w:t>
      </w:r>
      <w:r>
        <w:rPr>
          <w:rFonts w:ascii="Consolas" w:hAnsi="Consolas"/>
          <w:sz w:val="18"/>
        </w:rPr>
        <w:t>recommended allowance</w:t>
      </w:r>
      <w:r>
        <w:t xml:space="preserve"> includes practical availability assumptions; a nutritional profile defines a formulation reference for a stated population; a nutritional maximum and a legal maximum have different purposes. “Complete and balanced” can be supported by an appropriate product's profile/feeding-test declaration. Vetify must distinguish </w:t>
      </w:r>
      <w:r>
        <w:rPr>
          <w:b/>
        </w:rPr>
        <w:t>label-supported suitability</w:t>
      </w:r>
      <w:r>
        <w:t xml:space="preserve"> from </w:t>
      </w:r>
      <w:r>
        <w:rPr>
          <w:b/>
        </w:rPr>
        <w:t>computationally assessed recipe</w:t>
      </w:r>
      <w:r>
        <w:t xml:space="preserve">. </w:t>
      </w:r>
      <w:hyperlink r:id="rId13">
        <w:r>
          <w:rPr>
            <w:color w:val="165D67"/>
            <w:u w:val="single"/>
          </w:rPr>
          <w:t>FDA complete/balanced evidence</w:t>
        </w:r>
      </w:hyperlink>
      <w:r>
        <w:t xml:space="preserve">, </w:t>
      </w:r>
      <w:hyperlink r:id="rId41">
        <w:r>
          <w:rPr>
            <w:color w:val="165D67"/>
            <w:u w:val="single"/>
          </w:rPr>
          <w:t>NRC foundational publication</w:t>
        </w:r>
      </w:hyperlink>
      <w:r>
        <w:t>.</w:t>
      </w:r>
    </w:p>
    <w:p>
      <w:r>
        <w:t xml:space="preserve">The engine propagates intervals: summed lower bounds check minima, summed upper bounds check maxima; a minimum-only guaranteed value cannot certify an upper limit. Missing amino-acid rows cannot be inferred from crude protein. Record </w:t>
      </w:r>
      <w:r>
        <w:rPr>
          <w:rFonts w:ascii="Consolas" w:hAnsi="Consolas"/>
          <w:sz w:val="18"/>
        </w:rPr>
        <w:t>PASS</w:t>
      </w:r>
      <w:r>
        <w:t xml:space="preserve">, </w:t>
      </w:r>
      <w:r>
        <w:rPr>
          <w:rFonts w:ascii="Consolas" w:hAnsi="Consolas"/>
          <w:sz w:val="18"/>
        </w:rPr>
        <w:t>FAIL</w:t>
      </w:r>
      <w:r>
        <w:t xml:space="preserve">, </w:t>
      </w:r>
      <w:r>
        <w:rPr>
          <w:rFonts w:ascii="Consolas" w:hAnsi="Consolas"/>
          <w:sz w:val="18"/>
        </w:rPr>
        <w:t>UNKNOWN</w:t>
      </w:r>
      <w:r>
        <w:t xml:space="preserve"> or </w:t>
      </w:r>
      <w:r>
        <w:rPr>
          <w:rFonts w:ascii="Consolas" w:hAnsi="Consolas"/>
          <w:sz w:val="18"/>
        </w:rPr>
        <w:t>NOT_APPLICABLE</w:t>
      </w:r>
      <w:r>
        <w:t xml:space="preserve"> per rule. A known failure makes the computed assessment </w:t>
      </w:r>
      <w:r>
        <w:rPr>
          <w:rFonts w:ascii="Consolas" w:hAnsi="Consolas"/>
          <w:sz w:val="18"/>
        </w:rPr>
        <w:t>FAIL</w:t>
      </w:r>
      <w:r>
        <w:t xml:space="preserve">; otherwise any required unknown makes it </w:t>
      </w:r>
      <w:r>
        <w:rPr>
          <w:rFonts w:ascii="Consolas" w:hAnsi="Consolas"/>
          <w:sz w:val="18"/>
        </w:rPr>
        <w:t>INDETERMINATE</w:t>
      </w:r>
      <w:r>
        <w:t>; only all applicable checks and qualified review can support a formulated-recipe approval. A label-supported commercial portion plan may proceed without reconstructing every nutrient, but must state that evidence path and cannot claim an independently verified nutrient analysis.</w:t>
      </w:r>
    </w:p>
    <w:p>
      <w:r>
        <w:t>Do not round before comparisons. Preserve decimal precision; round only owner portions, then evaluate the realizable rounded ration and report its small energy difference. Set tolerances solely for floating arithmetic, not to forgive nutrient deficits. Contradictory units, percentage totals above 100, nonfinite values, impossible moisture, mismatched raw/cooked states and contradictory source bounds are data errors, not zero-filled foods.</w:t>
      </w:r>
    </w:p>
    <w:p>
      <w:bookmarkStart w:id="10" w:name="section_10"/>
      <w:pPr>
        <w:pStyle w:val="Heading1"/>
      </w:pPr>
      <w:r>
        <w:t>10. Food Database Design</w:t>
      </w:r>
      <w:bookmarkEnd w:id="10"/>
    </w:p>
    <w:p>
      <w:pPr>
        <w:pStyle w:val="Heading2"/>
      </w:pPr>
      <w:r>
        <w:t>10.1 Food records and provenance</w:t>
      </w:r>
    </w:p>
    <w:p>
      <w:r>
        <w:t xml:space="preserve">Food category is not nutritional evidence. Represent </w:t>
      </w:r>
      <w:r>
        <w:rPr>
          <w:rFonts w:ascii="Consolas" w:hAnsi="Consolas"/>
          <w:sz w:val="18"/>
        </w:rPr>
        <w:t>ingredient</w:t>
      </w:r>
      <w:r>
        <w:t xml:space="preserve">, </w:t>
      </w:r>
      <w:r>
        <w:rPr>
          <w:rFonts w:ascii="Consolas" w:hAnsi="Consolas"/>
          <w:sz w:val="18"/>
        </w:rPr>
        <w:t>commercial_complete</w:t>
      </w:r>
      <w:r>
        <w:t xml:space="preserve">, </w:t>
      </w:r>
      <w:r>
        <w:rPr>
          <w:rFonts w:ascii="Consolas" w:hAnsi="Consolas"/>
          <w:sz w:val="18"/>
        </w:rPr>
        <w:t>commercial_complementary</w:t>
      </w:r>
      <w:r>
        <w:t xml:space="preserve">, </w:t>
      </w:r>
      <w:r>
        <w:rPr>
          <w:rFonts w:ascii="Consolas" w:hAnsi="Consolas"/>
          <w:sz w:val="18"/>
        </w:rPr>
        <w:t>treat</w:t>
      </w:r>
      <w:r>
        <w:t xml:space="preserve">, </w:t>
      </w:r>
      <w:r>
        <w:rPr>
          <w:rFonts w:ascii="Consolas" w:hAnsi="Consolas"/>
          <w:sz w:val="18"/>
        </w:rPr>
        <w:t>supplement</w:t>
      </w:r>
      <w:r>
        <w:t xml:space="preserve"> and </w:t>
      </w:r>
      <w:r>
        <w:rPr>
          <w:rFonts w:ascii="Consolas" w:hAnsi="Consolas"/>
          <w:sz w:val="18"/>
        </w:rPr>
        <w:t>reviewed_recipe</w:t>
      </w:r>
      <w:r>
        <w:t xml:space="preserve"> separately. A rice ingredient record cannot become a complete food by changing its category without adequacy evidence. Use immutable versions of every product, ingredient preparation and recipe; aliases identify foods but do not replace composition records.</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Record group</w:t>
            </w:r>
          </w:p>
        </w:tc>
        <w:tc>
          <w:tcPr>
            <w:tcW w:type="dxa" w:w="3346"/>
            <w:shd w:fill="154F59"/>
          </w:tcPr>
          <w:p>
            <w:pPr>
              <w:spacing w:after="60" w:before="40"/>
            </w:pPr>
            <w:r>
              <w:rPr>
                <w:b/>
                <w:color w:val="FFFFFF"/>
                <w:sz w:val="19"/>
              </w:rPr>
              <w:t>Required fields and validation</w:t>
            </w:r>
          </w:p>
        </w:tc>
        <w:tc>
          <w:tcPr>
            <w:tcW w:type="dxa" w:w="3346"/>
            <w:shd w:fill="154F59"/>
          </w:tcPr>
          <w:p>
            <w:pPr>
              <w:spacing w:after="60" w:before="40"/>
            </w:pPr>
            <w:r>
              <w:rPr>
                <w:b/>
                <w:color w:val="FFFFFF"/>
                <w:sz w:val="19"/>
              </w:rPr>
              <w:t>Use</w:t>
            </w:r>
          </w:p>
        </w:tc>
      </w:tr>
      <w:tr>
        <w:tc>
          <w:tcPr>
            <w:tcW w:type="dxa" w:w="3346"/>
          </w:tcPr>
          <w:p>
            <w:pPr>
              <w:spacing w:after="60" w:before="40"/>
            </w:pPr>
            <w:r>
              <w:rPr>
                <w:sz w:val="19"/>
              </w:rPr>
              <w:t>Identity</w:t>
            </w:r>
          </w:p>
        </w:tc>
        <w:tc>
          <w:tcPr>
            <w:tcW w:type="dxa" w:w="3346"/>
          </w:tcPr>
          <w:p>
            <w:pPr>
              <w:spacing w:after="60" w:before="40"/>
            </w:pPr>
            <w:r>
              <w:rPr>
                <w:sz w:val="19"/>
              </w:rPr>
              <w:t>Stable food ID; version; name; local/English aliases; brand/product/variant; barcode if available; category; dog applicability</w:t>
            </w:r>
          </w:p>
        </w:tc>
        <w:tc>
          <w:tcPr>
            <w:tcW w:type="dxa" w:w="3346"/>
          </w:tcPr>
          <w:p>
            <w:pPr>
              <w:spacing w:after="60" w:before="40"/>
            </w:pPr>
            <w:r>
              <w:rPr>
                <w:sz w:val="19"/>
              </w:rPr>
              <w:t>Exact product and preparation selection; no generic “chicken food” substitution</w:t>
            </w:r>
          </w:p>
        </w:tc>
      </w:tr>
      <w:tr>
        <w:tc>
          <w:tcPr>
            <w:tcW w:type="dxa" w:w="3346"/>
          </w:tcPr>
          <w:p>
            <w:pPr>
              <w:spacing w:after="60" w:before="40"/>
            </w:pPr>
            <w:r>
              <w:rPr>
                <w:sz w:val="19"/>
              </w:rPr>
              <w:t>Preparation</w:t>
            </w:r>
          </w:p>
        </w:tc>
        <w:tc>
          <w:tcPr>
            <w:tcW w:type="dxa" w:w="3346"/>
          </w:tcPr>
          <w:p>
            <w:pPr>
              <w:spacing w:after="60" w:before="40"/>
            </w:pPr>
            <w:r>
              <w:rPr>
                <w:sz w:val="19"/>
              </w:rPr>
              <w:t>Raw/cooked/dehydrated state; method; cut; skin/bone status; edible portion; added ingredients; batch method</w:t>
            </w:r>
          </w:p>
        </w:tc>
        <w:tc>
          <w:tcPr>
            <w:tcW w:type="dxa" w:w="3346"/>
          </w:tcPr>
          <w:p>
            <w:pPr>
              <w:spacing w:after="60" w:before="40"/>
            </w:pPr>
            <w:r>
              <w:rPr>
                <w:sz w:val="19"/>
              </w:rPr>
              <w:t>Distinguish cooked boneless chicken from raw chicken with bone or seasoned adobo</w:t>
            </w:r>
          </w:p>
        </w:tc>
      </w:tr>
      <w:tr>
        <w:tc>
          <w:tcPr>
            <w:tcW w:type="dxa" w:w="3346"/>
          </w:tcPr>
          <w:p>
            <w:pPr>
              <w:spacing w:after="60" w:before="40"/>
            </w:pPr>
            <w:r>
              <w:rPr>
                <w:sz w:val="19"/>
              </w:rPr>
              <w:t>Energy</w:t>
            </w:r>
          </w:p>
        </w:tc>
        <w:tc>
          <w:tcPr>
            <w:tcW w:type="dxa" w:w="3346"/>
          </w:tcPr>
          <w:p>
            <w:pPr>
              <w:spacing w:after="60" w:before="40"/>
            </w:pPr>
            <w:r>
              <w:rPr>
                <w:sz w:val="19"/>
              </w:rPr>
              <w:t xml:space="preserve">Value, </w:t>
            </w:r>
            <w:r>
              <w:rPr>
                <w:rFonts w:ascii="Consolas" w:hAnsi="Consolas"/>
                <w:sz w:val="19"/>
              </w:rPr>
              <w:t>kcal/g_AF</w:t>
            </w:r>
            <w:r>
              <w:rPr>
                <w:sz w:val="19"/>
              </w:rPr>
              <w:t xml:space="preserve"> canonical unit, original unit/basis; ME method; source; confidence</w:t>
            </w:r>
          </w:p>
        </w:tc>
        <w:tc>
          <w:tcPr>
            <w:tcW w:type="dxa" w:w="3346"/>
          </w:tcPr>
          <w:p>
            <w:pPr>
              <w:spacing w:after="60" w:before="40"/>
            </w:pPr>
            <w:r>
              <w:rPr>
                <w:sz w:val="19"/>
              </w:rPr>
              <w:t>Reject ≤0/nonfinite density; unverified human-food energy cannot masquerade as canine measured ME</w:t>
            </w:r>
          </w:p>
        </w:tc>
      </w:tr>
      <w:tr>
        <w:tc>
          <w:tcPr>
            <w:tcW w:type="dxa" w:w="3346"/>
          </w:tcPr>
          <w:p>
            <w:pPr>
              <w:spacing w:after="60" w:before="40"/>
            </w:pPr>
            <w:r>
              <w:rPr>
                <w:sz w:val="19"/>
              </w:rPr>
              <w:t>Composition</w:t>
            </w:r>
          </w:p>
        </w:tc>
        <w:tc>
          <w:tcPr>
            <w:tcW w:type="dxa" w:w="3346"/>
          </w:tcPr>
          <w:p>
            <w:pPr>
              <w:spacing w:after="60" w:before="40"/>
            </w:pPr>
            <w:r>
              <w:rPr>
                <w:sz w:val="19"/>
              </w:rPr>
              <w:t>Nutrient ID, value or null, unit, denominator, AF/DM/energy basis, exact/min/max/interval status, chemical form</w:t>
            </w:r>
          </w:p>
        </w:tc>
        <w:tc>
          <w:tcPr>
            <w:tcW w:type="dxa" w:w="3346"/>
          </w:tcPr>
          <w:p>
            <w:pPr>
              <w:spacing w:after="60" w:before="40"/>
            </w:pPr>
            <w:r>
              <w:rPr>
                <w:sz w:val="19"/>
              </w:rPr>
              <w:t>Macros, moisture/ash/fiber type, all applicable AA/FA/mineral/vitamin rows; missing explicit</w:t>
            </w:r>
          </w:p>
        </w:tc>
      </w:tr>
      <w:tr>
        <w:tc>
          <w:tcPr>
            <w:tcW w:type="dxa" w:w="3346"/>
          </w:tcPr>
          <w:p>
            <w:pPr>
              <w:spacing w:after="60" w:before="40"/>
            </w:pPr>
            <w:r>
              <w:rPr>
                <w:sz w:val="19"/>
              </w:rPr>
              <w:t>Yield/retention</w:t>
            </w:r>
          </w:p>
        </w:tc>
        <w:tc>
          <w:tcPr>
            <w:tcW w:type="dxa" w:w="3346"/>
          </w:tcPr>
          <w:p>
            <w:pPr>
              <w:spacing w:after="60" w:before="40"/>
            </w:pPr>
            <w:r>
              <w:rPr>
                <w:sz w:val="19"/>
              </w:rPr>
              <w:t xml:space="preserve">Edible fraction </w:t>
            </w:r>
            <w:r>
              <w:rPr>
                <w:rFonts w:ascii="Consolas" w:hAnsi="Consolas"/>
                <w:sz w:val="19"/>
              </w:rPr>
              <w:t>(0,1]</w:t>
            </w:r>
            <w:r>
              <w:rPr>
                <w:sz w:val="19"/>
              </w:rPr>
              <w:t>, raw edible mass, final cooked edible mass, yield factor, nutrient-specific retention source</w:t>
            </w:r>
          </w:p>
        </w:tc>
        <w:tc>
          <w:tcPr>
            <w:tcW w:type="dxa" w:w="3346"/>
          </w:tcPr>
          <w:p>
            <w:pPr>
              <w:spacing w:after="60" w:before="40"/>
            </w:pPr>
            <w:r>
              <w:rPr>
                <w:sz w:val="19"/>
              </w:rPr>
              <w:t>Purchase/raw/cooked conversions; no universal cooking-yield factor</w:t>
            </w:r>
          </w:p>
        </w:tc>
      </w:tr>
      <w:tr>
        <w:tc>
          <w:tcPr>
            <w:tcW w:type="dxa" w:w="3346"/>
          </w:tcPr>
          <w:p>
            <w:pPr>
              <w:spacing w:after="60" w:before="40"/>
            </w:pPr>
            <w:r>
              <w:rPr>
                <w:sz w:val="19"/>
              </w:rPr>
              <w:t>Serving</w:t>
            </w:r>
          </w:p>
        </w:tc>
        <w:tc>
          <w:tcPr>
            <w:tcW w:type="dxa" w:w="3346"/>
          </w:tcPr>
          <w:p>
            <w:pPr>
              <w:spacing w:after="60" w:before="40"/>
            </w:pPr>
            <w:r>
              <w:rPr>
                <w:sz w:val="19"/>
              </w:rPr>
              <w:t>Grams per can/pouch/cup/unit; measuring method; source/date</w:t>
            </w:r>
          </w:p>
        </w:tc>
        <w:tc>
          <w:tcPr>
            <w:tcW w:type="dxa" w:w="3346"/>
          </w:tcPr>
          <w:p>
            <w:pPr>
              <w:spacing w:after="60" w:before="40"/>
            </w:pPr>
            <w:r>
              <w:rPr>
                <w:sz w:val="19"/>
              </w:rPr>
              <w:t>Package conversion only with net grams; cups secondary to gram scale</w:t>
            </w:r>
          </w:p>
        </w:tc>
      </w:tr>
      <w:tr>
        <w:tc>
          <w:tcPr>
            <w:tcW w:type="dxa" w:w="3346"/>
          </w:tcPr>
          <w:p>
            <w:pPr>
              <w:spacing w:after="60" w:before="40"/>
            </w:pPr>
            <w:r>
              <w:rPr>
                <w:sz w:val="19"/>
              </w:rPr>
              <w:t>Ingredients/allergens</w:t>
            </w:r>
          </w:p>
        </w:tc>
        <w:tc>
          <w:tcPr>
            <w:tcW w:type="dxa" w:w="3346"/>
          </w:tcPr>
          <w:p>
            <w:pPr>
              <w:spacing w:after="60" w:before="40"/>
            </w:pPr>
            <w:r>
              <w:rPr>
                <w:sz w:val="19"/>
              </w:rPr>
              <w:t>Canonical ingredients and subingredients; animal taxon; flavor sources; allergen/contamination statements</w:t>
            </w:r>
          </w:p>
        </w:tc>
        <w:tc>
          <w:tcPr>
            <w:tcW w:type="dxa" w:w="3346"/>
          </w:tcPr>
          <w:p>
            <w:pPr>
              <w:spacing w:after="60" w:before="40"/>
            </w:pPr>
            <w:r>
              <w:rPr>
                <w:sz w:val="19"/>
              </w:rPr>
              <w:t xml:space="preserve">Safety and prescribed diet-trial checks; </w:t>
            </w:r>
            <w:r>
              <w:rPr>
                <w:rFonts w:ascii="Consolas" w:hAnsi="Consolas"/>
                <w:sz w:val="19"/>
              </w:rPr>
              <w:t>unknown</w:t>
            </w:r>
            <w:r>
              <w:rPr>
                <w:sz w:val="19"/>
              </w:rPr>
              <w:t xml:space="preserve"> means unresolved</w:t>
            </w:r>
          </w:p>
        </w:tc>
      </w:tr>
      <w:tr>
        <w:tc>
          <w:tcPr>
            <w:tcW w:type="dxa" w:w="3346"/>
          </w:tcPr>
          <w:p>
            <w:pPr>
              <w:spacing w:after="60" w:before="40"/>
            </w:pPr>
            <w:r>
              <w:rPr>
                <w:sz w:val="19"/>
              </w:rPr>
              <w:t>Adequacy</w:t>
            </w:r>
          </w:p>
        </w:tc>
        <w:tc>
          <w:tcPr>
            <w:tcW w:type="dxa" w:w="3346"/>
          </w:tcPr>
          <w:p>
            <w:pPr>
              <w:spacing w:after="60" w:before="40"/>
            </w:pPr>
            <w:r>
              <w:rPr>
                <w:sz w:val="19"/>
              </w:rPr>
              <w:t>Complete/complementary/unknown; declared standard; formulation/feeding-test evidence; life stage; large-growth statement; exact label text/source</w:t>
            </w:r>
          </w:p>
        </w:tc>
        <w:tc>
          <w:tcPr>
            <w:tcW w:type="dxa" w:w="3346"/>
          </w:tcPr>
          <w:p>
            <w:pPr>
              <w:spacing w:after="60" w:before="40"/>
            </w:pPr>
            <w:r>
              <w:rPr>
                <w:sz w:val="19"/>
              </w:rPr>
              <w:t>Commercial evidence path, not numerical invention</w:t>
            </w:r>
          </w:p>
        </w:tc>
      </w:tr>
      <w:tr>
        <w:tc>
          <w:tcPr>
            <w:tcW w:type="dxa" w:w="3346"/>
          </w:tcPr>
          <w:p>
            <w:pPr>
              <w:spacing w:after="60" w:before="40"/>
            </w:pPr>
            <w:r>
              <w:rPr>
                <w:sz w:val="19"/>
              </w:rPr>
              <w:t>Safety</w:t>
            </w:r>
          </w:p>
        </w:tc>
        <w:tc>
          <w:tcPr>
            <w:tcW w:type="dxa" w:w="3346"/>
          </w:tcPr>
          <w:p>
            <w:pPr>
              <w:spacing w:after="60" w:before="40"/>
            </w:pPr>
            <w:r>
              <w:rPr>
                <w:sz w:val="19"/>
              </w:rPr>
              <w:t>Hazard matches, preparation restrictions, recall/withdrawal status, preservative or supplement limits where supported</w:t>
            </w:r>
          </w:p>
        </w:tc>
        <w:tc>
          <w:tcPr>
            <w:tcW w:type="dxa" w:w="3346"/>
          </w:tcPr>
          <w:p>
            <w:pPr>
              <w:spacing w:after="60" w:before="40"/>
            </w:pPr>
            <w:r>
              <w:rPr>
                <w:sz w:val="19"/>
              </w:rPr>
              <w:t>Known hazard blocks; unresolved compound ingredient prevents automatic approval</w:t>
            </w:r>
          </w:p>
        </w:tc>
      </w:tr>
      <w:tr>
        <w:tc>
          <w:tcPr>
            <w:tcW w:type="dxa" w:w="3346"/>
          </w:tcPr>
          <w:p>
            <w:pPr>
              <w:spacing w:after="60" w:before="40"/>
            </w:pPr>
            <w:r>
              <w:rPr>
                <w:sz w:val="19"/>
              </w:rPr>
              <w:t>Evidence</w:t>
            </w:r>
          </w:p>
        </w:tc>
        <w:tc>
          <w:tcPr>
            <w:tcW w:type="dxa" w:w="3346"/>
          </w:tcPr>
          <w:p>
            <w:pPr>
              <w:spacing w:after="60" w:before="40"/>
            </w:pPr>
            <w:r>
              <w:rPr>
                <w:sz w:val="19"/>
              </w:rPr>
              <w:t>Publisher/record ID/URL, edition/date, retrieved date, license, analytical method/sample count where known, reviewer</w:t>
            </w:r>
          </w:p>
        </w:tc>
        <w:tc>
          <w:tcPr>
            <w:tcW w:type="dxa" w:w="3346"/>
          </w:tcPr>
          <w:p>
            <w:pPr>
              <w:spacing w:after="60" w:before="40"/>
            </w:pPr>
            <w:r>
              <w:rPr>
                <w:sz w:val="19"/>
              </w:rPr>
              <w:t>Traceability; distinguish manufacturer guarantee from laboratory mean</w:t>
            </w:r>
          </w:p>
        </w:tc>
      </w:tr>
      <w:tr>
        <w:tc>
          <w:tcPr>
            <w:tcW w:type="dxa" w:w="3346"/>
          </w:tcPr>
          <w:p>
            <w:pPr>
              <w:spacing w:after="60" w:before="40"/>
            </w:pPr>
            <w:r>
              <w:rPr>
                <w:sz w:val="19"/>
              </w:rPr>
              <w:t>Currency</w:t>
            </w:r>
          </w:p>
        </w:tc>
        <w:tc>
          <w:tcPr>
            <w:tcW w:type="dxa" w:w="3346"/>
          </w:tcPr>
          <w:p>
            <w:pPr>
              <w:spacing w:after="60" w:before="40"/>
            </w:pPr>
            <w:r>
              <w:rPr>
                <w:sz w:val="19"/>
              </w:rPr>
              <w:t>Verified date; review due date; superseded version; approval status; change reason</w:t>
            </w:r>
          </w:p>
        </w:tc>
        <w:tc>
          <w:tcPr>
            <w:tcW w:type="dxa" w:w="3346"/>
          </w:tcPr>
          <w:p>
            <w:pPr>
              <w:spacing w:after="60" w:before="40"/>
            </w:pPr>
            <w:r>
              <w:rPr>
                <w:sz w:val="19"/>
              </w:rPr>
              <w:t>No silent mutation of historical calculations</w:t>
            </w:r>
          </w:p>
        </w:tc>
      </w:tr>
    </w:tbl>
    <w:p>
      <w:pPr>
        <w:spacing w:after="0"/>
      </w:pPr>
    </w:p>
    <w:p>
      <w:r>
        <w:t xml:space="preserve">A nutrient absence must be explicit: </w:t>
      </w:r>
      <w:r>
        <w:rPr>
          <w:rFonts w:ascii="Consolas" w:hAnsi="Consolas"/>
          <w:sz w:val="18"/>
        </w:rPr>
        <w:t>not_measured</w:t>
      </w:r>
      <w:r>
        <w:t xml:space="preserve">, </w:t>
      </w:r>
      <w:r>
        <w:rPr>
          <w:rFonts w:ascii="Consolas" w:hAnsi="Consolas"/>
          <w:sz w:val="18"/>
        </w:rPr>
        <w:t>not_disclosed</w:t>
      </w:r>
      <w:r>
        <w:t xml:space="preserve">, </w:t>
      </w:r>
      <w:r>
        <w:rPr>
          <w:rFonts w:ascii="Consolas" w:hAnsi="Consolas"/>
          <w:sz w:val="18"/>
        </w:rPr>
        <w:t>not_applicable</w:t>
      </w:r>
      <w:r>
        <w:t xml:space="preserve">, </w:t>
      </w:r>
      <w:r>
        <w:rPr>
          <w:rFonts w:ascii="Consolas" w:hAnsi="Consolas"/>
          <w:sz w:val="18"/>
        </w:rPr>
        <w:t>below_detection_with_limit</w:t>
      </w:r>
      <w:r>
        <w:t xml:space="preserve">, or </w:t>
      </w:r>
      <w:r>
        <w:rPr>
          <w:rFonts w:ascii="Consolas" w:hAnsi="Consolas"/>
          <w:sz w:val="18"/>
        </w:rPr>
        <w:t>unknown</w:t>
      </w:r>
      <w:r>
        <w:t>. A detection limit is an interval, not exact zero. The source's analyte matters: total dietary fiber and crude fiber, vitamin activity and mass, carbohydrate by difference and measured starch are distinct.</w:t>
      </w:r>
    </w:p>
    <w:p>
      <w:pPr>
        <w:pStyle w:val="Heading2"/>
      </w:pPr>
      <w:r>
        <w:t>10.2 Composition sources and update workflow</w:t>
      </w:r>
    </w:p>
    <w:p>
      <w:r>
        <w:t xml:space="preserve">Use </w:t>
      </w:r>
      <w:hyperlink r:id="rId29">
        <w:r>
          <w:rPr>
            <w:color w:val="165D67"/>
            <w:u w:val="single"/>
          </w:rPr>
          <w:t>DOST-FNRI PhilFCT</w:t>
        </w:r>
      </w:hyperlink>
      <w:r>
        <w:t xml:space="preserve"> for locally relevant human-food composition and preparation names, with permitted access and exact record IDs. Use </w:t>
      </w:r>
      <w:hyperlink r:id="rId42">
        <w:r>
          <w:rPr>
            <w:color w:val="165D67"/>
            <w:u w:val="single"/>
          </w:rPr>
          <w:t>USDA FoodData Central documentation</w:t>
        </w:r>
      </w:hyperlink>
      <w:r>
        <w:t xml:space="preserve"> to distinguish analytical Foundation records, label-based Branded records and older compilations. Neither establishes canine digestibility or automatically supplies a complete amino-acid/vitamin record. Commercial dog food needs the exact current label and preferably manufacturer nutrient/ME data; verify life-stage evidence and the supplier's quality/nutrition expertise using </w:t>
      </w:r>
      <w:hyperlink r:id="rId43">
        <w:r>
          <w:rPr>
            <w:color w:val="165D67"/>
            <w:u w:val="single"/>
          </w:rPr>
          <w:t>WSAVA food-selection questions</w:t>
        </w:r>
      </w:hyperlink>
      <w:r>
        <w:t>.</w:t>
      </w:r>
    </w:p>
    <w:p>
      <w:r>
        <w:t>No individual PhilFCT or USDA ingredient values are invented in this blueprint. The initial catalog can list candidate identities, but a production composition record is unavailable until its permitted source, cooking state and fields are reviewed. Avoid copying one food's missing values from another variety or using generic fish numbers for bangus.</w:t>
      </w:r>
    </w:p>
    <w:p>
      <w:r>
        <w:rPr>
          <w:b/>
        </w:rPr>
        <w:t>Proposed update process:</w:t>
      </w:r>
      <w:r>
        <w:t xml:space="preserve"> import into quarantine → validate units/ranges/preparation → compare prior version → check safety/recalls/adequacy → independent reviewer approves → publish immutable version → flag affected active plans → require recalculation/review where material. A monthly recall/formulation check and at least annual catalog review are product service targets, not claims that labels remain valid for a year. Urgent safety notices invalidate eligibility immediately. Retain source hash and audit actor; rollback selects an older approved version but cannot erase a withdrawal.</w:t>
      </w:r>
    </w:p>
    <w:p>
      <w:bookmarkStart w:id="11" w:name="section_11"/>
      <w:pPr>
        <w:pStyle w:val="Heading1"/>
      </w:pPr>
      <w:r>
        <w:t>11. Philippine Ingredients and Food Safety</w:t>
      </w:r>
      <w:bookmarkEnd w:id="11"/>
    </w:p>
    <w:p>
      <w:pPr>
        <w:pStyle w:val="Heading2"/>
      </w:pPr>
      <w:r>
        <w:t>11.1 Local ingredient candidates</w:t>
      </w:r>
    </w:p>
    <w:p>
      <w:r>
        <w:t xml:space="preserve">These are </w:t>
      </w:r>
      <w:r>
        <w:rPr>
          <w:b/>
        </w:rPr>
        <w:t>potential components or controlled extras</w:t>
      </w:r>
      <w:r>
        <w:t>, not complete meal recipes. Eligibility still depends on exact preparation, calories, amount, health/allergy status and review. Composition must come from the matched PhilFCT/FDC record; qualitative roles below do not create missing numeric values.</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Ingredient</w:t>
            </w:r>
          </w:p>
        </w:tc>
        <w:tc>
          <w:tcPr>
            <w:tcW w:type="dxa" w:w="3740"/>
            <w:shd w:fill="154F59"/>
          </w:tcPr>
          <w:p>
            <w:pPr>
              <w:spacing w:after="60" w:before="40"/>
            </w:pPr>
            <w:r>
              <w:rPr>
                <w:b/>
                <w:color w:val="FFFFFF"/>
                <w:sz w:val="17"/>
              </w:rPr>
              <w:t>Candidate role</w:t>
            </w:r>
          </w:p>
        </w:tc>
        <w:tc>
          <w:tcPr>
            <w:tcW w:type="dxa" w:w="3740"/>
            <w:shd w:fill="154F59"/>
          </w:tcPr>
          <w:p>
            <w:pPr>
              <w:spacing w:after="60" w:before="40"/>
            </w:pPr>
            <w:r>
              <w:rPr>
                <w:b/>
                <w:color w:val="FFFFFF"/>
                <w:sz w:val="17"/>
              </w:rPr>
              <w:t>Required preparation/data</w:t>
            </w:r>
          </w:p>
        </w:tc>
        <w:tc>
          <w:tcPr>
            <w:tcW w:type="dxa" w:w="3740"/>
            <w:shd w:fill="154F59"/>
          </w:tcPr>
          <w:p>
            <w:pPr>
              <w:spacing w:after="60" w:before="40"/>
            </w:pPr>
            <w:r>
              <w:rPr>
                <w:b/>
                <w:color w:val="FFFFFF"/>
                <w:sz w:val="17"/>
              </w:rPr>
              <w:t>Limitation</w:t>
            </w:r>
          </w:p>
        </w:tc>
      </w:tr>
      <w:tr>
        <w:tc>
          <w:tcPr>
            <w:tcW w:type="dxa" w:w="3740"/>
          </w:tcPr>
          <w:p>
            <w:pPr>
              <w:spacing w:after="60" w:before="40"/>
            </w:pPr>
            <w:r>
              <w:rPr>
                <w:sz w:val="17"/>
              </w:rPr>
              <w:t>Chicken</w:t>
            </w:r>
          </w:p>
        </w:tc>
        <w:tc>
          <w:tcPr>
            <w:tcW w:type="dxa" w:w="3740"/>
          </w:tcPr>
          <w:p>
            <w:pPr>
              <w:spacing w:after="60" w:before="40"/>
            </w:pPr>
            <w:r>
              <w:rPr>
                <w:sz w:val="17"/>
              </w:rPr>
              <w:t>Protein-containing component</w:t>
            </w:r>
          </w:p>
        </w:tc>
        <w:tc>
          <w:tcPr>
            <w:tcW w:type="dxa" w:w="3740"/>
          </w:tcPr>
          <w:p>
            <w:pPr>
              <w:spacing w:after="60" w:before="40"/>
            </w:pPr>
            <w:r>
              <w:rPr>
                <w:sz w:val="17"/>
              </w:rPr>
              <w:t>Exact cut, cooked edible flesh, skin status; remove bones; no allium/seasoning; measured final mass</w:t>
            </w:r>
          </w:p>
        </w:tc>
        <w:tc>
          <w:tcPr>
            <w:tcW w:type="dxa" w:w="3740"/>
          </w:tcPr>
          <w:p>
            <w:pPr>
              <w:spacing w:after="60" w:before="40"/>
            </w:pPr>
            <w:r>
              <w:rPr>
                <w:sz w:val="17"/>
              </w:rPr>
              <w:t>Muscle meat alone cannot satisfy the whole calcium/mineral profile; chicken exclusion applies where clinically relevant</w:t>
            </w:r>
          </w:p>
        </w:tc>
      </w:tr>
      <w:tr>
        <w:tc>
          <w:tcPr>
            <w:tcW w:type="dxa" w:w="3740"/>
          </w:tcPr>
          <w:p>
            <w:pPr>
              <w:spacing w:after="60" w:before="40"/>
            </w:pPr>
            <w:r>
              <w:rPr>
                <w:sz w:val="17"/>
              </w:rPr>
              <w:t>Bangus (milkfish)</w:t>
            </w:r>
          </w:p>
        </w:tc>
        <w:tc>
          <w:tcPr>
            <w:tcW w:type="dxa" w:w="3740"/>
          </w:tcPr>
          <w:p>
            <w:pPr>
              <w:spacing w:after="60" w:before="40"/>
            </w:pPr>
            <w:r>
              <w:rPr>
                <w:sz w:val="17"/>
              </w:rPr>
              <w:t>Protein/fat-containing component</w:t>
            </w:r>
          </w:p>
        </w:tc>
        <w:tc>
          <w:tcPr>
            <w:tcW w:type="dxa" w:w="3740"/>
          </w:tcPr>
          <w:p>
            <w:pPr>
              <w:spacing w:after="60" w:before="40"/>
            </w:pPr>
            <w:r>
              <w:rPr>
                <w:sz w:val="17"/>
              </w:rPr>
              <w:t>Species identified; thoroughly deboned, cooked; remove unsafe parts; preparation-specific record</w:t>
            </w:r>
          </w:p>
        </w:tc>
        <w:tc>
          <w:tcPr>
            <w:tcW w:type="dxa" w:w="3740"/>
          </w:tcPr>
          <w:p>
            <w:pPr>
              <w:spacing w:after="60" w:before="40"/>
            </w:pPr>
            <w:r>
              <w:rPr>
                <w:sz w:val="17"/>
              </w:rPr>
              <w:t>Numerous small bones are a physical hazard; fat and energy vary by portion/method</w:t>
            </w:r>
          </w:p>
        </w:tc>
      </w:tr>
      <w:tr>
        <w:tc>
          <w:tcPr>
            <w:tcW w:type="dxa" w:w="3740"/>
          </w:tcPr>
          <w:p>
            <w:pPr>
              <w:spacing w:after="60" w:before="40"/>
            </w:pPr>
            <w:r>
              <w:rPr>
                <w:sz w:val="17"/>
              </w:rPr>
              <w:t>Tilapia</w:t>
            </w:r>
          </w:p>
        </w:tc>
        <w:tc>
          <w:tcPr>
            <w:tcW w:type="dxa" w:w="3740"/>
          </w:tcPr>
          <w:p>
            <w:pPr>
              <w:spacing w:after="60" w:before="40"/>
            </w:pPr>
            <w:r>
              <w:rPr>
                <w:sz w:val="17"/>
              </w:rPr>
              <w:t>Protein-containing component</w:t>
            </w:r>
          </w:p>
        </w:tc>
        <w:tc>
          <w:tcPr>
            <w:tcW w:type="dxa" w:w="3740"/>
          </w:tcPr>
          <w:p>
            <w:pPr>
              <w:spacing w:after="60" w:before="40"/>
            </w:pPr>
            <w:r>
              <w:rPr>
                <w:sz w:val="17"/>
              </w:rPr>
              <w:t>Identified cooked edible flesh, deboned; no seasoning</w:t>
            </w:r>
          </w:p>
        </w:tc>
        <w:tc>
          <w:tcPr>
            <w:tcW w:type="dxa" w:w="3740"/>
          </w:tcPr>
          <w:p>
            <w:pPr>
              <w:spacing w:after="60" w:before="40"/>
            </w:pPr>
            <w:r>
              <w:rPr>
                <w:sz w:val="17"/>
              </w:rPr>
              <w:t>Not interchangeable with bangus or a validated fish-oil source; nutrient data may omit essential rows</w:t>
            </w:r>
          </w:p>
        </w:tc>
      </w:tr>
      <w:tr>
        <w:tc>
          <w:tcPr>
            <w:tcW w:type="dxa" w:w="3740"/>
          </w:tcPr>
          <w:p>
            <w:pPr>
              <w:spacing w:after="60" w:before="40"/>
            </w:pPr>
            <w:r>
              <w:rPr>
                <w:sz w:val="17"/>
              </w:rPr>
              <w:t>Egg</w:t>
            </w:r>
          </w:p>
        </w:tc>
        <w:tc>
          <w:tcPr>
            <w:tcW w:type="dxa" w:w="3740"/>
          </w:tcPr>
          <w:p>
            <w:pPr>
              <w:spacing w:after="60" w:before="40"/>
            </w:pPr>
            <w:r>
              <w:rPr>
                <w:sz w:val="17"/>
              </w:rPr>
              <w:t>Protein/fat-containing component</w:t>
            </w:r>
          </w:p>
        </w:tc>
        <w:tc>
          <w:tcPr>
            <w:tcW w:type="dxa" w:w="3740"/>
          </w:tcPr>
          <w:p>
            <w:pPr>
              <w:spacing w:after="60" w:before="40"/>
            </w:pPr>
            <w:r>
              <w:rPr>
                <w:sz w:val="17"/>
              </w:rPr>
              <w:t>Cooked egg, exact edible mass and whole/yolk/white state</w:t>
            </w:r>
          </w:p>
        </w:tc>
        <w:tc>
          <w:tcPr>
            <w:tcW w:type="dxa" w:w="3740"/>
          </w:tcPr>
          <w:p>
            <w:pPr>
              <w:spacing w:after="60" w:before="40"/>
            </w:pPr>
            <w:r>
              <w:rPr>
                <w:sz w:val="17"/>
              </w:rPr>
              <w:t>Shell or improvised shell powder is not an automatically validated calcium supplement; allergy/context matters</w:t>
            </w:r>
          </w:p>
        </w:tc>
      </w:tr>
      <w:tr>
        <w:tc>
          <w:tcPr>
            <w:tcW w:type="dxa" w:w="3740"/>
          </w:tcPr>
          <w:p>
            <w:pPr>
              <w:spacing w:after="60" w:before="40"/>
            </w:pPr>
            <w:r>
              <w:rPr>
                <w:sz w:val="17"/>
              </w:rPr>
              <w:t>Rice</w:t>
            </w:r>
          </w:p>
        </w:tc>
        <w:tc>
          <w:tcPr>
            <w:tcW w:type="dxa" w:w="3740"/>
          </w:tcPr>
          <w:p>
            <w:pPr>
              <w:spacing w:after="60" w:before="40"/>
            </w:pPr>
            <w:r>
              <w:rPr>
                <w:sz w:val="17"/>
              </w:rPr>
              <w:t>Digestible-starch component</w:t>
            </w:r>
          </w:p>
        </w:tc>
        <w:tc>
          <w:tcPr>
            <w:tcW w:type="dxa" w:w="3740"/>
          </w:tcPr>
          <w:p>
            <w:pPr>
              <w:spacing w:after="60" w:before="40"/>
            </w:pPr>
            <w:r>
              <w:rPr>
                <w:sz w:val="17"/>
              </w:rPr>
              <w:t>Cooked state, variety and added-water yield recorded</w:t>
            </w:r>
          </w:p>
        </w:tc>
        <w:tc>
          <w:tcPr>
            <w:tcW w:type="dxa" w:w="3740"/>
          </w:tcPr>
          <w:p>
            <w:pPr>
              <w:spacing w:after="60" w:before="40"/>
            </w:pPr>
            <w:r>
              <w:rPr>
                <w:sz w:val="17"/>
              </w:rPr>
              <w:t>Raw versus cooked calorie density differs greatly; rice/scraps alone are not nutritionally complete</w:t>
            </w:r>
          </w:p>
        </w:tc>
      </w:tr>
      <w:tr>
        <w:tc>
          <w:tcPr>
            <w:tcW w:type="dxa" w:w="3740"/>
          </w:tcPr>
          <w:p>
            <w:pPr>
              <w:spacing w:after="60" w:before="40"/>
            </w:pPr>
            <w:r>
              <w:rPr>
                <w:sz w:val="17"/>
              </w:rPr>
              <w:t>Kamote (sweet potato)</w:t>
            </w:r>
          </w:p>
        </w:tc>
        <w:tc>
          <w:tcPr>
            <w:tcW w:type="dxa" w:w="3740"/>
          </w:tcPr>
          <w:p>
            <w:pPr>
              <w:spacing w:after="60" w:before="40"/>
            </w:pPr>
            <w:r>
              <w:rPr>
                <w:sz w:val="17"/>
              </w:rPr>
              <w:t>Cooked starch-containing component</w:t>
            </w:r>
          </w:p>
        </w:tc>
        <w:tc>
          <w:tcPr>
            <w:tcW w:type="dxa" w:w="3740"/>
          </w:tcPr>
          <w:p>
            <w:pPr>
              <w:spacing w:after="60" w:before="40"/>
            </w:pPr>
            <w:r>
              <w:rPr>
                <w:sz w:val="17"/>
              </w:rPr>
              <w:t>Plain cooked edible portion, variety/yield</w:t>
            </w:r>
          </w:p>
        </w:tc>
        <w:tc>
          <w:tcPr>
            <w:tcW w:type="dxa" w:w="3740"/>
          </w:tcPr>
          <w:p>
            <w:pPr>
              <w:spacing w:after="60" w:before="40"/>
            </w:pPr>
            <w:r>
              <w:rPr>
                <w:sz w:val="17"/>
              </w:rPr>
              <w:t>Count calories; fiber varies; cannot replace a complete food or premix by equal grams</w:t>
            </w:r>
          </w:p>
        </w:tc>
      </w:tr>
      <w:tr>
        <w:tc>
          <w:tcPr>
            <w:tcW w:type="dxa" w:w="3740"/>
          </w:tcPr>
          <w:p>
            <w:pPr>
              <w:spacing w:after="60" w:before="40"/>
            </w:pPr>
            <w:r>
              <w:rPr>
                <w:sz w:val="17"/>
              </w:rPr>
              <w:t>Kalabasa (squash)</w:t>
            </w:r>
          </w:p>
        </w:tc>
        <w:tc>
          <w:tcPr>
            <w:tcW w:type="dxa" w:w="3740"/>
          </w:tcPr>
          <w:p>
            <w:pPr>
              <w:spacing w:after="60" w:before="40"/>
            </w:pPr>
            <w:r>
              <w:rPr>
                <w:sz w:val="17"/>
              </w:rPr>
              <w:t>Vegetable/fiber-containing component</w:t>
            </w:r>
          </w:p>
        </w:tc>
        <w:tc>
          <w:tcPr>
            <w:tcW w:type="dxa" w:w="3740"/>
          </w:tcPr>
          <w:p>
            <w:pPr>
              <w:spacing w:after="60" w:before="40"/>
            </w:pPr>
            <w:r>
              <w:rPr>
                <w:sz w:val="17"/>
              </w:rPr>
              <w:t>Identified variety, cooked edible flesh, preparation-specific data</w:t>
            </w:r>
          </w:p>
        </w:tc>
        <w:tc>
          <w:tcPr>
            <w:tcW w:type="dxa" w:w="3740"/>
          </w:tcPr>
          <w:p>
            <w:pPr>
              <w:spacing w:after="60" w:before="40"/>
            </w:pPr>
            <w:r>
              <w:rPr>
                <w:sz w:val="17"/>
              </w:rPr>
              <w:t>Not a validated treatment for constipation/diarrhea; cannot supply all nutrients</w:t>
            </w:r>
          </w:p>
        </w:tc>
      </w:tr>
      <w:tr>
        <w:tc>
          <w:tcPr>
            <w:tcW w:type="dxa" w:w="3740"/>
          </w:tcPr>
          <w:p>
            <w:pPr>
              <w:spacing w:after="60" w:before="40"/>
            </w:pPr>
            <w:r>
              <w:rPr>
                <w:sz w:val="17"/>
              </w:rPr>
              <w:t>Malunggay (Moringa)</w:t>
            </w:r>
          </w:p>
        </w:tc>
        <w:tc>
          <w:tcPr>
            <w:tcW w:type="dxa" w:w="3740"/>
          </w:tcPr>
          <w:p>
            <w:pPr>
              <w:spacing w:after="60" w:before="40"/>
            </w:pPr>
            <w:r>
              <w:rPr>
                <w:sz w:val="17"/>
              </w:rPr>
              <w:t>Candidate requiring additional review</w:t>
            </w:r>
          </w:p>
        </w:tc>
        <w:tc>
          <w:tcPr>
            <w:tcW w:type="dxa" w:w="3740"/>
          </w:tcPr>
          <w:p>
            <w:pPr>
              <w:spacing w:after="60" w:before="40"/>
            </w:pPr>
            <w:r>
              <w:rPr>
                <w:sz w:val="17"/>
              </w:rPr>
              <w:t>Exact plant part, processing and canine safety/formulation evidence</w:t>
            </w:r>
          </w:p>
        </w:tc>
        <w:tc>
          <w:tcPr>
            <w:tcW w:type="dxa" w:w="3740"/>
          </w:tcPr>
          <w:p>
            <w:pPr>
              <w:spacing w:after="60" w:before="40"/>
            </w:pPr>
            <w:r>
              <w:rPr>
                <w:sz w:val="17"/>
              </w:rPr>
              <w:t>This review did not establish a validated canine serving limit across growth/reproduction; not automatically eligible as a staple or supplement. Extract/peptide research does not establish whole-leaf diet adequacy</w:t>
            </w:r>
          </w:p>
        </w:tc>
      </w:tr>
    </w:tbl>
    <w:p>
      <w:pPr>
        <w:spacing w:after="0"/>
      </w:pPr>
    </w:p>
    <w:p>
      <w:pPr>
        <w:sectPr>
          <w:pgSz w:w="16834" w:h="11909" w:orient="landscape"/>
          <w:pgMar w:top="936" w:right="936" w:bottom="936" w:left="936" w:header="432" w:footer="432" w:gutter="0"/>
          <w:cols w:space="720"/>
          <w:docGrid w:linePitch="360"/>
        </w:sectPr>
      </w:pPr>
    </w:p>
    <w:p>
      <w:r>
        <w:t xml:space="preserve">Local identity and composition sourcing: </w:t>
      </w:r>
      <w:hyperlink r:id="rId44">
        <w:r>
          <w:rPr>
            <w:color w:val="165D67"/>
            <w:u w:val="single"/>
          </w:rPr>
          <w:t>PhilFCT</w:t>
        </w:r>
      </w:hyperlink>
      <w:r>
        <w:t xml:space="preserve">, </w:t>
      </w:r>
      <w:hyperlink r:id="rId42">
        <w:r>
          <w:rPr>
            <w:color w:val="165D67"/>
            <w:u w:val="single"/>
          </w:rPr>
          <w:t>USDA record types</w:t>
        </w:r>
      </w:hyperlink>
      <w:r>
        <w:t xml:space="preserve">. Nutritional completeness must be established separately; deficiencies in improvised home-prepared diets are documented by </w:t>
      </w:r>
      <w:hyperlink r:id="rId45">
        <w:r>
          <w:rPr>
            <w:color w:val="165D67"/>
            <w:u w:val="single"/>
          </w:rPr>
          <w:t>UC Davis</w:t>
        </w:r>
      </w:hyperlink>
      <w:r>
        <w:t>.</w:t>
      </w:r>
    </w:p>
    <w:p>
      <w:r>
        <w:t xml:space="preserve">Do not approve shared Filipino leftovers by dish name. Adobo, sinigang, sauces, broth powders, processed meats and marinades need their actual compound ingredients checked. Garlic/onion remain hazards when cooked or powdered. Soy sauce introduces sodium and recipe uncertainty; vinegar itself is not established here as a xylitol-like poison. A plain ingredient is different from its seasoned dish. Ingredient filters must support </w:t>
      </w:r>
      <w:r>
        <w:rPr>
          <w:rFonts w:ascii="Consolas" w:hAnsi="Consolas"/>
          <w:sz w:val="18"/>
        </w:rPr>
        <w:t>sibuyas</w:t>
      </w:r>
      <w:r>
        <w:t xml:space="preserve">, </w:t>
      </w:r>
      <w:r>
        <w:rPr>
          <w:rFonts w:ascii="Consolas" w:hAnsi="Consolas"/>
          <w:sz w:val="18"/>
        </w:rPr>
        <w:t>bawang</w:t>
      </w:r>
      <w:r>
        <w:t>, cocoa/cacao, raisins/pasas and known xylitol aliases, while unknown dishes remain unresolved rather than being guessed safe.</w:t>
      </w:r>
    </w:p>
    <w:p>
      <w:pPr>
        <w:pStyle w:val="Heading2"/>
      </w:pPr>
      <w:r>
        <w:t>11.2 Hazard registry and response</w:t>
      </w:r>
    </w:p>
    <w:p>
      <w:r>
        <w:t xml:space="preserve">For </w:t>
      </w:r>
      <w:r>
        <w:rPr>
          <w:b/>
        </w:rPr>
        <w:t>possible ingestion of a recognized toxin</w:t>
      </w:r>
      <w:r>
        <w:t>, direct the owner to a veterinarian/emergency veterinary service promptly; do not wait for signs, reassure using a universal dose, or instruct home vomiting/charcoal. Record dog weight, product/photo, amount if known and time without delaying care. For choking, collapse, seizures, breathing difficulty, severe abdominal swelling or repeated unproductive retching, use urgent emergency wording. A food-plan filter prevents exposure; it is not an ingestion-triage calculator.</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Hazard</w:t>
            </w:r>
          </w:p>
        </w:tc>
        <w:tc>
          <w:tcPr>
            <w:tcW w:type="dxa" w:w="3346"/>
            <w:shd w:fill="154F59"/>
          </w:tcPr>
          <w:p>
            <w:pPr>
              <w:spacing w:after="60" w:before="40"/>
            </w:pPr>
            <w:r>
              <w:rPr>
                <w:b/>
                <w:color w:val="FFFFFF"/>
                <w:sz w:val="19"/>
              </w:rPr>
              <w:t>Type/forms and relevant risk</w:t>
            </w:r>
          </w:p>
        </w:tc>
        <w:tc>
          <w:tcPr>
            <w:tcW w:type="dxa" w:w="3346"/>
            <w:shd w:fill="154F59"/>
          </w:tcPr>
          <w:p>
            <w:pPr>
              <w:spacing w:after="60" w:before="40"/>
            </w:pPr>
            <w:r>
              <w:rPr>
                <w:b/>
                <w:color w:val="FFFFFF"/>
                <w:sz w:val="19"/>
              </w:rPr>
              <w:t>System action/source</w:t>
            </w:r>
          </w:p>
        </w:tc>
      </w:tr>
      <w:tr>
        <w:tc>
          <w:tcPr>
            <w:tcW w:type="dxa" w:w="3346"/>
          </w:tcPr>
          <w:p>
            <w:pPr>
              <w:spacing w:after="60" w:before="40"/>
            </w:pPr>
            <w:r>
              <w:rPr>
                <w:sz w:val="19"/>
              </w:rPr>
              <w:t>Chocolate/cocoa and caffeine</w:t>
            </w:r>
          </w:p>
        </w:tc>
        <w:tc>
          <w:tcPr>
            <w:tcW w:type="dxa" w:w="3346"/>
          </w:tcPr>
          <w:p>
            <w:pPr>
              <w:spacing w:after="60" w:before="40"/>
            </w:pPr>
            <w:r>
              <w:rPr>
                <w:sz w:val="19"/>
              </w:rPr>
              <w:t>Methylxanthine toxicity; baking chocolate/cocoa, coffee, tea, energy products and extracts vary markedly</w:t>
            </w:r>
          </w:p>
        </w:tc>
        <w:tc>
          <w:tcPr>
            <w:tcW w:type="dxa" w:w="3346"/>
          </w:tcPr>
          <w:p>
            <w:pPr>
              <w:spacing w:after="60" w:before="40"/>
            </w:pPr>
            <w:r>
              <w:rPr>
                <w:sz w:val="19"/>
              </w:rPr>
              <w:t xml:space="preserve">Block direct and compound ingredients; exposure →vet. </w:t>
            </w:r>
            <w:hyperlink r:id="rId46">
              <w:r>
                <w:rPr>
                  <w:color w:val="165D67"/>
                  <w:u w:val="single"/>
                </w:rPr>
                <w:t>Merck chocolate toxicology</w:t>
              </w:r>
            </w:hyperlink>
          </w:p>
        </w:tc>
      </w:tr>
      <w:tr>
        <w:tc>
          <w:tcPr>
            <w:tcW w:type="dxa" w:w="3346"/>
          </w:tcPr>
          <w:p>
            <w:pPr>
              <w:spacing w:after="60" w:before="40"/>
            </w:pPr>
            <w:r>
              <w:rPr>
                <w:sz w:val="19"/>
              </w:rPr>
              <w:t>Grapes, raisins, sultanas, Vitis dried currants</w:t>
            </w:r>
          </w:p>
        </w:tc>
        <w:tc>
          <w:tcPr>
            <w:tcW w:type="dxa" w:w="3346"/>
          </w:tcPr>
          <w:p>
            <w:pPr>
              <w:spacing w:after="60" w:before="40"/>
            </w:pPr>
            <w:r>
              <w:rPr>
                <w:sz w:val="19"/>
              </w:rPr>
              <w:t>Renal-injury risk; variable composition and individual susceptibility</w:t>
            </w:r>
          </w:p>
        </w:tc>
        <w:tc>
          <w:tcPr>
            <w:tcW w:type="dxa" w:w="3346"/>
          </w:tcPr>
          <w:p>
            <w:pPr>
              <w:spacing w:after="60" w:before="40"/>
            </w:pPr>
            <w:r>
              <w:rPr>
                <w:sz w:val="19"/>
              </w:rPr>
              <w:t xml:space="preserve">Block; any possible ingestion deserves urgent consultation; distinguish Vitis currants from unrelated fruits. </w:t>
            </w:r>
            <w:hyperlink r:id="rId47">
              <w:r>
                <w:rPr>
                  <w:color w:val="165D67"/>
                  <w:u w:val="single"/>
                </w:rPr>
                <w:t>Cornell grape toxicity</w:t>
              </w:r>
            </w:hyperlink>
          </w:p>
        </w:tc>
      </w:tr>
      <w:tr>
        <w:tc>
          <w:tcPr>
            <w:tcW w:type="dxa" w:w="3346"/>
          </w:tcPr>
          <w:p>
            <w:pPr>
              <w:spacing w:after="60" w:before="40"/>
            </w:pPr>
            <w:r>
              <w:rPr>
                <w:sz w:val="19"/>
              </w:rPr>
              <w:t>Tamarind/cream of tartar</w:t>
            </w:r>
          </w:p>
        </w:tc>
        <w:tc>
          <w:tcPr>
            <w:tcW w:type="dxa" w:w="3346"/>
          </w:tcPr>
          <w:p>
            <w:pPr>
              <w:spacing w:after="60" w:before="40"/>
            </w:pPr>
            <w:r>
              <w:rPr>
                <w:sz w:val="19"/>
              </w:rPr>
              <w:t>Related tartaric-acid toxicology concern; not all sour ingredients are equivalent</w:t>
            </w:r>
          </w:p>
        </w:tc>
        <w:tc>
          <w:tcPr>
            <w:tcW w:type="dxa" w:w="3346"/>
          </w:tcPr>
          <w:p>
            <w:pPr>
              <w:spacing w:after="60" w:before="40"/>
            </w:pPr>
            <w:r>
              <w:rPr>
                <w:sz w:val="19"/>
              </w:rPr>
              <w:t xml:space="preserve">Block unreviewed use; exposure consult. </w:t>
            </w:r>
            <w:hyperlink r:id="rId48">
              <w:r>
                <w:rPr>
                  <w:color w:val="165D67"/>
                  <w:u w:val="single"/>
                </w:rPr>
                <w:t>Merck grape/tamarind toxicology</w:t>
              </w:r>
            </w:hyperlink>
          </w:p>
        </w:tc>
      </w:tr>
      <w:tr>
        <w:tc>
          <w:tcPr>
            <w:tcW w:type="dxa" w:w="3346"/>
          </w:tcPr>
          <w:p>
            <w:pPr>
              <w:spacing w:after="60" w:before="40"/>
            </w:pPr>
            <w:r>
              <w:rPr>
                <w:sz w:val="19"/>
              </w:rPr>
              <w:t>Xylitol</w:t>
            </w:r>
          </w:p>
        </w:tc>
        <w:tc>
          <w:tcPr>
            <w:tcW w:type="dxa" w:w="3346"/>
          </w:tcPr>
          <w:p>
            <w:pPr>
              <w:spacing w:after="60" w:before="40"/>
            </w:pPr>
            <w:r>
              <w:rPr>
                <w:sz w:val="19"/>
              </w:rPr>
              <w:t>Hypoglycemia and possible liver injury; sugar-free gum/sweets, peanut butter, dental/supplement products; birch/wood-sugar naming</w:t>
            </w:r>
          </w:p>
        </w:tc>
        <w:tc>
          <w:tcPr>
            <w:tcW w:type="dxa" w:w="3346"/>
          </w:tcPr>
          <w:p>
            <w:pPr>
              <w:spacing w:after="60" w:before="40"/>
            </w:pPr>
            <w:r>
              <w:rPr>
                <w:sz w:val="19"/>
              </w:rPr>
              <w:t xml:space="preserve">Block all identified forms; rapid referral even if amount/label unclear. </w:t>
            </w:r>
            <w:hyperlink r:id="rId49">
              <w:r>
                <w:rPr>
                  <w:color w:val="165D67"/>
                  <w:u w:val="single"/>
                </w:rPr>
                <w:t>FDA xylitol</w:t>
              </w:r>
            </w:hyperlink>
          </w:p>
        </w:tc>
      </w:tr>
      <w:tr>
        <w:tc>
          <w:tcPr>
            <w:tcW w:type="dxa" w:w="3346"/>
          </w:tcPr>
          <w:p>
            <w:pPr>
              <w:spacing w:after="60" w:before="40"/>
            </w:pPr>
            <w:r>
              <w:rPr>
                <w:sz w:val="19"/>
              </w:rPr>
              <w:t>Onion/garlic/chives/leeks</w:t>
            </w:r>
          </w:p>
        </w:tc>
        <w:tc>
          <w:tcPr>
            <w:tcW w:type="dxa" w:w="3346"/>
          </w:tcPr>
          <w:p>
            <w:pPr>
              <w:spacing w:after="60" w:before="40"/>
            </w:pPr>
            <w:r>
              <w:rPr>
                <w:sz w:val="19"/>
              </w:rPr>
              <w:t>Oxidative blood-cell injury; raw, cooked, dried and powdered; signs may be delayed</w:t>
            </w:r>
          </w:p>
        </w:tc>
        <w:tc>
          <w:tcPr>
            <w:tcW w:type="dxa" w:w="3346"/>
          </w:tcPr>
          <w:p>
            <w:pPr>
              <w:spacing w:after="60" w:before="40"/>
            </w:pPr>
            <w:r>
              <w:rPr>
                <w:sz w:val="19"/>
              </w:rPr>
              <w:t xml:space="preserve">Block soups/seasonings/subingredients; no garlic “health supplement” exception. </w:t>
            </w:r>
            <w:hyperlink r:id="rId50">
              <w:r>
                <w:rPr>
                  <w:color w:val="165D67"/>
                  <w:u w:val="single"/>
                </w:rPr>
                <w:t>Merck Allium toxicology</w:t>
              </w:r>
            </w:hyperlink>
          </w:p>
        </w:tc>
      </w:tr>
      <w:tr>
        <w:tc>
          <w:tcPr>
            <w:tcW w:type="dxa" w:w="3346"/>
          </w:tcPr>
          <w:p>
            <w:pPr>
              <w:spacing w:after="60" w:before="40"/>
            </w:pPr>
            <w:r>
              <w:rPr>
                <w:sz w:val="19"/>
              </w:rPr>
              <w:t>Macadamia nuts</w:t>
            </w:r>
          </w:p>
        </w:tc>
        <w:tc>
          <w:tcPr>
            <w:tcW w:type="dxa" w:w="3346"/>
          </w:tcPr>
          <w:p>
            <w:pPr>
              <w:spacing w:after="60" w:before="40"/>
            </w:pPr>
            <w:r>
              <w:rPr>
                <w:sz w:val="19"/>
              </w:rPr>
              <w:t>Canine weakness/other toxicity; mixed nuts and baked goods may add chocolate</w:t>
            </w:r>
          </w:p>
        </w:tc>
        <w:tc>
          <w:tcPr>
            <w:tcW w:type="dxa" w:w="3346"/>
          </w:tcPr>
          <w:p>
            <w:pPr>
              <w:spacing w:after="60" w:before="40"/>
            </w:pPr>
            <w:r>
              <w:rPr>
                <w:sz w:val="19"/>
              </w:rPr>
              <w:t xml:space="preserve">Block; consult after exposure. </w:t>
            </w:r>
            <w:hyperlink r:id="rId51">
              <w:r>
                <w:rPr>
                  <w:color w:val="165D67"/>
                  <w:u w:val="single"/>
                </w:rPr>
                <w:t>Merck macadamia</w:t>
              </w:r>
            </w:hyperlink>
          </w:p>
        </w:tc>
      </w:tr>
      <w:tr>
        <w:tc>
          <w:tcPr>
            <w:tcW w:type="dxa" w:w="3346"/>
          </w:tcPr>
          <w:p>
            <w:pPr>
              <w:spacing w:after="60" w:before="40"/>
            </w:pPr>
            <w:r>
              <w:rPr>
                <w:sz w:val="19"/>
              </w:rPr>
              <w:t>Alcohol and unbaked yeast dough</w:t>
            </w:r>
          </w:p>
        </w:tc>
        <w:tc>
          <w:tcPr>
            <w:tcW w:type="dxa" w:w="3346"/>
          </w:tcPr>
          <w:p>
            <w:pPr>
              <w:spacing w:after="60" w:before="40"/>
            </w:pPr>
            <w:r>
              <w:rPr>
                <w:sz w:val="19"/>
              </w:rPr>
              <w:t>Ethanol toxicity; dough can expand and produce alcohol</w:t>
            </w:r>
          </w:p>
        </w:tc>
        <w:tc>
          <w:tcPr>
            <w:tcW w:type="dxa" w:w="3346"/>
          </w:tcPr>
          <w:p>
            <w:pPr>
              <w:spacing w:after="60" w:before="40"/>
            </w:pPr>
            <w:r>
              <w:rPr>
                <w:sz w:val="19"/>
              </w:rPr>
              <w:t xml:space="preserve">Block raw dough and alcoholic foods/drinks; urgent consultation. </w:t>
            </w:r>
            <w:hyperlink r:id="rId52">
              <w:r>
                <w:rPr>
                  <w:color w:val="165D67"/>
                  <w:u w:val="single"/>
                </w:rPr>
                <w:t>Veterinary household-toxin review</w:t>
              </w:r>
            </w:hyperlink>
          </w:p>
        </w:tc>
      </w:tr>
      <w:tr>
        <w:tc>
          <w:tcPr>
            <w:tcW w:type="dxa" w:w="3346"/>
          </w:tcPr>
          <w:p>
            <w:pPr>
              <w:spacing w:after="60" w:before="40"/>
            </w:pPr>
            <w:r>
              <w:rPr>
                <w:sz w:val="19"/>
              </w:rPr>
              <w:t>Cooked bones, fish bones, pits, packaging</w:t>
            </w:r>
          </w:p>
        </w:tc>
        <w:tc>
          <w:tcPr>
            <w:tcW w:type="dxa" w:w="3346"/>
          </w:tcPr>
          <w:p>
            <w:pPr>
              <w:spacing w:after="60" w:before="40"/>
            </w:pPr>
            <w:r>
              <w:rPr>
                <w:sz w:val="19"/>
              </w:rPr>
              <w:t>Physical choking/obstruction/perforation; cooking is not a bone-safety test</w:t>
            </w:r>
          </w:p>
        </w:tc>
        <w:tc>
          <w:tcPr>
            <w:tcW w:type="dxa" w:w="3346"/>
          </w:tcPr>
          <w:p>
            <w:pPr>
              <w:spacing w:after="60" w:before="40"/>
            </w:pPr>
            <w:r>
              <w:rPr>
                <w:sz w:val="19"/>
              </w:rPr>
              <w:t xml:space="preserve">Block bones/pits/packaging as ingredients; suspected obstruction needs care. </w:t>
            </w:r>
            <w:hyperlink r:id="rId53">
              <w:r>
                <w:rPr>
                  <w:color w:val="165D67"/>
                  <w:u w:val="single"/>
                </w:rPr>
                <w:t>FDA physical hazards</w:t>
              </w:r>
            </w:hyperlink>
          </w:p>
        </w:tc>
      </w:tr>
      <w:tr>
        <w:tc>
          <w:tcPr>
            <w:tcW w:type="dxa" w:w="3346"/>
          </w:tcPr>
          <w:p>
            <w:pPr>
              <w:spacing w:after="60" w:before="40"/>
            </w:pPr>
            <w:r>
              <w:rPr>
                <w:sz w:val="19"/>
              </w:rPr>
              <w:t>Raw animal food</w:t>
            </w:r>
          </w:p>
        </w:tc>
        <w:tc>
          <w:tcPr>
            <w:tcW w:type="dxa" w:w="3346"/>
          </w:tcPr>
          <w:p>
            <w:pPr>
              <w:spacing w:after="60" w:before="40"/>
            </w:pPr>
            <w:r>
              <w:rPr>
                <w:sz w:val="19"/>
              </w:rPr>
              <w:t>Infection and cross-contamination risk to dogs/household; freezing or ordinary processing is not proof of sterility</w:t>
            </w:r>
          </w:p>
        </w:tc>
        <w:tc>
          <w:tcPr>
            <w:tcW w:type="dxa" w:w="3346"/>
          </w:tcPr>
          <w:p>
            <w:pPr>
              <w:spacing w:after="60" w:before="40"/>
            </w:pPr>
            <w:r>
              <w:rPr>
                <w:sz w:val="19"/>
              </w:rPr>
              <w:t xml:space="preserve">No raw automatic generation/recommendation; record exposure/history. </w:t>
            </w:r>
            <w:hyperlink r:id="rId28">
              <w:r>
                <w:rPr>
                  <w:color w:val="165D67"/>
                  <w:u w:val="single"/>
                </w:rPr>
                <w:t>FDA raw/handling guidance</w:t>
              </w:r>
            </w:hyperlink>
          </w:p>
        </w:tc>
      </w:tr>
      <w:tr>
        <w:tc>
          <w:tcPr>
            <w:tcW w:type="dxa" w:w="3346"/>
          </w:tcPr>
          <w:p>
            <w:pPr>
              <w:spacing w:after="60" w:before="40"/>
            </w:pPr>
            <w:r>
              <w:rPr>
                <w:sz w:val="19"/>
              </w:rPr>
              <w:t>Mold/spoilage or unknown wild mushrooms</w:t>
            </w:r>
          </w:p>
        </w:tc>
        <w:tc>
          <w:tcPr>
            <w:tcW w:type="dxa" w:w="3346"/>
          </w:tcPr>
          <w:p>
            <w:pPr>
              <w:spacing w:after="60" w:before="40"/>
            </w:pPr>
            <w:r>
              <w:rPr>
                <w:sz w:val="19"/>
              </w:rPr>
              <w:t>Foodborne/toxic risk; appearances/smell cannot prove safety</w:t>
            </w:r>
          </w:p>
        </w:tc>
        <w:tc>
          <w:tcPr>
            <w:tcW w:type="dxa" w:w="3346"/>
          </w:tcPr>
          <w:p>
            <w:pPr>
              <w:spacing w:after="60" w:before="40"/>
            </w:pPr>
            <w:r>
              <w:rPr>
                <w:sz w:val="19"/>
              </w:rPr>
              <w:t xml:space="preserve">Reject questionable batch; toxin/exposure symptoms prompt veterinary advice. </w:t>
            </w:r>
            <w:hyperlink r:id="rId30">
              <w:r>
                <w:rPr>
                  <w:color w:val="165D67"/>
                  <w:u w:val="single"/>
                </w:rPr>
                <w:t>FDA dangerous items</w:t>
              </w:r>
            </w:hyperlink>
          </w:p>
        </w:tc>
      </w:tr>
      <w:tr>
        <w:tc>
          <w:tcPr>
            <w:tcW w:type="dxa" w:w="3346"/>
          </w:tcPr>
          <w:p>
            <w:pPr>
              <w:spacing w:after="60" w:before="40"/>
            </w:pPr>
            <w:r>
              <w:rPr>
                <w:sz w:val="19"/>
              </w:rPr>
              <w:t>High-salt/fat scraps and unknown seasonings</w:t>
            </w:r>
          </w:p>
        </w:tc>
        <w:tc>
          <w:tcPr>
            <w:tcW w:type="dxa" w:w="3346"/>
          </w:tcPr>
          <w:p>
            <w:pPr>
              <w:spacing w:after="60" w:before="40"/>
            </w:pPr>
            <w:r>
              <w:rPr>
                <w:sz w:val="19"/>
              </w:rPr>
              <w:t>Unsuitable/uncharacterized ration; patient-dependent risks; not every fat or salt-containing ingredient is intrinsically a poison</w:t>
            </w:r>
          </w:p>
        </w:tc>
        <w:tc>
          <w:tcPr>
            <w:tcW w:type="dxa" w:w="3346"/>
          </w:tcPr>
          <w:p>
            <w:pPr>
              <w:spacing w:after="60" w:before="40"/>
            </w:pPr>
            <w:r>
              <w:rPr>
                <w:sz w:val="19"/>
              </w:rPr>
              <w:t>Exclude uncharacterized scraps; known clinical restrictions require review; no universal safe tablespoon or sodium exposure cutoff</w:t>
            </w:r>
          </w:p>
        </w:tc>
      </w:tr>
      <w:tr>
        <w:tc>
          <w:tcPr>
            <w:tcW w:type="dxa" w:w="3346"/>
          </w:tcPr>
          <w:p>
            <w:pPr>
              <w:spacing w:after="60" w:before="40"/>
            </w:pPr>
            <w:r>
              <w:rPr>
                <w:sz w:val="19"/>
              </w:rPr>
              <w:t>Supplement overdose</w:t>
            </w:r>
          </w:p>
        </w:tc>
        <w:tc>
          <w:tcPr>
            <w:tcW w:type="dxa" w:w="3346"/>
          </w:tcPr>
          <w:p>
            <w:pPr>
              <w:spacing w:after="60" w:before="40"/>
            </w:pPr>
            <w:r>
              <w:rPr>
                <w:sz w:val="19"/>
              </w:rPr>
              <w:t>Vitamins/minerals and chemical forms can exceed limits; concentration varies</w:t>
            </w:r>
          </w:p>
        </w:tc>
        <w:tc>
          <w:tcPr>
            <w:tcW w:type="dxa" w:w="3346"/>
          </w:tcPr>
          <w:p>
            <w:pPr>
              <w:spacing w:after="60" w:before="40"/>
            </w:pPr>
            <w:r>
              <w:rPr>
                <w:sz w:val="19"/>
              </w:rPr>
              <w:t>Require exact dose and composition; suspected overdose →vet; cannot reduce a food portion to erase nutrient toxicity</w:t>
            </w:r>
          </w:p>
        </w:tc>
      </w:tr>
    </w:tbl>
    <w:p>
      <w:pPr>
        <w:spacing w:after="0"/>
      </w:pPr>
    </w:p>
    <w:p>
      <w:pPr>
        <w:pStyle w:val="Heading2"/>
      </w:pPr>
      <w:r>
        <w:t>11.3 Handling in a hot, humid setting</w:t>
      </w:r>
    </w:p>
    <w:p>
      <w:r>
        <w:t xml:space="preserve">PAGASA describes broad dry </w:t>
      </w:r>
      <w:r>
        <w:rPr>
          <w:b/>
        </w:rPr>
        <w:t>December–May</w:t>
      </w:r>
      <w:r>
        <w:t xml:space="preserve"> and rainy </w:t>
      </w:r>
      <w:r>
        <w:rPr>
          <w:b/>
        </w:rPr>
        <w:t>June–November</w:t>
      </w:r>
      <w:r>
        <w:t xml:space="preserve"> seasons, with regional/altitude differences. Local measured heat affects storage decisions; the app must not automatically lower calories 5–10% because the location is the Philippines. </w:t>
      </w:r>
      <w:hyperlink r:id="rId26">
        <w:r>
          <w:rPr>
            <w:color w:val="165D67"/>
            <w:u w:val="single"/>
          </w:rPr>
          <w:t>PAGASA climate</w:t>
        </w:r>
      </w:hyperlink>
      <w:r>
        <w:t>.</w:t>
      </w:r>
    </w:p>
    <w:p>
      <w:r>
        <w:t xml:space="preserve">Use clean utensils and separate raw-food surfaces. Cook poultry to </w:t>
      </w:r>
      <w:r>
        <w:rPr>
          <w:b/>
        </w:rPr>
        <w:t xml:space="preserve"> 74°C</w:t>
      </w:r>
      <w:r>
        <w:t xml:space="preserve">, fish to </w:t>
      </w:r>
      <w:r>
        <w:rPr>
          <w:b/>
        </w:rPr>
        <w:t xml:space="preserve"> 63°C</w:t>
      </w:r>
      <w:r>
        <w:t xml:space="preserve">, ground meat to </w:t>
      </w:r>
      <w:r>
        <w:rPr>
          <w:b/>
        </w:rPr>
        <w:t xml:space="preserve"> 71°C</w:t>
      </w:r>
      <w:r>
        <w:t xml:space="preserve">, and egg dishes to </w:t>
      </w:r>
      <w:r>
        <w:rPr>
          <w:b/>
        </w:rPr>
        <w:t xml:space="preserve"> 71°C</w:t>
      </w:r>
      <w:r>
        <w:t xml:space="preserve">; eggs' whites/yolks should be firm. Reheat suitable cooked leftovers to </w:t>
      </w:r>
      <w:r>
        <w:rPr>
          <w:b/>
        </w:rPr>
        <w:t xml:space="preserve"> 74°C</w:t>
      </w:r>
      <w:r>
        <w:t xml:space="preserve"> using a food thermometer. These food-safety temperatures do not establish nutritional completeness or remove chemical toxins/bones. </w:t>
      </w:r>
      <w:hyperlink r:id="rId54">
        <w:r>
          <w:rPr>
            <w:color w:val="165D67"/>
            <w:u w:val="single"/>
          </w:rPr>
          <w:t>Official temperature chart, reviewed 21 November 2024</w:t>
        </w:r>
      </w:hyperlink>
      <w:r>
        <w:t>.</w:t>
      </w:r>
    </w:p>
    <w:p>
      <w:r>
        <w:t xml:space="preserve">Perishable prepared food must not remain unrefrigerated beyond </w:t>
      </w:r>
      <w:r>
        <w:rPr>
          <w:b/>
        </w:rPr>
        <w:t xml:space="preserve"> 2 hours</w:t>
      </w:r>
      <w:r>
        <w:t xml:space="preserve">, or </w:t>
      </w:r>
      <w:r>
        <w:rPr>
          <w:b/>
        </w:rPr>
        <w:t xml:space="preserve"> 1 hour above 32.2°C (90°F)</w:t>
      </w:r>
      <w:r>
        <w:t xml:space="preserve">; use a stricter product instruction where present. Refrigerate promptly in shallow covered containers; refrigerator target </w:t>
      </w:r>
      <w:r>
        <w:rPr>
          <w:b/>
        </w:rPr>
        <w:t>≤4°C</w:t>
      </w:r>
      <w:r>
        <w:t xml:space="preserve"> is a conservative operational choice within the official ≤40°F limit. Properly handled general cooked leftovers have a </w:t>
      </w:r>
      <w:r>
        <w:rPr>
          <w:b/>
        </w:rPr>
        <w:t xml:space="preserve"> 3–4-day</w:t>
      </w:r>
      <w:r>
        <w:t xml:space="preserve"> refrigerated window, subject to shorter ingredient/product directions; an unknown time/temperature history means discard. This is not a guarantee for every recipe or contaminated batch. </w:t>
      </w:r>
      <w:hyperlink r:id="rId27">
        <w:r>
          <w:rPr>
            <w:color w:val="165D67"/>
            <w:u w:val="single"/>
          </w:rPr>
          <w:t>USDA leftovers</w:t>
        </w:r>
      </w:hyperlink>
      <w:r>
        <w:t xml:space="preserve">, </w:t>
      </w:r>
      <w:hyperlink r:id="rId55">
        <w:r>
          <w:rPr>
            <w:color w:val="165D67"/>
            <w:u w:val="single"/>
          </w:rPr>
          <w:t>USDA two-hour rule</w:t>
        </w:r>
      </w:hyperlink>
      <w:r>
        <w:t>.</w:t>
      </w:r>
    </w:p>
    <w:p>
      <w:r>
        <w:t xml:space="preserve">Retain dry food in its original closed bag for lot/expiry identification, inside a clean suitable container if needed; keep cool/dry and follow its label. Promptly cover/refrigerate unused canned food, wash bowls/utensils and discard spoiled food. A sealed container cannot make hot damp food safe. </w:t>
      </w:r>
      <w:hyperlink r:id="rId28">
        <w:r>
          <w:rPr>
            <w:color w:val="165D67"/>
            <w:u w:val="single"/>
          </w:rPr>
          <w:t>FDA handling/storage</w:t>
        </w:r>
      </w:hyperlink>
      <w:r>
        <w:t>. Proposed UI fields: prepared/opened time, stored temperature, use-by instruction, batch ID and discard flag. They are reminders, not microbial testing. Heat-related collapse or marked appetite change needs veterinary attention, rather than calorie reduction to conceal it.</w:t>
      </w:r>
    </w:p>
    <w:p>
      <w:bookmarkStart w:id="12" w:name="section_12"/>
      <w:pPr>
        <w:pStyle w:val="Heading1"/>
      </w:pPr>
      <w:r>
        <w:t>12. Commercial and Homemade Diets</w:t>
      </w:r>
      <w:bookmarkEnd w:id="12"/>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Feeding type</w:t>
            </w:r>
          </w:p>
        </w:tc>
        <w:tc>
          <w:tcPr>
            <w:tcW w:type="dxa" w:w="3346"/>
            <w:shd w:fill="154F59"/>
          </w:tcPr>
          <w:p>
            <w:pPr>
              <w:spacing w:after="60" w:before="40"/>
            </w:pPr>
            <w:r>
              <w:rPr>
                <w:b/>
                <w:color w:val="FFFFFF"/>
                <w:sz w:val="19"/>
              </w:rPr>
              <w:t>Evidence needed</w:t>
            </w:r>
          </w:p>
        </w:tc>
        <w:tc>
          <w:tcPr>
            <w:tcW w:type="dxa" w:w="3346"/>
            <w:shd w:fill="154F59"/>
          </w:tcPr>
          <w:p>
            <w:pPr>
              <w:spacing w:after="60" w:before="40"/>
            </w:pPr>
            <w:r>
              <w:rPr>
                <w:b/>
                <w:color w:val="FFFFFF"/>
                <w:sz w:val="19"/>
              </w:rPr>
              <w:t>Allowed assessment/limitations</w:t>
            </w:r>
          </w:p>
        </w:tc>
      </w:tr>
      <w:tr>
        <w:tc>
          <w:tcPr>
            <w:tcW w:type="dxa" w:w="3346"/>
          </w:tcPr>
          <w:p>
            <w:pPr>
              <w:spacing w:after="60" w:before="40"/>
            </w:pPr>
            <w:r>
              <w:rPr>
                <w:sz w:val="19"/>
              </w:rPr>
              <w:t>Complete commercial</w:t>
            </w:r>
          </w:p>
        </w:tc>
        <w:tc>
          <w:tcPr>
            <w:tcW w:type="dxa" w:w="3346"/>
          </w:tcPr>
          <w:p>
            <w:pPr>
              <w:spacing w:after="60" w:before="40"/>
            </w:pPr>
            <w:r>
              <w:rPr>
                <w:sz w:val="19"/>
              </w:rPr>
              <w:t>Exact dog product, relevant adequacy statement/life stage, ME, label provenance and recall status</w:t>
            </w:r>
          </w:p>
        </w:tc>
        <w:tc>
          <w:tcPr>
            <w:tcW w:type="dxa" w:w="3346"/>
          </w:tcPr>
          <w:p>
            <w:pPr>
              <w:spacing w:after="60" w:before="40"/>
            </w:pPr>
            <w:r>
              <w:rPr>
                <w:sz w:val="19"/>
              </w:rPr>
              <w:t>Label-supported portion plan; disclose that Vetify did not independently test every nutrient</w:t>
            </w:r>
          </w:p>
        </w:tc>
      </w:tr>
      <w:tr>
        <w:tc>
          <w:tcPr>
            <w:tcW w:type="dxa" w:w="3346"/>
          </w:tcPr>
          <w:p>
            <w:pPr>
              <w:spacing w:after="60" w:before="40"/>
            </w:pPr>
            <w:r>
              <w:rPr>
                <w:sz w:val="19"/>
              </w:rPr>
              <w:t>Complementary/intermittent/treat</w:t>
            </w:r>
          </w:p>
        </w:tc>
        <w:tc>
          <w:tcPr>
            <w:tcW w:type="dxa" w:w="3346"/>
          </w:tcPr>
          <w:p>
            <w:pPr>
              <w:spacing w:after="60" w:before="40"/>
            </w:pPr>
            <w:r>
              <w:rPr>
                <w:sz w:val="19"/>
              </w:rPr>
              <w:t>Exact calories/ingredients and known restrictions</w:t>
            </w:r>
          </w:p>
        </w:tc>
        <w:tc>
          <w:tcPr>
            <w:tcW w:type="dxa" w:w="3346"/>
          </w:tcPr>
          <w:p>
            <w:pPr>
              <w:spacing w:after="60" w:before="40"/>
            </w:pPr>
            <w:r>
              <w:rPr>
                <w:sz w:val="19"/>
              </w:rPr>
              <w:t>Extra, not sole ration; no inference that the word “premium” means complete</w:t>
            </w:r>
          </w:p>
        </w:tc>
      </w:tr>
      <w:tr>
        <w:tc>
          <w:tcPr>
            <w:tcW w:type="dxa" w:w="3346"/>
          </w:tcPr>
          <w:p>
            <w:pPr>
              <w:spacing w:after="60" w:before="40"/>
            </w:pPr>
            <w:r>
              <w:rPr>
                <w:sz w:val="19"/>
              </w:rPr>
              <w:t>Cooked homemade</w:t>
            </w:r>
          </w:p>
        </w:tc>
        <w:tc>
          <w:tcPr>
            <w:tcW w:type="dxa" w:w="3346"/>
          </w:tcPr>
          <w:p>
            <w:pPr>
              <w:spacing w:after="60" w:before="40"/>
            </w:pPr>
            <w:r>
              <w:rPr>
                <w:sz w:val="19"/>
              </w:rPr>
              <w:t>Recipe-specific ingredient/premix amounts, cooked state, yield/retention, complete nutrient coverage, bioavailability and qualified formulation review</w:t>
            </w:r>
          </w:p>
        </w:tc>
        <w:tc>
          <w:tcPr>
            <w:tcW w:type="dxa" w:w="3346"/>
          </w:tcPr>
          <w:p>
            <w:pPr>
              <w:spacing w:after="60" w:before="40"/>
            </w:pPr>
            <w:r>
              <w:rPr>
                <w:sz w:val="19"/>
              </w:rPr>
              <w:t>Computed checks plus review; no auto-generation until data and validation gates pass</w:t>
            </w:r>
          </w:p>
        </w:tc>
      </w:tr>
      <w:tr>
        <w:tc>
          <w:tcPr>
            <w:tcW w:type="dxa" w:w="3346"/>
          </w:tcPr>
          <w:p>
            <w:pPr>
              <w:spacing w:after="60" w:before="40"/>
            </w:pPr>
            <w:r>
              <w:rPr>
                <w:sz w:val="19"/>
              </w:rPr>
              <w:t>Raw</w:t>
            </w:r>
          </w:p>
        </w:tc>
        <w:tc>
          <w:tcPr>
            <w:tcW w:type="dxa" w:w="3346"/>
          </w:tcPr>
          <w:p>
            <w:pPr>
              <w:spacing w:after="60" w:before="40"/>
            </w:pPr>
            <w:r>
              <w:rPr>
                <w:sz w:val="19"/>
              </w:rPr>
              <w:t>Nutritional evidence plus significant infectious/physical concerns</w:t>
            </w:r>
          </w:p>
        </w:tc>
        <w:tc>
          <w:tcPr>
            <w:tcW w:type="dxa" w:w="3346"/>
          </w:tcPr>
          <w:p>
            <w:pPr>
              <w:spacing w:after="60" w:before="40"/>
            </w:pPr>
            <w:r>
              <w:rPr>
                <w:sz w:val="19"/>
              </w:rPr>
              <w:t>No recommendation/generation; complete nutrient arithmetic does not remove pathogen risk</w:t>
            </w:r>
          </w:p>
        </w:tc>
      </w:tr>
      <w:tr>
        <w:tc>
          <w:tcPr>
            <w:tcW w:type="dxa" w:w="3346"/>
          </w:tcPr>
          <w:p>
            <w:pPr>
              <w:spacing w:after="60" w:before="40"/>
            </w:pPr>
            <w:r>
              <w:rPr>
                <w:sz w:val="19"/>
              </w:rPr>
              <w:t>Mixed</w:t>
            </w:r>
          </w:p>
        </w:tc>
        <w:tc>
          <w:tcPr>
            <w:tcW w:type="dxa" w:w="3346"/>
          </w:tcPr>
          <w:p>
            <w:pPr>
              <w:spacing w:after="60" w:before="40"/>
            </w:pPr>
            <w:r>
              <w:rPr>
                <w:sz w:val="19"/>
              </w:rPr>
              <w:t>All items identified, calorie allocations, adequacy path and patient eligibility</w:t>
            </w:r>
          </w:p>
        </w:tc>
        <w:tc>
          <w:tcPr>
            <w:tcW w:type="dxa" w:w="3346"/>
          </w:tcPr>
          <w:p>
            <w:pPr>
              <w:spacing w:after="60" w:before="40"/>
            </w:pPr>
            <w:r>
              <w:rPr>
                <w:sz w:val="19"/>
              </w:rPr>
              <w:t>Complete commercial combinations may support an appropriate label-based plan; homemade fractions/supplements need separate evidence; avoid blanket completeness claims</w:t>
            </w:r>
          </w:p>
        </w:tc>
      </w:tr>
    </w:tbl>
    <w:p>
      <w:pPr>
        <w:spacing w:after="0"/>
      </w:pPr>
    </w:p>
    <w:p>
      <w:r>
        <w:t xml:space="preserve">Commercial claims depend on the declared standard, purpose and life stage; feeding-test evidence and formulation-profile evidence are different routes. “All life stages” is not a senior-specific therapeutic prescription. Marketing terms, an ingredient list, cost or the presence/absence of grain cannot replace adequacy/manufacturer evidence. </w:t>
      </w:r>
      <w:hyperlink r:id="rId13">
        <w:r>
          <w:rPr>
            <w:color w:val="165D67"/>
            <w:u w:val="single"/>
          </w:rPr>
          <w:t>FDA nutritional adequacy</w:t>
        </w:r>
      </w:hyperlink>
      <w:r>
        <w:t xml:space="preserve">, </w:t>
      </w:r>
      <w:hyperlink r:id="rId43">
        <w:r>
          <w:rPr>
            <w:color w:val="165D67"/>
            <w:u w:val="single"/>
          </w:rPr>
          <w:t>WSAVA selection guidance</w:t>
        </w:r>
      </w:hyperlink>
      <w:r>
        <w:t>.</w:t>
      </w:r>
    </w:p>
    <w:p>
      <w:r>
        <w:t xml:space="preserve">Home-prepared variety does not ensure adequate calcium, trace nutrients, AA or FA. Adding a generic multivitamin or eggshell does not establish balance and may create excess. UC Davis evaluated 200 recipes from 34 sources and found substantial nutritional problems; its research supports qualified formulation, not a universal recipe. </w:t>
      </w:r>
      <w:hyperlink r:id="rId45">
        <w:r>
          <w:rPr>
            <w:color w:val="165D67"/>
            <w:u w:val="single"/>
          </w:rPr>
          <w:t>UC Davis 2013 study report</w:t>
        </w:r>
      </w:hyperlink>
      <w:r>
        <w:t>. Require a validated exact premix/dose; omitted oil, liver, mineral or replacement meat changes a reviewed recipe. A plan that is calorie-sufficient but calcium-deficient is a failure, even if visually varied.</w:t>
      </w:r>
    </w:p>
    <w:p>
      <w:r>
        <w:rPr>
          <w:b/>
        </w:rPr>
        <w:t>Commercial validation path:</w:t>
      </w:r>
      <w:r>
        <w:t xml:space="preserve"> label evidence suitable for this dog →safety/health screens →ME and ledger →portions →label-supported status. </w:t>
      </w:r>
      <w:r>
        <w:rPr>
          <w:b/>
        </w:rPr>
        <w:t>Formulated-recipe path:</w:t>
      </w:r>
      <w:r>
        <w:t xml:space="preserve"> complete typed data →actual-ration nutrient totals/densities →all minima/ratios/maxima and forms →availability/processing review →signed formulation approval. Unknown required rows return </w:t>
      </w:r>
      <w:r>
        <w:rPr>
          <w:rFonts w:ascii="Consolas" w:hAnsi="Consolas"/>
          <w:sz w:val="18"/>
        </w:rPr>
        <w:t>INDETERMINATE</w:t>
      </w:r>
      <w:r>
        <w:t>, not “balanced.” A 90%-complete-food rule for extras is a practical feeding guardrail, not proof every resulting nutrient concentration passes the full mathematical profile.</w:t>
      </w:r>
    </w:p>
    <w:p>
      <w:bookmarkStart w:id="13" w:name="section_13"/>
      <w:pPr>
        <w:pStyle w:val="Heading1"/>
      </w:pPr>
      <w:r>
        <w:t>13. Portion and Meal Distribution</w:t>
      </w:r>
      <w:bookmarkEnd w:id="13"/>
    </w:p>
    <w:p>
      <w:pPr>
        <w:pStyle w:val="Heading2"/>
      </w:pPr>
      <w:r>
        <w:t>13.1 Calorie ledger</w:t>
      </w:r>
    </w:p>
    <w:p>
      <w:pPr>
        <w:spacing w:after="0" w:line="240" w:lineRule="auto"/>
        <w:shd w:fill="F2F5F5"/>
      </w:pPr>
      <w:r>
        <w:rPr>
          <w:rFonts w:ascii="Consolas" w:hAnsi="Consolas"/>
          <w:sz w:val="17"/>
        </w:rPr>
        <w:t>E_target = selected daily energy</w:t>
      </w:r>
    </w:p>
    <w:p>
      <w:pPr>
        <w:spacing w:after="0" w:line="240" w:lineRule="auto"/>
        <w:shd w:fill="F2F5F5"/>
      </w:pPr>
      <w:r>
        <w:rPr>
          <w:rFonts w:ascii="Consolas" w:hAnsi="Consolas"/>
          <w:sz w:val="17"/>
        </w:rPr>
        <w:t>E_extras = sum(treats + toppers + caloric supplements + medication foods)</w:t>
      </w:r>
    </w:p>
    <w:p>
      <w:pPr>
        <w:spacing w:after="0" w:line="240" w:lineRule="auto"/>
        <w:shd w:fill="F2F5F5"/>
      </w:pPr>
      <w:r>
        <w:rPr>
          <w:rFonts w:ascii="Consolas" w:hAnsi="Consolas"/>
          <w:sz w:val="17"/>
        </w:rPr>
        <w:t>E_primary = E_target − E_extras</w:t>
      </w:r>
    </w:p>
    <w:p>
      <w:pPr>
        <w:spacing w:after="0" w:line="240" w:lineRule="auto"/>
        <w:shd w:fill="F2F5F5"/>
      </w:pPr>
      <w:r>
        <w:rPr>
          <w:rFonts w:ascii="Consolas" w:hAnsi="Consolas"/>
          <w:sz w:val="17"/>
        </w:rPr>
        <w:t>food_i_kcal = E_primary × allocation_i</w:t>
      </w:r>
    </w:p>
    <w:p>
      <w:pPr>
        <w:spacing w:after="0" w:line="240" w:lineRule="auto"/>
        <w:shd w:fill="F2F5F5"/>
      </w:pPr>
      <w:r>
        <w:rPr>
          <w:rFonts w:ascii="Consolas" w:hAnsi="Consolas"/>
          <w:sz w:val="17"/>
        </w:rPr>
        <w:t>grams_i = food_i_kcal / exact_food_i_kcal_per_gram</w:t>
      </w:r>
    </w:p>
    <w:p>
      <w:pPr>
        <w:spacing w:after="0" w:line="240" w:lineRule="auto"/>
        <w:shd w:fill="F2F5F5"/>
      </w:pPr>
      <w:r>
        <w:rPr>
          <w:rFonts w:ascii="Consolas" w:hAnsi="Consolas"/>
          <w:sz w:val="17"/>
        </w:rPr>
        <w:t>sum(allocation_i) = 1; all allocations ≥0</w:t>
      </w:r>
    </w:p>
    <w:p>
      <w:r>
        <w:t xml:space="preserve">Each intake item has a unique ledger ID and exactly one role. A fish-oil supplement contributes energy once and nutrients once; a topper cannot also appear as a second treat line. Explicitly validate </w:t>
      </w:r>
      <w:r>
        <w:rPr>
          <w:rFonts w:ascii="Consolas" w:hAnsi="Consolas"/>
          <w:sz w:val="18"/>
        </w:rPr>
        <w:t>0≤E_extras&lt;E_target</w:t>
      </w:r>
      <w:r>
        <w:t xml:space="preserve">, identified energy, suitable foods and a workable primary ration. For an ordinary label-supported plan, extras should be </w:t>
      </w:r>
      <w:r>
        <w:rPr>
          <w:b/>
        </w:rPr>
        <w:t>≤10% of target energy</w:t>
      </w:r>
      <w:r>
        <w:t xml:space="preserve">, with primary complete food ≥90%. Clinical plans can require stricter rules. </w:t>
      </w:r>
      <w:hyperlink r:id="rId22">
        <w:r>
          <w:rPr>
            <w:color w:val="165D67"/>
            <w:u w:val="single"/>
          </w:rPr>
          <w:t>AAHA healthy feeding plans</w:t>
        </w:r>
      </w:hyperlink>
      <w:r>
        <w:t>.</w:t>
      </w:r>
    </w:p>
    <w:p>
      <w:pPr>
        <w:pStyle w:val="Heading2"/>
      </w:pPr>
      <w:r>
        <w:t>13.2 Worked portion examples</w:t>
      </w:r>
    </w:p>
    <w:p>
      <w:r>
        <w:t xml:space="preserve">Use the 10 kg neutered example at </w:t>
      </w:r>
      <w:r>
        <w:rPr>
          <w:b/>
        </w:rPr>
        <w:t xml:space="preserve"> 629.822284 kcal/day</w:t>
      </w:r>
      <w:r>
        <w:t>:</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Scenario</w:t>
            </w:r>
          </w:p>
        </w:tc>
        <w:tc>
          <w:tcPr>
            <w:tcW w:type="dxa" w:w="3346"/>
            <w:shd w:fill="154F59"/>
          </w:tcPr>
          <w:p>
            <w:pPr>
              <w:spacing w:after="60" w:before="40"/>
            </w:pPr>
            <w:r>
              <w:rPr>
                <w:b/>
                <w:color w:val="FFFFFF"/>
                <w:sz w:val="19"/>
              </w:rPr>
              <w:t>Calculation</w:t>
            </w:r>
          </w:p>
        </w:tc>
        <w:tc>
          <w:tcPr>
            <w:tcW w:type="dxa" w:w="3346"/>
            <w:shd w:fill="154F59"/>
          </w:tcPr>
          <w:p>
            <w:pPr>
              <w:spacing w:after="60" w:before="40"/>
            </w:pPr>
            <w:r>
              <w:rPr>
                <w:b/>
                <w:color w:val="FFFFFF"/>
                <w:sz w:val="19"/>
              </w:rPr>
              <w:t>Result</w:t>
            </w:r>
          </w:p>
        </w:tc>
      </w:tr>
      <w:tr>
        <w:tc>
          <w:tcPr>
            <w:tcW w:type="dxa" w:w="3346"/>
          </w:tcPr>
          <w:p>
            <w:pPr>
              <w:spacing w:after="60" w:before="40"/>
            </w:pPr>
            <w:r>
              <w:rPr>
                <w:sz w:val="19"/>
              </w:rPr>
              <w:t>Dry only</w:t>
            </w:r>
          </w:p>
        </w:tc>
        <w:tc>
          <w:tcPr>
            <w:tcW w:type="dxa" w:w="3346"/>
          </w:tcPr>
          <w:p>
            <w:pPr>
              <w:spacing w:after="60" w:before="40"/>
            </w:pPr>
            <w:r>
              <w:rPr>
                <w:rFonts w:ascii="Consolas" w:hAnsi="Consolas"/>
                <w:sz w:val="19"/>
              </w:rPr>
              <w:t>629.822284/3.7</w:t>
            </w:r>
          </w:p>
        </w:tc>
        <w:tc>
          <w:tcPr>
            <w:tcW w:type="dxa" w:w="3346"/>
          </w:tcPr>
          <w:p>
            <w:pPr>
              <w:spacing w:after="60" w:before="40"/>
            </w:pPr>
            <w:r>
              <w:rPr>
                <w:sz w:val="19"/>
              </w:rPr>
              <w:t>170.222239 g/day →170.2 g</w:t>
            </w:r>
          </w:p>
        </w:tc>
      </w:tr>
      <w:tr>
        <w:tc>
          <w:tcPr>
            <w:tcW w:type="dxa" w:w="3346"/>
          </w:tcPr>
          <w:p>
            <w:pPr>
              <w:spacing w:after="60" w:before="40"/>
            </w:pPr>
            <w:r>
              <w:rPr>
                <w:sz w:val="19"/>
              </w:rPr>
              <w:t>Wet only</w:t>
            </w:r>
          </w:p>
        </w:tc>
        <w:tc>
          <w:tcPr>
            <w:tcW w:type="dxa" w:w="3346"/>
          </w:tcPr>
          <w:p>
            <w:pPr>
              <w:spacing w:after="60" w:before="40"/>
            </w:pPr>
            <w:r>
              <w:rPr>
                <w:rFonts w:ascii="Consolas" w:hAnsi="Consolas"/>
                <w:sz w:val="19"/>
              </w:rPr>
              <w:t>629.822284/0.9</w:t>
            </w:r>
          </w:p>
        </w:tc>
        <w:tc>
          <w:tcPr>
            <w:tcW w:type="dxa" w:w="3346"/>
          </w:tcPr>
          <w:p>
            <w:pPr>
              <w:spacing w:after="60" w:before="40"/>
            </w:pPr>
            <w:r>
              <w:rPr>
                <w:sz w:val="19"/>
              </w:rPr>
              <w:t>699.802538 g/day →699.8 g</w:t>
            </w:r>
          </w:p>
        </w:tc>
      </w:tr>
      <w:tr>
        <w:tc>
          <w:tcPr>
            <w:tcW w:type="dxa" w:w="3346"/>
          </w:tcPr>
          <w:p>
            <w:pPr>
              <w:spacing w:after="60" w:before="40"/>
            </w:pPr>
            <w:r>
              <w:rPr>
                <w:sz w:val="19"/>
              </w:rPr>
              <w:t>Extras at exactly 10%</w:t>
            </w:r>
          </w:p>
        </w:tc>
        <w:tc>
          <w:tcPr>
            <w:tcW w:type="dxa" w:w="3346"/>
          </w:tcPr>
          <w:p>
            <w:pPr>
              <w:spacing w:after="60" w:before="40"/>
            </w:pPr>
            <w:r>
              <w:rPr>
                <w:sz w:val="19"/>
              </w:rPr>
              <w:t xml:space="preserve">Extras 62.982228 kcal; primary 566.840056 kcal; </w:t>
            </w:r>
            <w:r>
              <w:rPr>
                <w:rFonts w:ascii="Consolas" w:hAnsi="Consolas"/>
                <w:sz w:val="19"/>
              </w:rPr>
              <w:t>/3.7</w:t>
            </w:r>
          </w:p>
        </w:tc>
        <w:tc>
          <w:tcPr>
            <w:tcW w:type="dxa" w:w="3346"/>
          </w:tcPr>
          <w:p>
            <w:pPr>
              <w:spacing w:after="60" w:before="40"/>
            </w:pPr>
            <w:r>
              <w:rPr>
                <w:sz w:val="19"/>
              </w:rPr>
              <w:t>153.200015 g dry/day →153.2 g; extras separately measured</w:t>
            </w:r>
          </w:p>
        </w:tc>
      </w:tr>
      <w:tr>
        <w:tc>
          <w:tcPr>
            <w:tcW w:type="dxa" w:w="3346"/>
          </w:tcPr>
          <w:p>
            <w:pPr>
              <w:spacing w:after="60" w:before="40"/>
            </w:pPr>
            <w:r>
              <w:rPr>
                <w:sz w:val="19"/>
              </w:rPr>
              <w:t>40 kcal extras, primary 60% dry/40% wet</w:t>
            </w:r>
          </w:p>
        </w:tc>
        <w:tc>
          <w:tcPr>
            <w:tcW w:type="dxa" w:w="3346"/>
          </w:tcPr>
          <w:p>
            <w:pPr>
              <w:spacing w:after="60" w:before="40"/>
            </w:pPr>
            <w:r>
              <w:rPr>
                <w:sz w:val="19"/>
              </w:rPr>
              <w:t>Primary 589.822284; dry 353.893371/3.7; wet 235.928914/0.9</w:t>
            </w:r>
          </w:p>
        </w:tc>
        <w:tc>
          <w:tcPr>
            <w:tcW w:type="dxa" w:w="3346"/>
          </w:tcPr>
          <w:p>
            <w:pPr>
              <w:spacing w:after="60" w:before="40"/>
            </w:pPr>
            <w:r>
              <w:rPr>
                <w:sz w:val="19"/>
              </w:rPr>
              <w:t>Dry 95.646857 g +wet 262.143237 g; primary 589.822284 kcal +40 extras=629.822284 kcal</w:t>
            </w:r>
          </w:p>
        </w:tc>
      </w:tr>
      <w:tr>
        <w:tc>
          <w:tcPr>
            <w:tcW w:type="dxa" w:w="3346"/>
          </w:tcPr>
          <w:p>
            <w:pPr>
              <w:spacing w:after="60" w:before="40"/>
            </w:pPr>
            <w:r>
              <w:rPr>
                <w:sz w:val="19"/>
              </w:rPr>
              <w:t>Equal-calorie replacement</w:t>
            </w:r>
          </w:p>
        </w:tc>
        <w:tc>
          <w:tcPr>
            <w:tcW w:type="dxa" w:w="3346"/>
          </w:tcPr>
          <w:p>
            <w:pPr>
              <w:spacing w:after="60" w:before="40"/>
            </w:pPr>
            <w:r>
              <w:rPr>
                <w:sz w:val="19"/>
              </w:rPr>
              <w:t xml:space="preserve">Remove 10 g of 3.7 kcal/g dry →37 kcal; add </w:t>
            </w:r>
            <w:r>
              <w:rPr>
                <w:rFonts w:ascii="Consolas" w:hAnsi="Consolas"/>
                <w:sz w:val="19"/>
              </w:rPr>
              <w:t>37/0.9</w:t>
            </w:r>
            <w:r>
              <w:rPr>
                <w:sz w:val="19"/>
              </w:rPr>
              <w:t xml:space="preserve"> wet</w:t>
            </w:r>
          </w:p>
        </w:tc>
        <w:tc>
          <w:tcPr>
            <w:tcW w:type="dxa" w:w="3346"/>
          </w:tcPr>
          <w:p>
            <w:pPr>
              <w:spacing w:after="60" w:before="40"/>
            </w:pPr>
            <w:r>
              <w:rPr>
                <w:sz w:val="19"/>
              </w:rPr>
              <w:t>41.111111 g wet; equal energy does not establish equal nutrients/allergen suitability</w:t>
            </w:r>
          </w:p>
        </w:tc>
      </w:tr>
    </w:tbl>
    <w:p>
      <w:pPr>
        <w:spacing w:after="0"/>
      </w:pPr>
    </w:p>
    <w:p>
      <w:r>
        <w:t xml:space="preserve">The mixed example deliberately distinguishes quantities: display </w:t>
      </w:r>
      <w:r>
        <w:rPr>
          <w:b/>
        </w:rPr>
        <w:t xml:space="preserve"> 95.6 g dry and 262.1 g wet</w:t>
      </w:r>
      <w:r>
        <w:t>, not a single assumed density for 357.7 g of mixed food. Both products must be suitable; incomplete ingredient data cannot establish whole-ration computational adequacy. Labels/densities here are illustrative.</w:t>
      </w:r>
    </w:p>
    <w:p>
      <w:pPr>
        <w:pStyle w:val="Heading2"/>
      </w:pPr>
      <w:r>
        <w:t>13.3 Rounding, meals and kitchen yield</w:t>
      </w:r>
    </w:p>
    <w:p>
      <w:r>
        <w:rPr>
          <w:b/>
        </w:rPr>
        <w:t>Proposed deterministic display policy:</w:t>
      </w:r>
      <w:r>
        <w:t xml:space="preserve"> round each daily food grams to 0.1 g using decimal half-up; distribute the rounded total by recorded meal shares. For equal meals, floor each of the first </w:t>
      </w:r>
      <w:r>
        <w:rPr>
          <w:rFonts w:ascii="Consolas" w:hAnsi="Consolas"/>
          <w:sz w:val="18"/>
        </w:rPr>
        <w:t>n−1</w:t>
      </w:r>
      <w:r>
        <w:t xml:space="preserve"> shares to 0.1 g and assign the remaining quantity to the final meal. This guarantees nonnegative meals summing to the displayed daily amount. Recalculate actual displayed ration energy; very small doses requiring finer scales or an impractical final remainder need a finer approved resolution/review, not a forced zero-dose instruction. The examples use this policy, hence 148.9 g splits 74.4/74.5 g, and 467.8 g splits 116.9/116.9/116.9/117.1 g. Unequal meal shares must sum to 1 and obey any prescribed schedule.</w:t>
      </w:r>
    </w:p>
    <w:p>
      <w:r>
        <w:t xml:space="preserve">A display rounding tolerance is a product usability rule and must be published/reviewed; propose ≤1% target-energy deviation for ordinary portions, otherwise flag </w:t>
      </w:r>
      <w:r>
        <w:rPr>
          <w:rFonts w:ascii="Consolas" w:hAnsi="Consolas"/>
          <w:sz w:val="18"/>
        </w:rPr>
        <w:t>PORTION_RESOLUTION_UNSUITABLE</w:t>
      </w:r>
      <w:r>
        <w:t xml:space="preserve">. This tolerance cannot make nutrient failures pass. Compare nutrient </w:t>
      </w:r>
      <w:r>
        <w:rPr>
          <w:b/>
        </w:rPr>
        <w:t>concentrations in the actual ration</w:t>
      </w:r>
      <w:r>
        <w:t xml:space="preserve"> and ratio constraints using unrounded computed values from its displayed quantities; show target-derived daily comparison amounts separately. Clinical prescriptions may need different precision.</w:t>
      </w:r>
    </w:p>
    <w:p>
      <w:r>
        <w:t xml:space="preserve">Yield example: purchase 500 g at edible fraction 0.8 →400 g edible raw; measured cooked edible mass 300 g →yield 0.75. To obtain 150 g cooked requires 200 g edible raw, or 250 g purchased raw under that specific yield. Use the composition record for </w:t>
      </w:r>
      <w:r>
        <w:rPr>
          <w:b/>
        </w:rPr>
        <w:t>cooked food</w:t>
      </w:r>
      <w:r>
        <w:t xml:space="preserve"> at 150 g. Alternatively compute nutrient-retained batch totals from raw composition and nutrient-specific validated retention factors, then divide by measured final batch mass. Do not apply both methods; do not assume all nutrients retain 100% or that moisture loss creates nutrients. Batch gravy/oil retained or discarded needs explicit handling. Unvalidated yields/retentions prevent formulation approval.</w:t>
      </w:r>
    </w:p>
    <w:p>
      <w:r>
        <w:t>Substitution must rerun ingredient/allergen/clinical eligibility, composition coverage, energy, full nutrient constraints and review status. Equal grams and equal calories are insufficient. A reviewed recipe becomes unreviewed when an ingredient, premix, dose or cooking method changes materially.</w:t>
      </w:r>
    </w:p>
    <w:p>
      <w:bookmarkStart w:id="14" w:name="section_14"/>
      <w:pPr>
        <w:pStyle w:val="Heading1"/>
      </w:pPr>
      <w:r>
        <w:t>14. Breed, Activity, and Body Condition</w:t>
      </w:r>
      <w:bookmarkEnd w:id="14"/>
    </w:p>
    <w:p>
      <w:pPr>
        <w:pStyle w:val="Heading2"/>
      </w:pPr>
      <w:r>
        <w:t>14.1 Guide breed rules reviewed</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Guide concern</w:t>
            </w:r>
          </w:p>
        </w:tc>
        <w:tc>
          <w:tcPr>
            <w:tcW w:type="dxa" w:w="3346"/>
            <w:shd w:fill="154F59"/>
          </w:tcPr>
          <w:p>
            <w:pPr>
              <w:spacing w:after="60" w:before="40"/>
            </w:pPr>
            <w:r>
              <w:rPr>
                <w:b/>
                <w:color w:val="FFFFFF"/>
                <w:sz w:val="19"/>
              </w:rPr>
              <w:t>Evidence-based interpretation</w:t>
            </w:r>
          </w:p>
        </w:tc>
        <w:tc>
          <w:tcPr>
            <w:tcW w:type="dxa" w:w="3346"/>
            <w:shd w:fill="154F59"/>
          </w:tcPr>
          <w:p>
            <w:pPr>
              <w:spacing w:after="60" w:before="40"/>
            </w:pPr>
            <w:r>
              <w:rPr>
                <w:b/>
                <w:color w:val="FFFFFF"/>
                <w:sz w:val="19"/>
              </w:rPr>
              <w:t>Proposed behavior</w:t>
            </w:r>
          </w:p>
        </w:tc>
      </w:tr>
      <w:tr>
        <w:tc>
          <w:tcPr>
            <w:tcW w:type="dxa" w:w="3346"/>
          </w:tcPr>
          <w:p>
            <w:pPr>
              <w:spacing w:after="60" w:before="40"/>
            </w:pPr>
            <w:r>
              <w:rPr>
                <w:sz w:val="19"/>
              </w:rPr>
              <w:t>Chihuahua versus Shih Tzu weights</w:t>
            </w:r>
          </w:p>
        </w:tc>
        <w:tc>
          <w:tcPr>
            <w:tcW w:type="dxa" w:w="3346"/>
          </w:tcPr>
          <w:p>
            <w:pPr>
              <w:spacing w:after="60" w:before="40"/>
            </w:pPr>
            <w:r>
              <w:rPr>
                <w:sz w:val="19"/>
              </w:rPr>
              <w:t>Breed standards describe populations, not individual ideal mass; metabolic scaling already changes kcal/kg</w:t>
            </w:r>
          </w:p>
        </w:tc>
        <w:tc>
          <w:tcPr>
            <w:tcW w:type="dxa" w:w="3346"/>
          </w:tcPr>
          <w:p>
            <w:pPr>
              <w:spacing w:after="60" w:before="40"/>
            </w:pPr>
            <w:r>
              <w:rPr>
                <w:sz w:val="19"/>
              </w:rPr>
              <w:t>Retain descriptive context, remove rigid diagnostic weight caps. Confirm unusual measurement and BCS</w:t>
            </w:r>
          </w:p>
        </w:tc>
      </w:tr>
      <w:tr>
        <w:tc>
          <w:tcPr>
            <w:tcW w:type="dxa" w:w="3346"/>
          </w:tcPr>
          <w:p>
            <w:pPr>
              <w:spacing w:after="60" w:before="40"/>
            </w:pPr>
            <w:r>
              <w:rPr>
                <w:sz w:val="19"/>
              </w:rPr>
              <w:t>Toy puppy feeding/hypoglycemia</w:t>
            </w:r>
          </w:p>
        </w:tc>
        <w:tc>
          <w:tcPr>
            <w:tcW w:type="dxa" w:w="3346"/>
          </w:tcPr>
          <w:p>
            <w:pPr>
              <w:spacing w:after="60" w:before="40"/>
            </w:pPr>
            <w:r>
              <w:rPr>
                <w:sz w:val="19"/>
              </w:rPr>
              <w:t>Puppy size and feeding tolerance matter; weak or poorly feeding puppy needs care</w:t>
            </w:r>
          </w:p>
        </w:tc>
        <w:tc>
          <w:tcPr>
            <w:tcW w:type="dxa" w:w="3346"/>
          </w:tcPr>
          <w:p>
            <w:pPr>
              <w:spacing w:after="60" w:before="40"/>
            </w:pPr>
            <w:r>
              <w:rPr>
                <w:sz w:val="19"/>
              </w:rPr>
              <w:t>Supervised frequency, no automatic hypoglycemia diagnosis from breed</w:t>
            </w:r>
          </w:p>
        </w:tc>
      </w:tr>
      <w:tr>
        <w:tc>
          <w:tcPr>
            <w:tcW w:type="dxa" w:w="3346"/>
          </w:tcPr>
          <w:p>
            <w:pPr>
              <w:spacing w:after="60" w:before="40"/>
            </w:pPr>
            <w:r>
              <w:rPr>
                <w:sz w:val="19"/>
              </w:rPr>
              <w:t>Shih Tzu skin/urinary/flat-face concerns</w:t>
            </w:r>
          </w:p>
        </w:tc>
        <w:tc>
          <w:tcPr>
            <w:tcW w:type="dxa" w:w="3346"/>
          </w:tcPr>
          <w:p>
            <w:pPr>
              <w:spacing w:after="60" w:before="40"/>
            </w:pPr>
            <w:r>
              <w:rPr>
                <w:sz w:val="19"/>
              </w:rPr>
              <w:t>Risks are not proof of allergy, stones or disease</w:t>
            </w:r>
          </w:p>
        </w:tc>
        <w:tc>
          <w:tcPr>
            <w:tcW w:type="dxa" w:w="3346"/>
          </w:tcPr>
          <w:p>
            <w:pPr>
              <w:spacing w:after="60" w:before="40"/>
            </w:pPr>
            <w:r>
              <w:rPr>
                <w:sz w:val="19"/>
              </w:rPr>
              <w:t>Screen actual conditions and heat/feeding difficulty; no preset therapeutic ration</w:t>
            </w:r>
          </w:p>
        </w:tc>
      </w:tr>
      <w:tr>
        <w:tc>
          <w:tcPr>
            <w:tcW w:type="dxa" w:w="3346"/>
          </w:tcPr>
          <w:p>
            <w:pPr>
              <w:spacing w:after="60" w:before="40"/>
            </w:pPr>
            <w:r>
              <w:rPr>
                <w:sz w:val="19"/>
              </w:rPr>
              <w:t>Labrador/Beagle/Pug obesity</w:t>
            </w:r>
          </w:p>
        </w:tc>
        <w:tc>
          <w:tcPr>
            <w:tcW w:type="dxa" w:w="3346"/>
          </w:tcPr>
          <w:p>
            <w:pPr>
              <w:spacing w:after="60" w:before="40"/>
            </w:pPr>
            <w:r>
              <w:rPr>
                <w:sz w:val="19"/>
              </w:rPr>
              <w:t>Some breeds have increased obesity susceptibility; condition/intake still decisive</w:t>
            </w:r>
          </w:p>
        </w:tc>
        <w:tc>
          <w:tcPr>
            <w:tcW w:type="dxa" w:w="3346"/>
          </w:tcPr>
          <w:p>
            <w:pPr>
              <w:spacing w:after="60" w:before="40"/>
            </w:pPr>
            <w:r>
              <w:rPr>
                <w:sz w:val="19"/>
              </w:rPr>
              <w:t>Portion monitoring; do not prescribe low fat from breed alone</w:t>
            </w:r>
          </w:p>
        </w:tc>
      </w:tr>
      <w:tr>
        <w:tc>
          <w:tcPr>
            <w:tcW w:type="dxa" w:w="3346"/>
          </w:tcPr>
          <w:p>
            <w:pPr>
              <w:spacing w:after="60" w:before="40"/>
            </w:pPr>
            <w:r>
              <w:rPr>
                <w:sz w:val="19"/>
              </w:rPr>
              <w:t>Dachshund slimness/back risk</w:t>
            </w:r>
          </w:p>
        </w:tc>
        <w:tc>
          <w:tcPr>
            <w:tcW w:type="dxa" w:w="3346"/>
          </w:tcPr>
          <w:p>
            <w:pPr>
              <w:spacing w:after="60" w:before="40"/>
            </w:pPr>
            <w:r>
              <w:rPr>
                <w:sz w:val="19"/>
              </w:rPr>
              <w:t>Appropriate body condition is useful for all dogs</w:t>
            </w:r>
          </w:p>
        </w:tc>
        <w:tc>
          <w:tcPr>
            <w:tcW w:type="dxa" w:w="3346"/>
          </w:tcPr>
          <w:p>
            <w:pPr>
              <w:spacing w:after="60" w:before="40"/>
            </w:pPr>
            <w:r>
              <w:rPr>
                <w:sz w:val="19"/>
              </w:rPr>
              <w:t>BCS-based maintenance and clinician assessment, no automatic spine treatment</w:t>
            </w:r>
          </w:p>
        </w:tc>
      </w:tr>
      <w:tr>
        <w:tc>
          <w:tcPr>
            <w:tcW w:type="dxa" w:w="3346"/>
          </w:tcPr>
          <w:p>
            <w:pPr>
              <w:spacing w:after="60" w:before="40"/>
            </w:pPr>
            <w:r>
              <w:rPr>
                <w:sz w:val="19"/>
              </w:rPr>
              <w:t>Dalmatian purines</w:t>
            </w:r>
          </w:p>
        </w:tc>
        <w:tc>
          <w:tcPr>
            <w:tcW w:type="dxa" w:w="3346"/>
          </w:tcPr>
          <w:p>
            <w:pPr>
              <w:spacing w:after="60" w:before="40"/>
            </w:pPr>
            <w:r>
              <w:rPr>
                <w:sz w:val="19"/>
              </w:rPr>
              <w:t>Hyperuricosuria is genotype/individual dependent; low-urate lines and other affected breeds exist</w:t>
            </w:r>
          </w:p>
        </w:tc>
        <w:tc>
          <w:tcPr>
            <w:tcW w:type="dxa" w:w="3346"/>
          </w:tcPr>
          <w:p>
            <w:pPr>
              <w:spacing w:after="60" w:before="40"/>
            </w:pPr>
            <w:r>
              <w:rPr>
                <w:sz w:val="19"/>
              </w:rPr>
              <w:t xml:space="preserve">Ask about diagnosed urate/genetic history; no low-purine recipe merely from breed. </w:t>
            </w:r>
            <w:hyperlink r:id="rId56">
              <w:r>
                <w:rPr>
                  <w:color w:val="165D67"/>
                  <w:u w:val="single"/>
                </w:rPr>
                <w:t>UC Davis hyperuricosuria</w:t>
              </w:r>
            </w:hyperlink>
          </w:p>
        </w:tc>
      </w:tr>
      <w:tr>
        <w:tc>
          <w:tcPr>
            <w:tcW w:type="dxa" w:w="3346"/>
          </w:tcPr>
          <w:p>
            <w:pPr>
              <w:spacing w:after="60" w:before="40"/>
            </w:pPr>
            <w:r>
              <w:rPr>
                <w:sz w:val="19"/>
              </w:rPr>
              <w:t>Bedlington/West Highland copper</w:t>
            </w:r>
          </w:p>
        </w:tc>
        <w:tc>
          <w:tcPr>
            <w:tcW w:type="dxa" w:w="3346"/>
          </w:tcPr>
          <w:p>
            <w:pPr>
              <w:spacing w:after="60" w:before="40"/>
            </w:pPr>
            <w:r>
              <w:rPr>
                <w:sz w:val="19"/>
              </w:rPr>
              <w:t>Breed-associated copper disease can occur, with individual variation</w:t>
            </w:r>
          </w:p>
        </w:tc>
        <w:tc>
          <w:tcPr>
            <w:tcW w:type="dxa" w:w="3346"/>
          </w:tcPr>
          <w:p>
            <w:pPr>
              <w:spacing w:after="60" w:before="40"/>
            </w:pPr>
            <w:r>
              <w:rPr>
                <w:sz w:val="19"/>
              </w:rPr>
              <w:t xml:space="preserve">Clinical liver/copper assessment; no blanket copper deletion. </w:t>
            </w:r>
            <w:hyperlink r:id="rId57">
              <w:r>
                <w:rPr>
                  <w:color w:val="165D67"/>
                  <w:u w:val="single"/>
                </w:rPr>
                <w:t>Merck chronic hepatitis</w:t>
              </w:r>
            </w:hyperlink>
          </w:p>
        </w:tc>
      </w:tr>
      <w:tr>
        <w:tc>
          <w:tcPr>
            <w:tcW w:type="dxa" w:w="3346"/>
          </w:tcPr>
          <w:p>
            <w:pPr>
              <w:spacing w:after="60" w:before="40"/>
            </w:pPr>
            <w:r>
              <w:rPr>
                <w:sz w:val="19"/>
              </w:rPr>
              <w:t>Great Dane/giant bloat</w:t>
            </w:r>
          </w:p>
        </w:tc>
        <w:tc>
          <w:tcPr>
            <w:tcW w:type="dxa" w:w="3346"/>
          </w:tcPr>
          <w:p>
            <w:pPr>
              <w:spacing w:after="60" w:before="40"/>
            </w:pPr>
            <w:r>
              <w:rPr>
                <w:sz w:val="19"/>
              </w:rPr>
              <w:t>GDV is multifactorial and an emergency; calorie math does not prevent it</w:t>
            </w:r>
          </w:p>
        </w:tc>
        <w:tc>
          <w:tcPr>
            <w:tcW w:type="dxa" w:w="3346"/>
          </w:tcPr>
          <w:p>
            <w:pPr>
              <w:spacing w:after="60" w:before="40"/>
            </w:pPr>
            <w:r>
              <w:rPr>
                <w:sz w:val="19"/>
              </w:rPr>
              <w:t xml:space="preserve">Risk discussion, measured meal distribution and clinician guidance; no claimed universally safe exercise interval. </w:t>
            </w:r>
            <w:hyperlink r:id="rId58">
              <w:r>
                <w:rPr>
                  <w:color w:val="165D67"/>
                  <w:u w:val="single"/>
                </w:rPr>
                <w:t>ACVS GDV</w:t>
              </w:r>
            </w:hyperlink>
          </w:p>
        </w:tc>
      </w:tr>
      <w:tr>
        <w:tc>
          <w:tcPr>
            <w:tcW w:type="dxa" w:w="3346"/>
          </w:tcPr>
          <w:p>
            <w:pPr>
              <w:spacing w:after="60" w:before="40"/>
            </w:pPr>
            <w:r>
              <w:rPr>
                <w:sz w:val="19"/>
              </w:rPr>
              <w:t>Doberman/Golden cardiac/taurine</w:t>
            </w:r>
          </w:p>
        </w:tc>
        <w:tc>
          <w:tcPr>
            <w:tcW w:type="dxa" w:w="3346"/>
          </w:tcPr>
          <w:p>
            <w:pPr>
              <w:spacing w:after="60" w:before="40"/>
            </w:pPr>
            <w:r>
              <w:rPr>
                <w:sz w:val="19"/>
              </w:rPr>
              <w:t>Genetic and nutritional mechanisms differ; taurine/carnitine is not a universal preventive dose</w:t>
            </w:r>
          </w:p>
        </w:tc>
        <w:tc>
          <w:tcPr>
            <w:tcW w:type="dxa" w:w="3346"/>
          </w:tcPr>
          <w:p>
            <w:pPr>
              <w:spacing w:after="60" w:before="40"/>
            </w:pPr>
            <w:r>
              <w:rPr>
                <w:sz w:val="19"/>
              </w:rPr>
              <w:t xml:space="preserve">Cardiac history prompts assessment; no blanket supplements. </w:t>
            </w:r>
            <w:hyperlink r:id="rId59">
              <w:r>
                <w:rPr>
                  <w:color w:val="165D67"/>
                  <w:u w:val="single"/>
                </w:rPr>
                <w:t>FDA canine DCM questions</w:t>
              </w:r>
            </w:hyperlink>
          </w:p>
        </w:tc>
      </w:tr>
      <w:tr>
        <w:tc>
          <w:tcPr>
            <w:tcW w:type="dxa" w:w="3346"/>
          </w:tcPr>
          <w:p>
            <w:pPr>
              <w:spacing w:after="60" w:before="40"/>
            </w:pPr>
            <w:r>
              <w:rPr>
                <w:sz w:val="19"/>
              </w:rPr>
              <w:t>Aspin/mixed breed</w:t>
            </w:r>
          </w:p>
        </w:tc>
        <w:tc>
          <w:tcPr>
            <w:tcW w:type="dxa" w:w="3346"/>
          </w:tcPr>
          <w:p>
            <w:pPr>
              <w:spacing w:after="60" w:before="40"/>
            </w:pPr>
            <w:r>
              <w:rPr>
                <w:sz w:val="19"/>
              </w:rPr>
              <w:t>Adult size and inherited risk vary widely</w:t>
            </w:r>
          </w:p>
        </w:tc>
        <w:tc>
          <w:tcPr>
            <w:tcW w:type="dxa" w:w="3346"/>
          </w:tcPr>
          <w:p>
            <w:pPr>
              <w:spacing w:after="60" w:before="40"/>
            </w:pPr>
            <w:r>
              <w:rPr>
                <w:sz w:val="19"/>
              </w:rPr>
              <w:t>Measured weight, BCS/MCS and growth estimate; no fixed 10–20 kg “normal” gate</w:t>
            </w:r>
          </w:p>
        </w:tc>
      </w:tr>
    </w:tbl>
    <w:p>
      <w:pPr>
        <w:spacing w:after="0"/>
      </w:pPr>
    </w:p>
    <w:p>
      <w:r>
        <w:t xml:space="preserve">General size/label guidance: </w:t>
      </w:r>
      <w:hyperlink r:id="rId20">
        <w:r>
          <w:rPr>
            <w:color w:val="165D67"/>
            <w:u w:val="single"/>
          </w:rPr>
          <w:t>AAHA age/breed diets</w:t>
        </w:r>
      </w:hyperlink>
      <w:r>
        <w:t>. The guide's entire breed-weight table is descriptive only; no listed range is an automatic target. FDA's DCM investigation does not establish a simple grain/no-grain causation rule; store diet history and refer when clinically indicated, rather than asserting a brand or ingredient causes DCM.</w:t>
      </w:r>
    </w:p>
    <w:p>
      <w:pPr>
        <w:pStyle w:val="Heading2"/>
      </w:pPr>
      <w:r>
        <w:t>14.2 BCS and MCS recording</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BCS</w:t>
            </w:r>
          </w:p>
        </w:tc>
        <w:tc>
          <w:tcPr>
            <w:tcW w:type="dxa" w:w="7929"/>
            <w:shd w:fill="154F59"/>
          </w:tcPr>
          <w:p>
            <w:pPr>
              <w:spacing w:after="60" w:before="40"/>
            </w:pPr>
            <w:r>
              <w:rPr>
                <w:b/>
                <w:color w:val="FFFFFF"/>
                <w:sz w:val="19"/>
              </w:rPr>
              <w:t>Owner observations, summarized in original wording</w:t>
            </w:r>
          </w:p>
        </w:tc>
      </w:tr>
      <w:tr>
        <w:tc>
          <w:tcPr>
            <w:tcW w:type="dxa" w:w="2108"/>
          </w:tcPr>
          <w:p>
            <w:pPr>
              <w:spacing w:after="60" w:before="40"/>
            </w:pPr>
            <w:r>
              <w:rPr>
                <w:sz w:val="19"/>
              </w:rPr>
              <w:t>1–2</w:t>
            </w:r>
          </w:p>
        </w:tc>
        <w:tc>
          <w:tcPr>
            <w:tcW w:type="dxa" w:w="7929"/>
          </w:tcPr>
          <w:p>
            <w:pPr>
              <w:spacing w:after="60" w:before="40"/>
            </w:pPr>
            <w:r>
              <w:rPr>
                <w:sz w:val="19"/>
              </w:rPr>
              <w:t>Very little fat covering, conspicuous bones and marked thinness; veterinary assessment</w:t>
            </w:r>
          </w:p>
        </w:tc>
      </w:tr>
      <w:tr>
        <w:tc>
          <w:tcPr>
            <w:tcW w:type="dxa" w:w="2108"/>
          </w:tcPr>
          <w:p>
            <w:pPr>
              <w:spacing w:after="60" w:before="40"/>
            </w:pPr>
            <w:r>
              <w:rPr>
                <w:sz w:val="19"/>
              </w:rPr>
              <w:t>3</w:t>
            </w:r>
          </w:p>
        </w:tc>
        <w:tc>
          <w:tcPr>
            <w:tcW w:type="dxa" w:w="7929"/>
          </w:tcPr>
          <w:p>
            <w:pPr>
              <w:spacing w:after="60" w:before="40"/>
            </w:pPr>
            <w:r>
              <w:rPr>
                <w:sz w:val="19"/>
              </w:rPr>
              <w:t>Ribs readily apparent/palpable, pronounced waist/tuck; thinner than reference condition</w:t>
            </w:r>
          </w:p>
        </w:tc>
      </w:tr>
      <w:tr>
        <w:tc>
          <w:tcPr>
            <w:tcW w:type="dxa" w:w="2108"/>
          </w:tcPr>
          <w:p>
            <w:pPr>
              <w:spacing w:after="60" w:before="40"/>
            </w:pPr>
            <w:r>
              <w:rPr>
                <w:sz w:val="19"/>
              </w:rPr>
              <w:t>4–5</w:t>
            </w:r>
          </w:p>
        </w:tc>
        <w:tc>
          <w:tcPr>
            <w:tcW w:type="dxa" w:w="7929"/>
          </w:tcPr>
          <w:p>
            <w:pPr>
              <w:spacing w:after="60" w:before="40"/>
            </w:pPr>
            <w:r>
              <w:rPr>
                <w:sz w:val="19"/>
              </w:rPr>
              <w:t>Ribs felt with little pressure, discernible waist from above and abdominal tuck; reference ideal range</w:t>
            </w:r>
          </w:p>
        </w:tc>
      </w:tr>
      <w:tr>
        <w:tc>
          <w:tcPr>
            <w:tcW w:type="dxa" w:w="2108"/>
          </w:tcPr>
          <w:p>
            <w:pPr>
              <w:spacing w:after="60" w:before="40"/>
            </w:pPr>
            <w:r>
              <w:rPr>
                <w:sz w:val="19"/>
              </w:rPr>
              <w:t>6</w:t>
            </w:r>
          </w:p>
        </w:tc>
        <w:tc>
          <w:tcPr>
            <w:tcW w:type="dxa" w:w="7929"/>
          </w:tcPr>
          <w:p>
            <w:pPr>
              <w:spacing w:after="60" w:before="40"/>
            </w:pPr>
            <w:r>
              <w:rPr>
                <w:sz w:val="19"/>
              </w:rPr>
              <w:t>Greater fat covering and less distinct waist; possible excess condition</w:t>
            </w:r>
          </w:p>
        </w:tc>
      </w:tr>
      <w:tr>
        <w:tc>
          <w:tcPr>
            <w:tcW w:type="dxa" w:w="2108"/>
          </w:tcPr>
          <w:p>
            <w:pPr>
              <w:spacing w:after="60" w:before="40"/>
            </w:pPr>
            <w:r>
              <w:rPr>
                <w:sz w:val="19"/>
              </w:rPr>
              <w:t>7</w:t>
            </w:r>
          </w:p>
        </w:tc>
        <w:tc>
          <w:tcPr>
            <w:tcW w:type="dxa" w:w="7929"/>
          </w:tcPr>
          <w:p>
            <w:pPr>
              <w:spacing w:after="60" w:before="40"/>
            </w:pPr>
            <w:r>
              <w:rPr>
                <w:sz w:val="19"/>
              </w:rPr>
              <w:t>Ribs harder to feel and waist reduced, with obvious excess fat</w:t>
            </w:r>
          </w:p>
        </w:tc>
      </w:tr>
      <w:tr>
        <w:tc>
          <w:tcPr>
            <w:tcW w:type="dxa" w:w="2108"/>
          </w:tcPr>
          <w:p>
            <w:pPr>
              <w:spacing w:after="60" w:before="40"/>
            </w:pPr>
            <w:r>
              <w:rPr>
                <w:sz w:val="19"/>
              </w:rPr>
              <w:t>8–9</w:t>
            </w:r>
          </w:p>
        </w:tc>
        <w:tc>
          <w:tcPr>
            <w:tcW w:type="dxa" w:w="7929"/>
          </w:tcPr>
          <w:p>
            <w:pPr>
              <w:spacing w:after="60" w:before="40"/>
            </w:pPr>
            <w:r>
              <w:rPr>
                <w:sz w:val="19"/>
              </w:rPr>
              <w:t>Substantial fat covering, little/no waist and marked excess condition; clinical assessment</w:t>
            </w:r>
          </w:p>
        </w:tc>
      </w:tr>
    </w:tbl>
    <w:p>
      <w:pPr>
        <w:spacing w:after="0"/>
      </w:pPr>
    </w:p>
    <w:p>
      <w:r>
        <w:t xml:space="preserve">Use the </w:t>
      </w:r>
      <w:hyperlink r:id="rId21">
        <w:r>
          <w:rPr>
            <w:color w:val="165D67"/>
            <w:u w:val="single"/>
          </w:rPr>
          <w:t>WSAVA dog BCS chart, June 2025</w:t>
        </w:r>
      </w:hyperlink>
      <w:r>
        <w:t xml:space="preserve"> for the complete nine-point assessment and palpation instructions; the grouped UI descriptions above do not replace it. Long hair and photographs alone can mislead. Ask the owner to record a provisional observation and its date, with veterinarian confirmation when needed. MCS is separate: </w:t>
      </w:r>
      <w:r>
        <w:rPr>
          <w:b/>
        </w:rPr>
        <w:t>normal, mild loss, moderate loss, severe loss</w:t>
      </w:r>
      <w:r>
        <w:t xml:space="preserve">; a fat dog can also lose muscle. </w:t>
      </w:r>
      <w:hyperlink r:id="rId60">
        <w:r>
          <w:rPr>
            <w:color w:val="165D67"/>
            <w:u w:val="single"/>
          </w:rPr>
          <w:t>WSAVA canine MCS</w:t>
        </w:r>
      </w:hyperlink>
      <w:r>
        <w:t>.</w:t>
      </w:r>
    </w:p>
    <w:p>
      <w:pPr>
        <w:pStyle w:val="Heading2"/>
      </w:pPr>
      <w:r>
        <w:t>14.3 Activity mapping</w:t>
      </w:r>
    </w:p>
    <w:p>
      <w:r>
        <w:t>Inactive, ordinary household activity and light/moderate/heavy work are proposed history labels. Record type, intensity, duration, frequency, rest days and conditions. A one-hour gentle walk and one-hour sustained sled work are not equivalent. The AAHA ranges in §7 guide starting estimates; work categories require review. Do not assign factor 2 because a user selects “active” without context, or label all seniors inactive. Monitor actual intake, weight and condition. Breed, indoor/outdoor location and temperature are explanatory context, not additional multipliers.</w:t>
      </w:r>
    </w:p>
    <w:p>
      <w:bookmarkStart w:id="15" w:name="section_15"/>
      <w:pPr>
        <w:pStyle w:val="Heading1"/>
      </w:pPr>
      <w:r>
        <w:t>15. Medical Conditions and Safety Restrictions</w:t>
      </w:r>
      <w:bookmarkEnd w:id="15"/>
    </w:p>
    <w:p>
      <w:r>
        <w:t>Clinical diets require diagnosis, disease stage, comorbidities, relevant medication and clinician goals. Ordinary owners need only report known issues; collect laboratory/stone/diagnostic details in a separate clinical record when actually needed. No app-selected condition unlocks an automatic nutrient prescription.</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Condition/concern</w:t>
            </w:r>
          </w:p>
        </w:tc>
        <w:tc>
          <w:tcPr>
            <w:tcW w:type="dxa" w:w="3346"/>
            <w:shd w:fill="154F59"/>
          </w:tcPr>
          <w:p>
            <w:pPr>
              <w:spacing w:after="60" w:before="40"/>
            </w:pPr>
            <w:r>
              <w:rPr>
                <w:b/>
                <w:color w:val="FFFFFF"/>
                <w:sz w:val="19"/>
              </w:rPr>
              <w:t>Why the guide's shorthand is insufficient</w:t>
            </w:r>
          </w:p>
        </w:tc>
        <w:tc>
          <w:tcPr>
            <w:tcW w:type="dxa" w:w="3346"/>
            <w:shd w:fill="154F59"/>
          </w:tcPr>
          <w:p>
            <w:pPr>
              <w:spacing w:after="60" w:before="40"/>
            </w:pPr>
            <w:r>
              <w:rPr>
                <w:b/>
                <w:color w:val="FFFFFF"/>
                <w:sz w:val="19"/>
              </w:rPr>
              <w:t>Information/restriction</w:t>
            </w:r>
          </w:p>
        </w:tc>
      </w:tr>
      <w:tr>
        <w:tc>
          <w:tcPr>
            <w:tcW w:type="dxa" w:w="3346"/>
          </w:tcPr>
          <w:p>
            <w:pPr>
              <w:spacing w:after="60" w:before="40"/>
            </w:pPr>
            <w:r>
              <w:rPr>
                <w:sz w:val="19"/>
              </w:rPr>
              <w:t>Kidney disease</w:t>
            </w:r>
          </w:p>
        </w:tc>
        <w:tc>
          <w:tcPr>
            <w:tcW w:type="dxa" w:w="3346"/>
          </w:tcPr>
          <w:p>
            <w:pPr>
              <w:spacing w:after="60" w:before="40"/>
            </w:pPr>
            <w:r>
              <w:rPr>
                <w:sz w:val="19"/>
              </w:rPr>
              <w:t>Phosphorus/protein/electrolyte needs depend on stage and patient; blanket salt/protein cuts can be inappropriate</w:t>
            </w:r>
          </w:p>
        </w:tc>
        <w:tc>
          <w:tcPr>
            <w:tcW w:type="dxa" w:w="3346"/>
          </w:tcPr>
          <w:p>
            <w:pPr>
              <w:spacing w:after="60" w:before="40"/>
            </w:pPr>
            <w:r>
              <w:rPr>
                <w:sz w:val="19"/>
              </w:rPr>
              <w:t>Clinician diagnosis/stage, prescribed diet and relevant tests; block unsupervised generation</w:t>
            </w:r>
          </w:p>
        </w:tc>
      </w:tr>
      <w:tr>
        <w:tc>
          <w:tcPr>
            <w:tcW w:type="dxa" w:w="3346"/>
          </w:tcPr>
          <w:p>
            <w:pPr>
              <w:spacing w:after="60" w:before="40"/>
            </w:pPr>
            <w:r>
              <w:rPr>
                <w:sz w:val="19"/>
              </w:rPr>
              <w:t>Diabetes</w:t>
            </w:r>
          </w:p>
        </w:tc>
        <w:tc>
          <w:tcPr>
            <w:tcW w:type="dxa" w:w="3346"/>
          </w:tcPr>
          <w:p>
            <w:pPr>
              <w:spacing w:after="60" w:before="40"/>
            </w:pPr>
            <w:r>
              <w:rPr>
                <w:sz w:val="19"/>
              </w:rPr>
              <w:t>Diet, insulin and feeding consistency interact; high fiber is not the universal answer with all comorbidities</w:t>
            </w:r>
          </w:p>
        </w:tc>
        <w:tc>
          <w:tcPr>
            <w:tcW w:type="dxa" w:w="3346"/>
          </w:tcPr>
          <w:p>
            <w:pPr>
              <w:spacing w:after="60" w:before="40"/>
            </w:pPr>
            <w:r>
              <w:rPr>
                <w:sz w:val="19"/>
              </w:rPr>
              <w:t xml:space="preserve">Prescribed food/meal and insulin instructions; do not change doses/times; current </w:t>
            </w:r>
            <w:hyperlink r:id="rId61">
              <w:r>
                <w:rPr>
                  <w:color w:val="165D67"/>
                  <w:u w:val="single"/>
                </w:rPr>
                <w:t>AAHA 2026 canine guidance</w:t>
              </w:r>
            </w:hyperlink>
          </w:p>
        </w:tc>
      </w:tr>
      <w:tr>
        <w:tc>
          <w:tcPr>
            <w:tcW w:type="dxa" w:w="3346"/>
          </w:tcPr>
          <w:p>
            <w:pPr>
              <w:spacing w:after="60" w:before="40"/>
            </w:pPr>
            <w:r>
              <w:rPr>
                <w:sz w:val="19"/>
              </w:rPr>
              <w:t>Pancreatitis</w:t>
            </w:r>
          </w:p>
        </w:tc>
        <w:tc>
          <w:tcPr>
            <w:tcW w:type="dxa" w:w="3346"/>
          </w:tcPr>
          <w:p>
            <w:pPr>
              <w:spacing w:after="60" w:before="40"/>
            </w:pPr>
            <w:r>
              <w:rPr>
                <w:sz w:val="19"/>
              </w:rPr>
              <w:t>Fat tolerance, recovery and other illness vary; generic low-fat percentage lacks basis/unit</w:t>
            </w:r>
          </w:p>
        </w:tc>
        <w:tc>
          <w:tcPr>
            <w:tcW w:type="dxa" w:w="3346"/>
          </w:tcPr>
          <w:p>
            <w:pPr>
              <w:spacing w:after="60" w:before="40"/>
            </w:pPr>
            <w:r>
              <w:rPr>
                <w:sz w:val="19"/>
              </w:rPr>
              <w:t>Clinician-selected exact food, tolerance and plan; do not select a fat target automatically</w:t>
            </w:r>
          </w:p>
        </w:tc>
      </w:tr>
      <w:tr>
        <w:tc>
          <w:tcPr>
            <w:tcW w:type="dxa" w:w="3346"/>
          </w:tcPr>
          <w:p>
            <w:pPr>
              <w:spacing w:after="60" w:before="40"/>
            </w:pPr>
            <w:r>
              <w:rPr>
                <w:sz w:val="19"/>
              </w:rPr>
              <w:t>Heart disease</w:t>
            </w:r>
          </w:p>
        </w:tc>
        <w:tc>
          <w:tcPr>
            <w:tcW w:type="dxa" w:w="3346"/>
          </w:tcPr>
          <w:p>
            <w:pPr>
              <w:spacing w:after="60" w:before="40"/>
            </w:pPr>
            <w:r>
              <w:rPr>
                <w:sz w:val="19"/>
              </w:rPr>
              <w:t>Stage/medications/electrolytes and mechanism matter; blanket sodium cuts/taurine supplements are not a diagnosis</w:t>
            </w:r>
          </w:p>
        </w:tc>
        <w:tc>
          <w:tcPr>
            <w:tcW w:type="dxa" w:w="3346"/>
          </w:tcPr>
          <w:p>
            <w:pPr>
              <w:spacing w:after="60" w:before="40"/>
            </w:pPr>
            <w:r>
              <w:rPr>
                <w:sz w:val="19"/>
              </w:rPr>
              <w:t>Cardiac history and prescription; avoid unreviewed supplements</w:t>
            </w:r>
          </w:p>
        </w:tc>
      </w:tr>
      <w:tr>
        <w:tc>
          <w:tcPr>
            <w:tcW w:type="dxa" w:w="3346"/>
          </w:tcPr>
          <w:p>
            <w:pPr>
              <w:spacing w:after="60" w:before="40"/>
            </w:pPr>
            <w:r>
              <w:rPr>
                <w:sz w:val="19"/>
              </w:rPr>
              <w:t>Liver disease</w:t>
            </w:r>
          </w:p>
        </w:tc>
        <w:tc>
          <w:tcPr>
            <w:tcW w:type="dxa" w:w="3346"/>
          </w:tcPr>
          <w:p>
            <w:pPr>
              <w:spacing w:after="60" w:before="40"/>
            </w:pPr>
            <w:r>
              <w:rPr>
                <w:sz w:val="19"/>
              </w:rPr>
              <w:t>Copper accumulation and hepatic encephalopathy require different choices; all liver disease does not justify protein restriction</w:t>
            </w:r>
          </w:p>
        </w:tc>
        <w:tc>
          <w:tcPr>
            <w:tcW w:type="dxa" w:w="3346"/>
          </w:tcPr>
          <w:p>
            <w:pPr>
              <w:spacing w:after="60" w:before="40"/>
            </w:pPr>
            <w:r>
              <w:rPr>
                <w:sz w:val="19"/>
              </w:rPr>
              <w:t xml:space="preserve">Diagnosis, copper/encephalopathy status and clinician plan; </w:t>
            </w:r>
            <w:hyperlink r:id="rId62">
              <w:r>
                <w:rPr>
                  <w:color w:val="165D67"/>
                  <w:u w:val="single"/>
                </w:rPr>
                <w:t>UC Davis liver nutrition</w:t>
              </w:r>
            </w:hyperlink>
          </w:p>
        </w:tc>
      </w:tr>
      <w:tr>
        <w:tc>
          <w:tcPr>
            <w:tcW w:type="dxa" w:w="3346"/>
          </w:tcPr>
          <w:p>
            <w:pPr>
              <w:spacing w:after="60" w:before="40"/>
            </w:pPr>
            <w:r>
              <w:rPr>
                <w:sz w:val="19"/>
              </w:rPr>
              <w:t>Urinary stones</w:t>
            </w:r>
          </w:p>
        </w:tc>
        <w:tc>
          <w:tcPr>
            <w:tcW w:type="dxa" w:w="3346"/>
          </w:tcPr>
          <w:p>
            <w:pPr>
              <w:spacing w:after="60" w:before="40"/>
            </w:pPr>
            <w:r>
              <w:rPr>
                <w:sz w:val="19"/>
              </w:rPr>
              <w:t>Stone type and prevention/dissolution differ; changes in calcium, purines or protein cannot be generalized</w:t>
            </w:r>
          </w:p>
        </w:tc>
        <w:tc>
          <w:tcPr>
            <w:tcW w:type="dxa" w:w="3346"/>
          </w:tcPr>
          <w:p>
            <w:pPr>
              <w:spacing w:after="60" w:before="40"/>
            </w:pPr>
            <w:r>
              <w:rPr>
                <w:sz w:val="19"/>
              </w:rPr>
              <w:t>Confirmed stone type, prescription and monitoring; no guessed urinary recipe</w:t>
            </w:r>
          </w:p>
        </w:tc>
      </w:tr>
      <w:tr>
        <w:tc>
          <w:tcPr>
            <w:tcW w:type="dxa" w:w="3346"/>
          </w:tcPr>
          <w:p>
            <w:pPr>
              <w:spacing w:after="60" w:before="40"/>
            </w:pPr>
            <w:r>
              <w:rPr>
                <w:sz w:val="19"/>
              </w:rPr>
              <w:t>Allergy/intolerance or sensitive digestion</w:t>
            </w:r>
          </w:p>
        </w:tc>
        <w:tc>
          <w:tcPr>
            <w:tcW w:type="dxa" w:w="3346"/>
          </w:tcPr>
          <w:p>
            <w:pPr>
              <w:spacing w:after="60" w:before="40"/>
            </w:pPr>
            <w:r>
              <w:rPr>
                <w:sz w:val="19"/>
              </w:rPr>
              <w:t>Itch/vomiting can have other causes; no universal novel-protein cure</w:t>
            </w:r>
          </w:p>
        </w:tc>
        <w:tc>
          <w:tcPr>
            <w:tcW w:type="dxa" w:w="3346"/>
          </w:tcPr>
          <w:p>
            <w:pPr>
              <w:spacing w:after="60" w:before="40"/>
            </w:pPr>
            <w:r>
              <w:rPr>
                <w:sz w:val="19"/>
              </w:rPr>
              <w:t>Clinical assessment, exact ingredient/exposure history; supervised trial only</w:t>
            </w:r>
          </w:p>
        </w:tc>
      </w:tr>
      <w:tr>
        <w:tc>
          <w:tcPr>
            <w:tcW w:type="dxa" w:w="3346"/>
          </w:tcPr>
          <w:p>
            <w:pPr>
              <w:spacing w:after="60" w:before="40"/>
            </w:pPr>
            <w:r>
              <w:rPr>
                <w:sz w:val="19"/>
              </w:rPr>
              <w:t>Joint problems</w:t>
            </w:r>
          </w:p>
        </w:tc>
        <w:tc>
          <w:tcPr>
            <w:tcW w:type="dxa" w:w="3346"/>
          </w:tcPr>
          <w:p>
            <w:pPr>
              <w:spacing w:after="60" w:before="40"/>
            </w:pPr>
            <w:r>
              <w:rPr>
                <w:sz w:val="19"/>
              </w:rPr>
              <w:t>Body condition matters; EPA/DHA dose and other interventions are patient-specific</w:t>
            </w:r>
          </w:p>
        </w:tc>
        <w:tc>
          <w:tcPr>
            <w:tcW w:type="dxa" w:w="3346"/>
          </w:tcPr>
          <w:p>
            <w:pPr>
              <w:spacing w:after="60" w:before="40"/>
            </w:pPr>
            <w:r>
              <w:rPr>
                <w:sz w:val="19"/>
              </w:rPr>
              <w:t>Record clinician treatment; do not generate glucosamine/fish-oil doses</w:t>
            </w:r>
          </w:p>
        </w:tc>
      </w:tr>
      <w:tr>
        <w:tc>
          <w:tcPr>
            <w:tcW w:type="dxa" w:w="3346"/>
          </w:tcPr>
          <w:p>
            <w:pPr>
              <w:spacing w:after="60" w:before="40"/>
            </w:pPr>
            <w:r>
              <w:rPr>
                <w:sz w:val="19"/>
              </w:rPr>
              <w:t>Obesity</w:t>
            </w:r>
          </w:p>
        </w:tc>
        <w:tc>
          <w:tcPr>
            <w:tcW w:type="dxa" w:w="3346"/>
          </w:tcPr>
          <w:p>
            <w:pPr>
              <w:spacing w:after="60" w:before="40"/>
            </w:pPr>
            <w:r>
              <w:rPr>
                <w:sz w:val="19"/>
              </w:rPr>
              <w:t>Restricting ordinary food may reduce essential nutrients; ideal weight requires assessment</w:t>
            </w:r>
          </w:p>
        </w:tc>
        <w:tc>
          <w:tcPr>
            <w:tcW w:type="dxa" w:w="3346"/>
          </w:tcPr>
          <w:p>
            <w:pPr>
              <w:spacing w:after="60" w:before="40"/>
            </w:pPr>
            <w:r>
              <w:rPr>
                <w:sz w:val="19"/>
              </w:rPr>
              <w:t>Clinician target, appropriate diet and monitoring; supervised loss workflow</w:t>
            </w:r>
          </w:p>
        </w:tc>
      </w:tr>
      <w:tr>
        <w:tc>
          <w:tcPr>
            <w:tcW w:type="dxa" w:w="3346"/>
          </w:tcPr>
          <w:p>
            <w:pPr>
              <w:spacing w:after="60" w:before="40"/>
            </w:pPr>
            <w:r>
              <w:rPr>
                <w:sz w:val="19"/>
              </w:rPr>
              <w:t>Underweight, unexplained loss or appetite change</w:t>
            </w:r>
          </w:p>
        </w:tc>
        <w:tc>
          <w:tcPr>
            <w:tcW w:type="dxa" w:w="3346"/>
          </w:tcPr>
          <w:p>
            <w:pPr>
              <w:spacing w:after="60" w:before="40"/>
            </w:pPr>
            <w:r>
              <w:rPr>
                <w:sz w:val="19"/>
              </w:rPr>
              <w:t>Illness, absorption, pain and severe malnutrition may matter</w:t>
            </w:r>
          </w:p>
        </w:tc>
        <w:tc>
          <w:tcPr>
            <w:tcW w:type="dxa" w:w="3346"/>
          </w:tcPr>
          <w:p>
            <w:pPr>
              <w:spacing w:after="60" w:before="40"/>
            </w:pPr>
            <w:r>
              <w:rPr>
                <w:sz w:val="19"/>
              </w:rPr>
              <w:t>Refer before increasing calories; no universal gain multiplier</w:t>
            </w:r>
          </w:p>
        </w:tc>
      </w:tr>
      <w:tr>
        <w:tc>
          <w:tcPr>
            <w:tcW w:type="dxa" w:w="3346"/>
          </w:tcPr>
          <w:p>
            <w:pPr>
              <w:spacing w:after="60" w:before="40"/>
            </w:pPr>
            <w:r>
              <w:rPr>
                <w:sz w:val="19"/>
              </w:rPr>
              <w:t>Pregnancy/lactation/neonatal difficulty</w:t>
            </w:r>
          </w:p>
        </w:tc>
        <w:tc>
          <w:tcPr>
            <w:tcW w:type="dxa" w:w="3346"/>
          </w:tcPr>
          <w:p>
            <w:pPr>
              <w:spacing w:after="60" w:before="40"/>
            </w:pPr>
            <w:r>
              <w:rPr>
                <w:sz w:val="19"/>
              </w:rPr>
              <w:t>Adequacy, maternal/puppy growth and complications are beyond ordinary maintenance</w:t>
            </w:r>
          </w:p>
        </w:tc>
        <w:tc>
          <w:tcPr>
            <w:tcW w:type="dxa" w:w="3346"/>
          </w:tcPr>
          <w:p>
            <w:pPr>
              <w:spacing w:after="60" w:before="40"/>
            </w:pPr>
            <w:r>
              <w:rPr>
                <w:sz w:val="19"/>
              </w:rPr>
              <w:t>Specialist-supervised plan and monitoring</w:t>
            </w:r>
          </w:p>
        </w:tc>
      </w:tr>
    </w:tbl>
    <w:p>
      <w:pPr>
        <w:spacing w:after="0"/>
      </w:pPr>
    </w:p>
    <w:p>
      <w:r>
        <w:t xml:space="preserve">These boundaries are consistent with </w:t>
      </w:r>
      <w:hyperlink r:id="rId25">
        <w:r>
          <w:rPr>
            <w:color w:val="165D67"/>
            <w:u w:val="single"/>
          </w:rPr>
          <w:t>AAHA therapeutic diet considerations</w:t>
        </w:r>
      </w:hyperlink>
      <w:r>
        <w:t xml:space="preserve">. The proposed response is a </w:t>
      </w:r>
      <w:r>
        <w:rPr>
          <w:b/>
        </w:rPr>
        <w:t>block plus recording/referral</w:t>
      </w:r>
      <w:r>
        <w:t>, rather than pretending to “adjust but not treat.” A disclaimer does not permit a therapeutic formula.</w:t>
      </w:r>
    </w:p>
    <w:p>
      <w:pPr>
        <w:pStyle w:val="Heading2"/>
      </w:pPr>
      <w:r>
        <w:t>15.1 Elimination trials and hidden exposure</w:t>
      </w:r>
    </w:p>
    <w:p>
      <w:r>
        <w:t xml:space="preserve">Food allergy involves immune response; intolerance does not imply the same immune mechanism. Signs overlap and cannot be diagnosed from a checklist. A veterinarian-managed elimination trial uses an appropriate prescription hydrolyzed or genuinely suitable novel-protein diet, strict control of </w:t>
      </w:r>
      <w:r>
        <w:rPr>
          <w:b/>
        </w:rPr>
        <w:t>all</w:t>
      </w:r>
      <w:r>
        <w:t xml:space="preserve"> intake, assessment and typically provocation to support diagnosis. AAHA describes trials lasting 4–12 weeks, with eight weeks capturing most food-allergic responses and some requiring twelve. OTC “limited ingredient” foods may have unlisted protein contamination. </w:t>
      </w:r>
      <w:hyperlink r:id="rId33">
        <w:r>
          <w:rPr>
            <w:color w:val="165D67"/>
            <w:u w:val="single"/>
          </w:rPr>
          <w:t>AAHA 2023 allergy guideline</w:t>
        </w:r>
      </w:hyperlink>
      <w:r>
        <w:t>.</w:t>
      </w:r>
    </w:p>
    <w:p>
      <w:r>
        <w:t>Vetify may record the prescribed trial, food/treat/chew/flavored medication exposure, symptoms and dates. It must not recommend stopping medication, label a purified fat as allergenic solely by species name, assume a fat has no residual protein, or choose a trial protein only because the owner has not fed it knowingly. Require ingredient/formulation and contamination evidence matched to the prescription. Preferences and suspected reactions remain separately labeled; symptom improvement alone does not prove the cause.</w:t>
      </w:r>
    </w:p>
    <w:p>
      <w:pPr>
        <w:pStyle w:val="Heading2"/>
      </w:pPr>
      <w:r>
        <w:t>15.2 Escalation</w:t>
      </w:r>
    </w:p>
    <w:p>
      <w:r>
        <w:t>Potential toxin ingestion, collapse, breathing difficulty, seizures, severe abdominal distension/unproductive retching, inability to swallow or marked dehydration require urgent veterinary guidance. Persistent vomiting/diarrhea, appetite loss or abnormal weight/muscle change requires assessment before a new calculated plan. Owners cannot dismiss a structured safety blocker to obtain automatic approval. Veterinary authorization controls a scoped clinical workflow and never bypasses a known toxin or turns unknown nutrient data into passing measurements.</w:t>
      </w:r>
    </w:p>
    <w:p>
      <w:bookmarkStart w:id="16" w:name="section_16"/>
      <w:pPr>
        <w:pStyle w:val="Heading1"/>
      </w:pPr>
      <w:r>
        <w:t>16. Meal Planning Algorithm</w:t>
      </w:r>
      <w:bookmarkEnd w:id="16"/>
    </w:p>
    <w:p>
      <w:pPr>
        <w:pStyle w:val="Heading2"/>
      </w:pPr>
      <w:r>
        <w:t>16.1 Modes and decision table</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Input/evidence state</w:t>
            </w:r>
          </w:p>
        </w:tc>
        <w:tc>
          <w:tcPr>
            <w:tcW w:type="dxa" w:w="3346"/>
            <w:shd w:fill="154F59"/>
          </w:tcPr>
          <w:p>
            <w:pPr>
              <w:spacing w:after="60" w:before="40"/>
            </w:pPr>
            <w:r>
              <w:rPr>
                <w:b/>
                <w:color w:val="FFFFFF"/>
                <w:sz w:val="19"/>
              </w:rPr>
              <w:t>Mode/result</w:t>
            </w:r>
          </w:p>
        </w:tc>
        <w:tc>
          <w:tcPr>
            <w:tcW w:type="dxa" w:w="3346"/>
            <w:shd w:fill="154F59"/>
          </w:tcPr>
          <w:p>
            <w:pPr>
              <w:spacing w:after="60" w:before="40"/>
            </w:pPr>
            <w:r>
              <w:rPr>
                <w:b/>
                <w:color w:val="FFFFFF"/>
                <w:sz w:val="19"/>
              </w:rPr>
              <w:t>Automatic approval</w:t>
            </w:r>
          </w:p>
        </w:tc>
      </w:tr>
      <w:tr>
        <w:tc>
          <w:tcPr>
            <w:tcW w:type="dxa" w:w="3346"/>
          </w:tcPr>
          <w:p>
            <w:pPr>
              <w:spacing w:after="60" w:before="40"/>
            </w:pPr>
            <w:r>
              <w:rPr>
                <w:sz w:val="19"/>
              </w:rPr>
              <w:t>Healthy, growth-complete, BCS 4–5, stable, ordinary activity; suitable complete commercial product; known ME/extras</w:t>
            </w:r>
          </w:p>
        </w:tc>
        <w:tc>
          <w:tcPr>
            <w:tcW w:type="dxa" w:w="3346"/>
          </w:tcPr>
          <w:p>
            <w:pPr>
              <w:spacing w:after="60" w:before="40"/>
            </w:pPr>
            <w:r>
              <w:rPr>
                <w:rFonts w:ascii="Consolas" w:hAnsi="Consolas"/>
                <w:sz w:val="19"/>
              </w:rPr>
              <w:t>commercial_portion</w:t>
            </w:r>
            <w:r>
              <w:rPr>
                <w:sz w:val="19"/>
              </w:rPr>
              <w:t>, label-supported calculation</w:t>
            </w:r>
          </w:p>
        </w:tc>
        <w:tc>
          <w:tcPr>
            <w:tcW w:type="dxa" w:w="3346"/>
          </w:tcPr>
          <w:p>
            <w:pPr>
              <w:spacing w:after="60" w:before="40"/>
            </w:pPr>
            <w:r>
              <w:rPr>
                <w:sz w:val="19"/>
              </w:rPr>
              <w:t>Eligible after validation</w:t>
            </w:r>
          </w:p>
        </w:tc>
      </w:tr>
      <w:tr>
        <w:tc>
          <w:tcPr>
            <w:tcW w:type="dxa" w:w="3346"/>
          </w:tcPr>
          <w:p>
            <w:pPr>
              <w:spacing w:after="60" w:before="40"/>
            </w:pPr>
            <w:r>
              <w:rPr>
                <w:sz w:val="19"/>
              </w:rPr>
              <w:t>User enters an existing amount/instruction</w:t>
            </w:r>
          </w:p>
        </w:tc>
        <w:tc>
          <w:tcPr>
            <w:tcW w:type="dxa" w:w="3346"/>
          </w:tcPr>
          <w:p>
            <w:pPr>
              <w:spacing w:after="60" w:before="40"/>
            </w:pPr>
            <w:r>
              <w:rPr>
                <w:rFonts w:ascii="Consolas" w:hAnsi="Consolas"/>
                <w:sz w:val="19"/>
              </w:rPr>
              <w:t>recorded</w:t>
            </w:r>
            <w:r>
              <w:rPr>
                <w:sz w:val="19"/>
              </w:rPr>
              <w:t>, manual or prescribed</w:t>
            </w:r>
          </w:p>
        </w:tc>
        <w:tc>
          <w:tcPr>
            <w:tcW w:type="dxa" w:w="3346"/>
          </w:tcPr>
          <w:p>
            <w:pPr>
              <w:spacing w:after="60" w:before="40"/>
            </w:pPr>
            <w:r>
              <w:rPr>
                <w:sz w:val="19"/>
              </w:rPr>
              <w:t>Recording only; no Vetify adequacy approval</w:t>
            </w:r>
          </w:p>
        </w:tc>
      </w:tr>
      <w:tr>
        <w:tc>
          <w:tcPr>
            <w:tcW w:type="dxa" w:w="3346"/>
          </w:tcPr>
          <w:p>
            <w:pPr>
              <w:spacing w:after="60" w:before="40"/>
            </w:pPr>
            <w:r>
              <w:rPr>
                <w:sz w:val="19"/>
              </w:rPr>
              <w:t>Growing, reproductive, work, loss/gain or clinically complex</w:t>
            </w:r>
          </w:p>
        </w:tc>
        <w:tc>
          <w:tcPr>
            <w:tcW w:type="dxa" w:w="3346"/>
          </w:tcPr>
          <w:p>
            <w:pPr>
              <w:spacing w:after="60" w:before="40"/>
            </w:pPr>
            <w:r>
              <w:rPr>
                <w:rFonts w:ascii="Consolas" w:hAnsi="Consolas"/>
                <w:sz w:val="19"/>
              </w:rPr>
              <w:t>review_required</w:t>
            </w:r>
          </w:p>
        </w:tc>
        <w:tc>
          <w:tcPr>
            <w:tcW w:type="dxa" w:w="3346"/>
          </w:tcPr>
          <w:p>
            <w:pPr>
              <w:spacing w:after="60" w:before="40"/>
            </w:pPr>
            <w:r>
              <w:rPr>
                <w:sz w:val="19"/>
              </w:rPr>
              <w:t>Disabled in MVP; scoped supervised workflows later</w:t>
            </w:r>
          </w:p>
        </w:tc>
      </w:tr>
      <w:tr>
        <w:tc>
          <w:tcPr>
            <w:tcW w:type="dxa" w:w="3346"/>
          </w:tcPr>
          <w:p>
            <w:pPr>
              <w:spacing w:after="60" w:before="40"/>
            </w:pPr>
            <w:r>
              <w:rPr>
                <w:sz w:val="19"/>
              </w:rPr>
              <w:t>Homemade/ingredient primary ration, full composition but no formulation review</w:t>
            </w:r>
          </w:p>
        </w:tc>
        <w:tc>
          <w:tcPr>
            <w:tcW w:type="dxa" w:w="3346"/>
          </w:tcPr>
          <w:p>
            <w:pPr>
              <w:spacing w:after="60" w:before="40"/>
            </w:pPr>
            <w:r>
              <w:rPr>
                <w:rFonts w:ascii="Consolas" w:hAnsi="Consolas"/>
                <w:sz w:val="19"/>
              </w:rPr>
              <w:t>formulation_candidate</w:t>
            </w:r>
          </w:p>
        </w:tc>
        <w:tc>
          <w:tcPr>
            <w:tcW w:type="dxa" w:w="3346"/>
          </w:tcPr>
          <w:p>
            <w:pPr>
              <w:spacing w:after="60" w:before="40"/>
            </w:pPr>
            <w:r>
              <w:rPr>
                <w:sz w:val="19"/>
              </w:rPr>
              <w:t>Computed result may be shown to reviewer; cannot publish approved</w:t>
            </w:r>
          </w:p>
        </w:tc>
      </w:tr>
      <w:tr>
        <w:tc>
          <w:tcPr>
            <w:tcW w:type="dxa" w:w="3346"/>
          </w:tcPr>
          <w:p>
            <w:pPr>
              <w:spacing w:after="60" w:before="40"/>
            </w:pPr>
            <w:r>
              <w:rPr>
                <w:sz w:val="19"/>
              </w:rPr>
              <w:t>Essential data unknown, expired evidence or method out of domain</w:t>
            </w:r>
          </w:p>
        </w:tc>
        <w:tc>
          <w:tcPr>
            <w:tcW w:type="dxa" w:w="3346"/>
          </w:tcPr>
          <w:p>
            <w:pPr>
              <w:spacing w:after="60" w:before="40"/>
            </w:pPr>
            <w:r>
              <w:rPr>
                <w:rFonts w:ascii="Consolas" w:hAnsi="Consolas"/>
                <w:sz w:val="19"/>
              </w:rPr>
              <w:t>indeterminate</w:t>
            </w:r>
            <w:r>
              <w:rPr>
                <w:sz w:val="19"/>
              </w:rPr>
              <w:t>/</w:t>
            </w:r>
            <w:r>
              <w:rPr>
                <w:rFonts w:ascii="Consolas" w:hAnsi="Consolas"/>
                <w:sz w:val="19"/>
              </w:rPr>
              <w:t>blocked</w:t>
            </w:r>
          </w:p>
        </w:tc>
        <w:tc>
          <w:tcPr>
            <w:tcW w:type="dxa" w:w="3346"/>
          </w:tcPr>
          <w:p>
            <w:pPr>
              <w:spacing w:after="60" w:before="40"/>
            </w:pPr>
            <w:r>
              <w:rPr>
                <w:sz w:val="19"/>
              </w:rPr>
              <w:t>No</w:t>
            </w:r>
          </w:p>
        </w:tc>
      </w:tr>
      <w:tr>
        <w:tc>
          <w:tcPr>
            <w:tcW w:type="dxa" w:w="3346"/>
          </w:tcPr>
          <w:p>
            <w:pPr>
              <w:spacing w:after="60" w:before="40"/>
            </w:pPr>
            <w:r>
              <w:rPr>
                <w:sz w:val="19"/>
              </w:rPr>
              <w:t>Known toxin, nutrient failure or inappropriate food</w:t>
            </w:r>
          </w:p>
        </w:tc>
        <w:tc>
          <w:tcPr>
            <w:tcW w:type="dxa" w:w="3346"/>
          </w:tcPr>
          <w:p>
            <w:pPr>
              <w:spacing w:after="60" w:before="40"/>
            </w:pPr>
            <w:r>
              <w:rPr>
                <w:rFonts w:ascii="Consolas" w:hAnsi="Consolas"/>
                <w:sz w:val="19"/>
              </w:rPr>
              <w:t>failed</w:t>
            </w:r>
            <w:r>
              <w:rPr>
                <w:sz w:val="19"/>
              </w:rPr>
              <w:t>/</w:t>
            </w:r>
            <w:r>
              <w:rPr>
                <w:rFonts w:ascii="Consolas" w:hAnsi="Consolas"/>
                <w:sz w:val="19"/>
              </w:rPr>
              <w:t>blocked</w:t>
            </w:r>
          </w:p>
        </w:tc>
        <w:tc>
          <w:tcPr>
            <w:tcW w:type="dxa" w:w="3346"/>
          </w:tcPr>
          <w:p>
            <w:pPr>
              <w:spacing w:after="60" w:before="40"/>
            </w:pPr>
            <w:r>
              <w:rPr>
                <w:sz w:val="19"/>
              </w:rPr>
              <w:t>No; cannot override by owner</w:t>
            </w:r>
          </w:p>
        </w:tc>
      </w:tr>
    </w:tbl>
    <w:p>
      <w:pPr>
        <w:spacing w:after="0"/>
      </w:pPr>
    </w:p>
    <w:p>
      <w:r>
        <w:t>Conflict priority is safety before convenience. A preferred ingredient excluded by an allergen rule remains excluded. A calorie goal cannot override calcium failure. A Pro feature cannot bypass missing evidence. A recent prescription supersedes a generic estimate only inside a verified prescribed recording workflow; it does not mutate scientific standard rows.</w:t>
      </w:r>
    </w:p>
    <w:p>
      <w:pPr>
        <w:pStyle w:val="Heading2"/>
      </w:pPr>
      <w:r>
        <w:t>16.2 Deterministic pseudocode</w:t>
      </w:r>
    </w:p>
    <w:p>
      <w:r>
        <w:t>The pseudocode is a design specification; no code is being implemented in this task.</w:t>
      </w:r>
    </w:p>
    <w:p>
      <w:pPr>
        <w:spacing w:after="0" w:line="240" w:lineRule="auto"/>
        <w:shd w:fill="F2F5F5"/>
      </w:pPr>
      <w:r>
        <w:rPr>
          <w:rFonts w:ascii="Consolas" w:hAnsi="Consolas"/>
          <w:sz w:val="17"/>
        </w:rPr>
        <w:t>preview(principal, request, repositorySnapshot, engineVersion, asOfDate):</w:t>
      </w:r>
    </w:p>
    <w:p>
      <w:pPr>
        <w:spacing w:after="0" w:line="240" w:lineRule="auto"/>
        <w:shd w:fill="F2F5F5"/>
      </w:pPr>
      <w:r>
        <w:rPr>
          <w:rFonts w:ascii="Consolas" w:hAnsi="Consolas"/>
          <w:sz w:val="17"/>
        </w:rPr>
        <w:t xml:space="preserve">  require authenticated principal; load dog within principal's ownership</w:t>
      </w:r>
    </w:p>
    <w:p>
      <w:pPr>
        <w:spacing w:after="0" w:line="240" w:lineRule="auto"/>
        <w:shd w:fill="F2F5F5"/>
      </w:pPr>
      <w:r>
        <w:rPr>
          <w:rFonts w:ascii="Consolas" w:hAnsi="Consolas"/>
          <w:sz w:val="17"/>
        </w:rPr>
        <w:t xml:space="preserve">  validate dog revision, request schema, explicit units and requested mode</w:t>
      </w:r>
    </w:p>
    <w:p>
      <w:pPr>
        <w:spacing w:after="0" w:line="240" w:lineRule="auto"/>
        <w:shd w:fill="F2F5F5"/>
      </w:pPr>
      <w:r>
        <w:rPr>
          <w:rFonts w:ascii="Consolas" w:hAnsi="Consolas"/>
          <w:sz w:val="17"/>
        </w:rPr>
        <w:t xml:space="preserve">  require species == dog; reject unsupported species</w:t>
      </w:r>
    </w:p>
    <w:p>
      <w:pPr>
        <w:spacing w:after="0" w:line="240" w:lineRule="auto"/>
        <w:shd w:fill="F2F5F5"/>
      </w:pPr>
      <w:r>
        <w:rPr>
          <w:rFonts w:ascii="Consolas" w:hAnsi="Consolas"/>
          <w:sz w:val="17"/>
        </w:rPr>
        <w:t xml:space="preserve">  validate dates/age sources, weight freshness, BCS1..9 and typed enums</w:t>
      </w:r>
    </w:p>
    <w:p>
      <w:pPr>
        <w:spacing w:after="0" w:line="240" w:lineRule="auto"/>
        <w:shd w:fill="F2F5F5"/>
      </w:pPr>
      <w:r>
        <w:rPr>
          <w:rFonts w:ascii="Consolas" w:hAnsi="Consolas"/>
          <w:sz w:val="17"/>
        </w:rPr>
        <w:t xml:space="preserve">  derive developmental stage + confidence, retain reproductive state separately</w:t>
      </w:r>
    </w:p>
    <w:p>
      <w:pPr>
        <w:spacing w:after="0" w:line="240" w:lineRule="auto"/>
        <w:shd w:fill="F2F5F5"/>
      </w:pPr>
      <w:r>
        <w:rPr>
          <w:rFonts w:ascii="Consolas" w:hAnsi="Consolas"/>
          <w:sz w:val="17"/>
        </w:rPr>
        <w:t xml:space="preserve">  screen emergency, health, prescribed diet, allergy and body-condition concerns</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 xml:space="preserve">  if mode == recorded:</w:t>
      </w:r>
    </w:p>
    <w:p>
      <w:pPr>
        <w:spacing w:after="0" w:line="240" w:lineRule="auto"/>
        <w:shd w:fill="F2F5F5"/>
      </w:pPr>
      <w:r>
        <w:rPr>
          <w:rFonts w:ascii="Consolas" w:hAnsi="Consolas"/>
          <w:sz w:val="17"/>
        </w:rPr>
        <w:t xml:space="preserve">    validate entered quantities and dates</w:t>
      </w:r>
    </w:p>
    <w:p>
      <w:pPr>
        <w:spacing w:after="0" w:line="240" w:lineRule="auto"/>
        <w:shd w:fill="F2F5F5"/>
      </w:pPr>
      <w:r>
        <w:rPr>
          <w:rFonts w:ascii="Consolas" w:hAnsi="Consolas"/>
          <w:sz w:val="17"/>
        </w:rPr>
        <w:t xml:space="preserve">    return recording preview + any safety/referral flags, with no approval claim</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 xml:space="preserve">  determine supported population; collect all applicable blocker codes</w:t>
      </w:r>
    </w:p>
    <w:p>
      <w:pPr>
        <w:spacing w:after="0" w:line="240" w:lineRule="auto"/>
        <w:shd w:fill="F2F5F5"/>
      </w:pPr>
      <w:r>
        <w:rPr>
          <w:rFonts w:ascii="Consolas" w:hAnsi="Consolas"/>
          <w:sz w:val="17"/>
        </w:rPr>
        <w:t xml:space="preserve">  if blocked: return no recommended quantities + explanation + recording option</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 xml:space="preserve">  select exactly one versioned energy method by explicit priority</w:t>
      </w:r>
    </w:p>
    <w:p>
      <w:pPr>
        <w:spacing w:after="0" w:line="240" w:lineRule="auto"/>
        <w:shd w:fill="F2F5F5"/>
      </w:pPr>
      <w:r>
        <w:rPr>
          <w:rFonts w:ascii="Consolas" w:hAnsi="Consolas"/>
          <w:sz w:val="17"/>
        </w:rPr>
        <w:t xml:space="preserve">  select weight basis and factor/equation; validate method domain</w:t>
      </w:r>
    </w:p>
    <w:p>
      <w:pPr>
        <w:spacing w:after="0" w:line="240" w:lineRule="auto"/>
        <w:shd w:fill="F2F5F5"/>
      </w:pPr>
      <w:r>
        <w:rPr>
          <w:rFonts w:ascii="Consolas" w:hAnsi="Consolas"/>
          <w:sz w:val="17"/>
        </w:rPr>
        <w:t xml:space="preserve">  calculate unrounded RER and energy target</w:t>
      </w:r>
    </w:p>
    <w:p>
      <w:pPr>
        <w:spacing w:after="0" w:line="240" w:lineRule="auto"/>
        <w:shd w:fill="F2F5F5"/>
      </w:pPr>
      <w:r>
        <w:rPr>
          <w:rFonts w:ascii="Consolas" w:hAnsi="Consolas"/>
          <w:sz w:val="17"/>
        </w:rPr>
        <w:t xml:space="preserve">  select reviewed nutrient profile and applicable jurisdiction package</w:t>
      </w:r>
    </w:p>
    <w:p>
      <w:pPr>
        <w:spacing w:after="0" w:line="240" w:lineRule="auto"/>
        <w:shd w:fill="F2F5F5"/>
      </w:pPr>
      <w:r>
        <w:rPr>
          <w:rFonts w:ascii="Consolas" w:hAnsi="Consolas"/>
          <w:sz w:val="17"/>
        </w:rPr>
        <w:t xml:space="preserve">  if no supported profile/domain: return PROFILE_REVIEW_REQUIRED</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 xml:space="preserve">  load exact immutable food versions and all ingredient/subingredient identities</w:t>
      </w:r>
    </w:p>
    <w:p>
      <w:pPr>
        <w:spacing w:after="0" w:line="240" w:lineRule="auto"/>
        <w:shd w:fill="F2F5F5"/>
      </w:pPr>
      <w:r>
        <w:rPr>
          <w:rFonts w:ascii="Consolas" w:hAnsi="Consolas"/>
          <w:sz w:val="17"/>
        </w:rPr>
        <w:t xml:space="preserve">  check recall, preparation, hazard, life-stage and allergen/clinical eligibility</w:t>
      </w:r>
    </w:p>
    <w:p>
      <w:pPr>
        <w:spacing w:after="0" w:line="240" w:lineRule="auto"/>
        <w:shd w:fill="F2F5F5"/>
      </w:pPr>
      <w:r>
        <w:rPr>
          <w:rFonts w:ascii="Consolas" w:hAnsi="Consolas"/>
          <w:sz w:val="17"/>
        </w:rPr>
        <w:t xml:space="preserve">  create calorie ledger; reject duplicate IDs or unknown item energy</w:t>
      </w:r>
    </w:p>
    <w:p>
      <w:pPr>
        <w:spacing w:after="0" w:line="240" w:lineRule="auto"/>
        <w:shd w:fill="F2F5F5"/>
      </w:pPr>
      <w:r>
        <w:rPr>
          <w:rFonts w:ascii="Consolas" w:hAnsi="Consolas"/>
          <w:sz w:val="17"/>
        </w:rPr>
        <w:t xml:space="preserve">  allocate known extras and primary-food fractions; validate budget and sums</w:t>
      </w:r>
    </w:p>
    <w:p>
      <w:pPr>
        <w:spacing w:after="0" w:line="240" w:lineRule="auto"/>
        <w:shd w:fill="F2F5F5"/>
      </w:pPr>
      <w:r>
        <w:rPr>
          <w:rFonts w:ascii="Consolas" w:hAnsi="Consolas"/>
          <w:sz w:val="17"/>
        </w:rPr>
        <w:t xml:space="preserve">  compute unrounded grams for each item from exact ME density</w:t>
      </w:r>
    </w:p>
    <w:p>
      <w:pPr>
        <w:spacing w:after="0" w:line="240" w:lineRule="auto"/>
        <w:shd w:fill="F2F5F5"/>
      </w:pPr>
      <w:r>
        <w:rPr>
          <w:rFonts w:ascii="Consolas" w:hAnsi="Consolas"/>
          <w:sz w:val="17"/>
        </w:rPr>
        <w:t xml:space="preserve">  calculate nutrient contribution intervals with chemical-form/retention evidence</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 xml:space="preserve">  if commercial evidence path:</w:t>
      </w:r>
    </w:p>
    <w:p>
      <w:pPr>
        <w:spacing w:after="0" w:line="240" w:lineRule="auto"/>
        <w:shd w:fill="F2F5F5"/>
      </w:pPr>
      <w:r>
        <w:rPr>
          <w:rFonts w:ascii="Consolas" w:hAnsi="Consolas"/>
          <w:sz w:val="17"/>
        </w:rPr>
        <w:t xml:space="preserve">    validate relevant complete-food evidence and minimum primary energy share</w:t>
      </w:r>
    </w:p>
    <w:p>
      <w:pPr>
        <w:spacing w:after="0" w:line="240" w:lineRule="auto"/>
        <w:shd w:fill="F2F5F5"/>
      </w:pPr>
      <w:r>
        <w:rPr>
          <w:rFonts w:ascii="Consolas" w:hAnsi="Consolas"/>
          <w:sz w:val="17"/>
        </w:rPr>
        <w:t xml:space="preserve">    mark uncomputed nutrients UNKNOWN; label evidence separately</w:t>
      </w:r>
    </w:p>
    <w:p>
      <w:pPr>
        <w:spacing w:after="0" w:line="240" w:lineRule="auto"/>
        <w:shd w:fill="F2F5F5"/>
      </w:pPr>
      <w:r>
        <w:rPr>
          <w:rFonts w:ascii="Consolas" w:hAnsi="Consolas"/>
          <w:sz w:val="17"/>
        </w:rPr>
        <w:t xml:space="preserve">  else:</w:t>
      </w:r>
    </w:p>
    <w:p>
      <w:pPr>
        <w:spacing w:after="0" w:line="240" w:lineRule="auto"/>
        <w:shd w:fill="F2F5F5"/>
      </w:pPr>
      <w:r>
        <w:rPr>
          <w:rFonts w:ascii="Consolas" w:hAnsi="Consolas"/>
          <w:sz w:val="17"/>
        </w:rPr>
        <w:t xml:space="preserve">    evaluate each required min, upper limit, paired-AA rule and Ca:P constraint</w:t>
      </w:r>
    </w:p>
    <w:p>
      <w:pPr>
        <w:spacing w:after="0" w:line="240" w:lineRule="auto"/>
        <w:shd w:fill="F2F5F5"/>
      </w:pPr>
      <w:r>
        <w:rPr>
          <w:rFonts w:ascii="Consolas" w:hAnsi="Consolas"/>
          <w:sz w:val="17"/>
        </w:rPr>
        <w:t xml:space="preserve">    evaluate DM legal limits, bioavailability/review gates and data coverage</w:t>
      </w:r>
    </w:p>
    <w:p>
      <w:pPr>
        <w:spacing w:after="0" w:line="240" w:lineRule="auto"/>
        <w:shd w:fill="F2F5F5"/>
      </w:pPr>
      <w:r>
        <w:rPr>
          <w:rFonts w:ascii="Consolas" w:hAnsi="Consolas"/>
          <w:sz w:val="17"/>
        </w:rPr>
        <w:t xml:space="preserve">    any known failure =&gt; FAILED; else any required unknown =&gt; INDETERMINATE</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 xml:space="preserve">  round owner daily amounts at approved resolution; distribute meals by shares</w:t>
      </w:r>
    </w:p>
    <w:p>
      <w:pPr>
        <w:spacing w:after="0" w:line="240" w:lineRule="auto"/>
        <w:shd w:fill="F2F5F5"/>
      </w:pPr>
      <w:r>
        <w:rPr>
          <w:rFonts w:ascii="Consolas" w:hAnsi="Consolas"/>
          <w:sz w:val="17"/>
        </w:rPr>
        <w:t xml:space="preserve">  recompute actual ration energy, nutrients and constraints after rounding</w:t>
      </w:r>
    </w:p>
    <w:p>
      <w:pPr>
        <w:spacing w:after="0" w:line="240" w:lineRule="auto"/>
        <w:shd w:fill="F2F5F5"/>
      </w:pPr>
      <w:r>
        <w:rPr>
          <w:rFonts w:ascii="Consolas" w:hAnsi="Consolas"/>
          <w:sz w:val="17"/>
        </w:rPr>
        <w:t xml:space="preserve">  block inappropriate dose resolution or post-rounding failure</w:t>
      </w:r>
    </w:p>
    <w:p>
      <w:pPr>
        <w:spacing w:after="0" w:line="240" w:lineRule="auto"/>
        <w:shd w:fill="F2F5F5"/>
      </w:pPr>
      <w:r>
        <w:rPr>
          <w:rFonts w:ascii="Consolas" w:hAnsi="Consolas"/>
          <w:sz w:val="17"/>
        </w:rPr>
        <w:t xml:space="preserve">  build explanations from method IDs/data/reason codes, never from invented facts</w:t>
      </w:r>
    </w:p>
    <w:p>
      <w:pPr>
        <w:spacing w:after="0" w:line="240" w:lineRule="auto"/>
        <w:shd w:fill="F2F5F5"/>
      </w:pPr>
      <w:r>
        <w:rPr>
          <w:rFonts w:ascii="Consolas" w:hAnsi="Consolas"/>
          <w:sz w:val="17"/>
        </w:rPr>
        <w:t xml:space="preserve">  create immutable input/output/source snapshots and integrity digest</w:t>
      </w:r>
    </w:p>
    <w:p>
      <w:pPr>
        <w:spacing w:after="0" w:line="240" w:lineRule="auto"/>
        <w:shd w:fill="F2F5F5"/>
      </w:pPr>
      <w:r>
        <w:rPr>
          <w:rFonts w:ascii="Consolas" w:hAnsi="Consolas"/>
          <w:sz w:val="17"/>
        </w:rPr>
        <w:t xml:space="preserve">  return preview status, quantities, evidence status, warnings, review needs</w:t>
      </w:r>
    </w:p>
    <w:p>
      <w:pPr>
        <w:spacing w:after="0" w:line="240" w:lineRule="auto"/>
        <w:shd w:fill="F2F5F5"/>
      </w:pPr>
      <w:r>
        <w:rPr>
          <w:rFonts w:ascii="Consolas" w:hAnsi="Consolas"/>
          <w:sz w:val="17"/>
        </w:rPr>
      </w:r>
    </w:p>
    <w:p>
      <w:pPr>
        <w:spacing w:after="0" w:line="240" w:lineRule="auto"/>
        <w:shd w:fill="F2F5F5"/>
      </w:pPr>
      <w:r>
        <w:rPr>
          <w:rFonts w:ascii="Consolas" w:hAnsi="Consolas"/>
          <w:sz w:val="17"/>
        </w:rPr>
        <w:t>save(principal, requestId, previewDigest, expectedDogRevision):</w:t>
      </w:r>
    </w:p>
    <w:p>
      <w:pPr>
        <w:spacing w:after="0" w:line="240" w:lineRule="auto"/>
        <w:shd w:fill="F2F5F5"/>
      </w:pPr>
      <w:r>
        <w:rPr>
          <w:rFonts w:ascii="Consolas" w:hAnsi="Consolas"/>
          <w:sz w:val="17"/>
        </w:rPr>
        <w:t xml:space="preserve">  reauthenticate; reload current dog/foods/source status</w:t>
      </w:r>
    </w:p>
    <w:p>
      <w:pPr>
        <w:spacing w:after="0" w:line="240" w:lineRule="auto"/>
        <w:shd w:fill="F2F5F5"/>
      </w:pPr>
      <w:r>
        <w:rPr>
          <w:rFonts w:ascii="Consolas" w:hAnsi="Consolas"/>
          <w:sz w:val="17"/>
        </w:rPr>
        <w:t xml:space="preserve">  rerun preview server-side; reject changed input/version/digest</w:t>
      </w:r>
    </w:p>
    <w:p>
      <w:pPr>
        <w:spacing w:after="0" w:line="240" w:lineRule="auto"/>
        <w:shd w:fill="F2F5F5"/>
      </w:pPr>
      <w:r>
        <w:rPr>
          <w:rFonts w:ascii="Consolas" w:hAnsi="Consolas"/>
          <w:sz w:val="17"/>
        </w:rPr>
        <w:t xml:space="preserve">  if recorded: save as recording, without an automatic recommendation flag</w:t>
      </w:r>
    </w:p>
    <w:p>
      <w:pPr>
        <w:spacing w:after="0" w:line="240" w:lineRule="auto"/>
        <w:shd w:fill="F2F5F5"/>
      </w:pPr>
      <w:r>
        <w:rPr>
          <w:rFonts w:ascii="Consolas" w:hAnsi="Consolas"/>
          <w:sz w:val="17"/>
        </w:rPr>
        <w:t xml:space="preserve">  else require eligible evidence path and all required release/review gates</w:t>
      </w:r>
    </w:p>
    <w:p>
      <w:pPr>
        <w:spacing w:after="0" w:line="240" w:lineRule="auto"/>
        <w:shd w:fill="F2F5F5"/>
      </w:pPr>
      <w:r>
        <w:rPr>
          <w:rFonts w:ascii="Consolas" w:hAnsi="Consolas"/>
          <w:sz w:val="17"/>
        </w:rPr>
        <w:t xml:space="preserve">  atomically create next plan version and end previous active plan</w:t>
      </w:r>
    </w:p>
    <w:p>
      <w:pPr>
        <w:spacing w:after="0" w:line="240" w:lineRule="auto"/>
        <w:shd w:fill="F2F5F5"/>
      </w:pPr>
      <w:r>
        <w:rPr>
          <w:rFonts w:ascii="Consolas" w:hAnsi="Consolas"/>
          <w:sz w:val="17"/>
        </w:rPr>
        <w:t xml:space="preserve">  preserve calculation, reviewer/source versions and idempotency result</w:t>
      </w:r>
    </w:p>
    <w:p>
      <w:r>
        <w:t>Validate existing prescriptions even in recording mode for data consistency and flag hazards; do not suppress warnings because the owner labels an entry “vet approved.” Emergency messaging should take priority over extensive nutrient output. If a raw diet is already fed, the diary can record it with appropriate risk information, without a recommendation flag.</w:t>
      </w:r>
    </w:p>
    <w:p>
      <w:pPr>
        <w:pStyle w:val="Heading2"/>
      </w:pPr>
      <w:r>
        <w:t>16.3 Nutrient mathematics and future recipe solver</w:t>
      </w:r>
    </w:p>
    <w:p>
      <w:r>
        <w:t xml:space="preserve">For food </w:t>
      </w:r>
      <w:r>
        <w:rPr>
          <w:rFonts w:ascii="Consolas" w:hAnsi="Consolas"/>
          <w:sz w:val="18"/>
        </w:rPr>
        <w:t>i</w:t>
      </w:r>
      <w:r>
        <w:t xml:space="preserve"> at quantity </w:t>
      </w:r>
      <w:r>
        <w:rPr>
          <w:rFonts w:ascii="Consolas" w:hAnsi="Consolas"/>
          <w:sz w:val="18"/>
        </w:rPr>
        <w:t>x_i</w:t>
      </w:r>
      <w:r>
        <w:t xml:space="preserve"> grams and canonical nutrient concentration </w:t>
      </w:r>
      <w:r>
        <w:rPr>
          <w:rFonts w:ascii="Consolas" w:hAnsi="Consolas"/>
          <w:sz w:val="18"/>
        </w:rPr>
        <w:t>a_ij</w:t>
      </w:r>
      <w:r>
        <w:t xml:space="preserve"> per gram, </w:t>
      </w:r>
      <w:r>
        <w:rPr>
          <w:rFonts w:ascii="Consolas" w:hAnsi="Consolas"/>
          <w:sz w:val="18"/>
        </w:rPr>
        <w:t>N_j=Σ(x_i×a_ij)</w:t>
      </w:r>
      <w:r>
        <w:t xml:space="preserve">. Unknown contributing concentration produces an unknown interval unless a defensible bound exists. </w:t>
      </w:r>
      <w:r>
        <w:rPr>
          <w:rFonts w:ascii="Consolas" w:hAnsi="Consolas"/>
          <w:sz w:val="18"/>
        </w:rPr>
        <w:t>E_ration=Σ(x_i×ME_i)</w:t>
      </w:r>
      <w:r>
        <w:t xml:space="preserve">. For profile minimum </w:t>
      </w:r>
      <w:r>
        <w:rPr>
          <w:rFonts w:ascii="Consolas" w:hAnsi="Consolas"/>
          <w:sz w:val="18"/>
        </w:rPr>
        <w:t>m_j</w:t>
      </w:r>
      <w:r>
        <w:t xml:space="preserve">, check </w:t>
      </w:r>
      <w:r>
        <w:rPr>
          <w:rFonts w:ascii="Consolas" w:hAnsi="Consolas"/>
          <w:sz w:val="18"/>
        </w:rPr>
        <w:t>N_j≥m_j×E_ration/1000</w:t>
      </w:r>
      <w:r>
        <w:t xml:space="preserve">; maximum </w:t>
      </w:r>
      <w:r>
        <w:rPr>
          <w:rFonts w:ascii="Consolas" w:hAnsi="Consolas"/>
          <w:sz w:val="18"/>
        </w:rPr>
        <w:t>u_j</w:t>
      </w:r>
      <w:r>
        <w:t xml:space="preserve"> checks </w:t>
      </w:r>
      <w:r>
        <w:rPr>
          <w:rFonts w:ascii="Consolas" w:hAnsi="Consolas"/>
          <w:sz w:val="18"/>
        </w:rPr>
        <w:t>N_j≤u_j×E_ration/1000</w:t>
      </w:r>
      <w:r>
        <w:t>. A separate target-derived daily comparison is educational and must be identified as such.</w:t>
      </w:r>
    </w:p>
    <w:p>
      <w:r>
        <w:t xml:space="preserve">Ratios use summed elemental mass: </w:t>
      </w:r>
      <w:r>
        <w:rPr>
          <w:rFonts w:ascii="Consolas" w:hAnsi="Consolas"/>
          <w:sz w:val="18"/>
        </w:rPr>
        <w:t>Ca≥r_min×P</w:t>
      </w:r>
      <w:r>
        <w:t xml:space="preserve"> and </w:t>
      </w:r>
      <w:r>
        <w:rPr>
          <w:rFonts w:ascii="Consolas" w:hAnsi="Consolas"/>
          <w:sz w:val="18"/>
        </w:rPr>
        <w:t>Ca≤r_max×P</w:t>
      </w:r>
      <w:r>
        <w:t xml:space="preserve">, with known positive P. A DM limit </w:t>
      </w:r>
      <w:r>
        <w:rPr>
          <w:rFonts w:ascii="Consolas" w:hAnsi="Consolas"/>
          <w:sz w:val="18"/>
        </w:rPr>
        <w:t>d_j</w:t>
      </w:r>
      <w:r>
        <w:t xml:space="preserve"> per 100 g DM requires </w:t>
      </w:r>
      <w:r>
        <w:rPr>
          <w:rFonts w:ascii="Consolas" w:hAnsi="Consolas"/>
          <w:sz w:val="18"/>
        </w:rPr>
        <w:t>N_j≤d_j×Σ(x_i×DMfraction_i)/100</w:t>
      </w:r>
      <w:r>
        <w:t>. Organic selenium added amount is a separate contributor total, not inferred from total selenium. For wet/dry selenium profile distinctions in an actual mixed formulation, require a documented reviewer-approved mapping; do not choose the lower value for convenience.</w:t>
      </w:r>
    </w:p>
    <w:p>
      <w:r>
        <w:t xml:space="preserve">A future solver can use nonnegative ingredient quantities, typed coefficients, approved ingredient bounds, energy bounds, all nutrient inequalities and ratio constraints. Generate candidates only from reviewed exact ingredients/premixes/preparations. Specify reproducible optimization order: feasible safety/adequacy first; then minimize target-energy deviation; then deviation from approved recipe/preferences; then stable food-ID tie-break. Quantity limits and recipe patterns must have sources/reviewer approval, not invented universal maxima. Solver tolerances must not relax nutrition. </w:t>
      </w:r>
      <w:r>
        <w:rPr>
          <w:rFonts w:ascii="Consolas" w:hAnsi="Consolas"/>
          <w:sz w:val="18"/>
        </w:rPr>
        <w:t>INFEASIBLE</w:t>
      </w:r>
      <w:r>
        <w:t xml:space="preserve"> yields the conflicting constraints and no approved recipe; </w:t>
      </w:r>
      <w:r>
        <w:rPr>
          <w:rFonts w:ascii="Consolas" w:hAnsi="Consolas"/>
          <w:sz w:val="18"/>
        </w:rPr>
        <w:t>DATA_INCOMPLETE</w:t>
      </w:r>
      <w:r>
        <w:t xml:space="preserve"> does not run a solver with zeros. Solving the matrix still does not replace availability, cooking and veterinary formulation review.</w:t>
      </w:r>
    </w:p>
    <w:p>
      <w:pPr>
        <w:pStyle w:val="Heading2"/>
      </w:pPr>
      <w:r>
        <w:t>16.4 Statuses and actionable reasons</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Code group</w:t>
            </w:r>
          </w:p>
        </w:tc>
        <w:tc>
          <w:tcPr>
            <w:tcW w:type="dxa" w:w="3346"/>
            <w:shd w:fill="154F59"/>
          </w:tcPr>
          <w:p>
            <w:pPr>
              <w:spacing w:after="60" w:before="40"/>
            </w:pPr>
            <w:r>
              <w:rPr>
                <w:b/>
                <w:color w:val="FFFFFF"/>
                <w:sz w:val="19"/>
              </w:rPr>
              <w:t>Example codes</w:t>
            </w:r>
          </w:p>
        </w:tc>
        <w:tc>
          <w:tcPr>
            <w:tcW w:type="dxa" w:w="3346"/>
            <w:shd w:fill="154F59"/>
          </w:tcPr>
          <w:p>
            <w:pPr>
              <w:spacing w:after="60" w:before="40"/>
            </w:pPr>
            <w:r>
              <w:rPr>
                <w:b/>
                <w:color w:val="FFFFFF"/>
                <w:sz w:val="19"/>
              </w:rPr>
              <w:t>Response</w:t>
            </w:r>
          </w:p>
        </w:tc>
      </w:tr>
      <w:tr>
        <w:tc>
          <w:tcPr>
            <w:tcW w:type="dxa" w:w="3346"/>
          </w:tcPr>
          <w:p>
            <w:pPr>
              <w:spacing w:after="60" w:before="40"/>
            </w:pPr>
            <w:r>
              <w:rPr>
                <w:sz w:val="19"/>
              </w:rPr>
              <w:t>Invalid data</w:t>
            </w:r>
          </w:p>
        </w:tc>
        <w:tc>
          <w:tcPr>
            <w:tcW w:type="dxa" w:w="3346"/>
          </w:tcPr>
          <w:p>
            <w:pPr>
              <w:spacing w:after="60" w:before="40"/>
            </w:pPr>
            <w:r>
              <w:rPr>
                <w:rFonts w:ascii="Consolas" w:hAnsi="Consolas"/>
                <w:sz w:val="19"/>
              </w:rPr>
              <w:t>INVALID_WEIGHT</w:t>
            </w:r>
            <w:r>
              <w:rPr>
                <w:sz w:val="19"/>
              </w:rPr>
              <w:t xml:space="preserve">, </w:t>
            </w:r>
            <w:r>
              <w:rPr>
                <w:rFonts w:ascii="Consolas" w:hAnsi="Consolas"/>
                <w:sz w:val="19"/>
              </w:rPr>
              <w:t>INVALID_UNIT</w:t>
            </w:r>
            <w:r>
              <w:rPr>
                <w:sz w:val="19"/>
              </w:rPr>
              <w:t xml:space="preserve">, </w:t>
            </w:r>
            <w:r>
              <w:rPr>
                <w:rFonts w:ascii="Consolas" w:hAnsi="Consolas"/>
                <w:sz w:val="19"/>
              </w:rPr>
              <w:t>AGE_CONFLICT</w:t>
            </w:r>
            <w:r>
              <w:rPr>
                <w:sz w:val="19"/>
              </w:rPr>
              <w:t xml:space="preserve">, </w:t>
            </w:r>
            <w:r>
              <w:rPr>
                <w:rFonts w:ascii="Consolas" w:hAnsi="Consolas"/>
                <w:sz w:val="19"/>
              </w:rPr>
              <w:t>BCS_OUT_OF_RANGE</w:t>
            </w:r>
          </w:p>
        </w:tc>
        <w:tc>
          <w:tcPr>
            <w:tcW w:type="dxa" w:w="3346"/>
          </w:tcPr>
          <w:p>
            <w:pPr>
              <w:spacing w:after="60" w:before="40"/>
            </w:pPr>
            <w:r>
              <w:rPr>
                <w:sz w:val="19"/>
              </w:rPr>
              <w:t>Correct data; no calculation</w:t>
            </w:r>
          </w:p>
        </w:tc>
      </w:tr>
      <w:tr>
        <w:tc>
          <w:tcPr>
            <w:tcW w:type="dxa" w:w="3346"/>
          </w:tcPr>
          <w:p>
            <w:pPr>
              <w:spacing w:after="60" w:before="40"/>
            </w:pPr>
            <w:r>
              <w:rPr>
                <w:sz w:val="19"/>
              </w:rPr>
              <w:t>Unsupported population</w:t>
            </w:r>
          </w:p>
        </w:tc>
        <w:tc>
          <w:tcPr>
            <w:tcW w:type="dxa" w:w="3346"/>
          </w:tcPr>
          <w:p>
            <w:pPr>
              <w:spacing w:after="60" w:before="40"/>
            </w:pPr>
            <w:r>
              <w:rPr>
                <w:rFonts w:ascii="Consolas" w:hAnsi="Consolas"/>
                <w:sz w:val="19"/>
              </w:rPr>
              <w:t>GROWTH_REVIEW_REQUIRED</w:t>
            </w:r>
            <w:r>
              <w:rPr>
                <w:sz w:val="19"/>
              </w:rPr>
              <w:t xml:space="preserve">, </w:t>
            </w:r>
            <w:r>
              <w:rPr>
                <w:rFonts w:ascii="Consolas" w:hAnsi="Consolas"/>
                <w:sz w:val="19"/>
              </w:rPr>
              <w:t>REPRODUCTION_REVIEW_REQUIRED</w:t>
            </w:r>
            <w:r>
              <w:rPr>
                <w:sz w:val="19"/>
              </w:rPr>
              <w:t xml:space="preserve">, </w:t>
            </w:r>
            <w:r>
              <w:rPr>
                <w:rFonts w:ascii="Consolas" w:hAnsi="Consolas"/>
                <w:sz w:val="19"/>
              </w:rPr>
              <w:t>CLINICAL_REVIEW_REQUIRED</w:t>
            </w:r>
          </w:p>
        </w:tc>
        <w:tc>
          <w:tcPr>
            <w:tcW w:type="dxa" w:w="3346"/>
          </w:tcPr>
          <w:p>
            <w:pPr>
              <w:spacing w:after="60" w:before="40"/>
            </w:pPr>
            <w:r>
              <w:rPr>
                <w:sz w:val="19"/>
              </w:rPr>
              <w:t>Recording and referral; no recommended portions</w:t>
            </w:r>
          </w:p>
        </w:tc>
      </w:tr>
      <w:tr>
        <w:tc>
          <w:tcPr>
            <w:tcW w:type="dxa" w:w="3346"/>
          </w:tcPr>
          <w:p>
            <w:pPr>
              <w:spacing w:after="60" w:before="40"/>
            </w:pPr>
            <w:r>
              <w:rPr>
                <w:sz w:val="19"/>
              </w:rPr>
              <w:t>Energy/profile</w:t>
            </w:r>
          </w:p>
        </w:tc>
        <w:tc>
          <w:tcPr>
            <w:tcW w:type="dxa" w:w="3346"/>
          </w:tcPr>
          <w:p>
            <w:pPr>
              <w:spacing w:after="60" w:before="40"/>
            </w:pPr>
            <w:r>
              <w:rPr>
                <w:rFonts w:ascii="Consolas" w:hAnsi="Consolas"/>
                <w:sz w:val="19"/>
              </w:rPr>
              <w:t>METHOD_OUT_OF_DOMAIN</w:t>
            </w:r>
            <w:r>
              <w:rPr>
                <w:sz w:val="19"/>
              </w:rPr>
              <w:t xml:space="preserve">, </w:t>
            </w:r>
            <w:r>
              <w:rPr>
                <w:rFonts w:ascii="Consolas" w:hAnsi="Consolas"/>
                <w:sz w:val="19"/>
              </w:rPr>
              <w:t>IDEAL_WEIGHT_REQUIRED</w:t>
            </w:r>
            <w:r>
              <w:rPr>
                <w:sz w:val="19"/>
              </w:rPr>
              <w:t xml:space="preserve">, </w:t>
            </w:r>
            <w:r>
              <w:rPr>
                <w:rFonts w:ascii="Consolas" w:hAnsi="Consolas"/>
                <w:sz w:val="19"/>
              </w:rPr>
              <w:t>PROFILE_REVIEW_REQUIRED</w:t>
            </w:r>
          </w:p>
        </w:tc>
        <w:tc>
          <w:tcPr>
            <w:tcW w:type="dxa" w:w="3346"/>
          </w:tcPr>
          <w:p>
            <w:pPr>
              <w:spacing w:after="60" w:before="40"/>
            </w:pPr>
            <w:r>
              <w:rPr>
                <w:sz w:val="19"/>
              </w:rPr>
              <w:t>Reviewer supplies appropriate protocol</w:t>
            </w:r>
          </w:p>
        </w:tc>
      </w:tr>
      <w:tr>
        <w:tc>
          <w:tcPr>
            <w:tcW w:type="dxa" w:w="3346"/>
          </w:tcPr>
          <w:p>
            <w:pPr>
              <w:spacing w:after="60" w:before="40"/>
            </w:pPr>
            <w:r>
              <w:rPr>
                <w:sz w:val="19"/>
              </w:rPr>
              <w:t>Food evidence</w:t>
            </w:r>
          </w:p>
        </w:tc>
        <w:tc>
          <w:tcPr>
            <w:tcW w:type="dxa" w:w="3346"/>
          </w:tcPr>
          <w:p>
            <w:pPr>
              <w:spacing w:after="60" w:before="40"/>
            </w:pPr>
            <w:r>
              <w:rPr>
                <w:rFonts w:ascii="Consolas" w:hAnsi="Consolas"/>
                <w:sz w:val="19"/>
              </w:rPr>
              <w:t>ME_UNKNOWN</w:t>
            </w:r>
            <w:r>
              <w:rPr>
                <w:sz w:val="19"/>
              </w:rPr>
              <w:t xml:space="preserve">, </w:t>
            </w:r>
            <w:r>
              <w:rPr>
                <w:rFonts w:ascii="Consolas" w:hAnsi="Consolas"/>
                <w:sz w:val="19"/>
              </w:rPr>
              <w:t>FOOD_LIFESTAGE_MISMATCH</w:t>
            </w:r>
            <w:r>
              <w:rPr>
                <w:sz w:val="19"/>
              </w:rPr>
              <w:t xml:space="preserve">, </w:t>
            </w:r>
            <w:r>
              <w:rPr>
                <w:rFonts w:ascii="Consolas" w:hAnsi="Consolas"/>
                <w:sz w:val="19"/>
              </w:rPr>
              <w:t>LABEL_UNVERIFIED</w:t>
            </w:r>
            <w:r>
              <w:rPr>
                <w:sz w:val="19"/>
              </w:rPr>
              <w:t xml:space="preserve">, </w:t>
            </w:r>
            <w:r>
              <w:rPr>
                <w:rFonts w:ascii="Consolas" w:hAnsi="Consolas"/>
                <w:sz w:val="19"/>
              </w:rPr>
              <w:t>FOOD_WITHDRAWN</w:t>
            </w:r>
          </w:p>
        </w:tc>
        <w:tc>
          <w:tcPr>
            <w:tcW w:type="dxa" w:w="3346"/>
          </w:tcPr>
          <w:p>
            <w:pPr>
              <w:spacing w:after="60" w:before="40"/>
            </w:pPr>
            <w:r>
              <w:rPr>
                <w:sz w:val="19"/>
              </w:rPr>
              <w:t>Select/verify exact eligible food</w:t>
            </w:r>
          </w:p>
        </w:tc>
      </w:tr>
      <w:tr>
        <w:tc>
          <w:tcPr>
            <w:tcW w:type="dxa" w:w="3346"/>
          </w:tcPr>
          <w:p>
            <w:pPr>
              <w:spacing w:after="60" w:before="40"/>
            </w:pPr>
            <w:r>
              <w:rPr>
                <w:sz w:val="19"/>
              </w:rPr>
              <w:t>Safety</w:t>
            </w:r>
          </w:p>
        </w:tc>
        <w:tc>
          <w:tcPr>
            <w:tcW w:type="dxa" w:w="3346"/>
          </w:tcPr>
          <w:p>
            <w:pPr>
              <w:spacing w:after="60" w:before="40"/>
            </w:pPr>
            <w:r>
              <w:rPr>
                <w:rFonts w:ascii="Consolas" w:hAnsi="Consolas"/>
                <w:sz w:val="19"/>
              </w:rPr>
              <w:t>TOXIC_INGREDIENT</w:t>
            </w:r>
            <w:r>
              <w:rPr>
                <w:sz w:val="19"/>
              </w:rPr>
              <w:t xml:space="preserve">, </w:t>
            </w:r>
            <w:r>
              <w:rPr>
                <w:rFonts w:ascii="Consolas" w:hAnsi="Consolas"/>
                <w:sz w:val="19"/>
              </w:rPr>
              <w:t>BONE_HAZARD</w:t>
            </w:r>
            <w:r>
              <w:rPr>
                <w:sz w:val="19"/>
              </w:rPr>
              <w:t xml:space="preserve">, </w:t>
            </w:r>
            <w:r>
              <w:rPr>
                <w:rFonts w:ascii="Consolas" w:hAnsi="Consolas"/>
                <w:sz w:val="19"/>
              </w:rPr>
              <w:t>ALLERGEN_UNRESOLVED</w:t>
            </w:r>
          </w:p>
        </w:tc>
        <w:tc>
          <w:tcPr>
            <w:tcW w:type="dxa" w:w="3346"/>
          </w:tcPr>
          <w:p>
            <w:pPr>
              <w:spacing w:after="60" w:before="40"/>
            </w:pPr>
            <w:r>
              <w:rPr>
                <w:sz w:val="19"/>
              </w:rPr>
              <w:t>Block; exposure uses triage message</w:t>
            </w:r>
          </w:p>
        </w:tc>
      </w:tr>
      <w:tr>
        <w:tc>
          <w:tcPr>
            <w:tcW w:type="dxa" w:w="3346"/>
          </w:tcPr>
          <w:p>
            <w:pPr>
              <w:spacing w:after="60" w:before="40"/>
            </w:pPr>
            <w:r>
              <w:rPr>
                <w:sz w:val="19"/>
              </w:rPr>
              <w:t>Ledger</w:t>
            </w:r>
          </w:p>
        </w:tc>
        <w:tc>
          <w:tcPr>
            <w:tcW w:type="dxa" w:w="3346"/>
          </w:tcPr>
          <w:p>
            <w:pPr>
              <w:spacing w:after="60" w:before="40"/>
            </w:pPr>
            <w:r>
              <w:rPr>
                <w:rFonts w:ascii="Consolas" w:hAnsi="Consolas"/>
                <w:sz w:val="19"/>
              </w:rPr>
              <w:t>EXTRAS_ENERGY_UNKNOWN</w:t>
            </w:r>
            <w:r>
              <w:rPr>
                <w:sz w:val="19"/>
              </w:rPr>
              <w:t xml:space="preserve">, </w:t>
            </w:r>
            <w:r>
              <w:rPr>
                <w:rFonts w:ascii="Consolas" w:hAnsi="Consolas"/>
                <w:sz w:val="19"/>
              </w:rPr>
              <w:t>DUPLICATE_LEDGER_ITEM</w:t>
            </w:r>
            <w:r>
              <w:rPr>
                <w:sz w:val="19"/>
              </w:rPr>
              <w:t xml:space="preserve">, </w:t>
            </w:r>
            <w:r>
              <w:rPr>
                <w:rFonts w:ascii="Consolas" w:hAnsi="Consolas"/>
                <w:sz w:val="19"/>
              </w:rPr>
              <w:t>EXTRAS_BUDGET_EXCEEDED</w:t>
            </w:r>
          </w:p>
        </w:tc>
        <w:tc>
          <w:tcPr>
            <w:tcW w:type="dxa" w:w="3346"/>
          </w:tcPr>
          <w:p>
            <w:pPr>
              <w:spacing w:after="60" w:before="40"/>
            </w:pPr>
            <w:r>
              <w:rPr>
                <w:sz w:val="19"/>
              </w:rPr>
              <w:t>Correct identified quantities; never silently drop an item</w:t>
            </w:r>
          </w:p>
        </w:tc>
      </w:tr>
      <w:tr>
        <w:tc>
          <w:tcPr>
            <w:tcW w:type="dxa" w:w="3346"/>
          </w:tcPr>
          <w:p>
            <w:pPr>
              <w:spacing w:after="60" w:before="40"/>
            </w:pPr>
            <w:r>
              <w:rPr>
                <w:sz w:val="19"/>
              </w:rPr>
              <w:t>Adequacy</w:t>
            </w:r>
          </w:p>
        </w:tc>
        <w:tc>
          <w:tcPr>
            <w:tcW w:type="dxa" w:w="3346"/>
          </w:tcPr>
          <w:p>
            <w:pPr>
              <w:spacing w:after="60" w:before="40"/>
            </w:pPr>
            <w:r>
              <w:rPr>
                <w:rFonts w:ascii="Consolas" w:hAnsi="Consolas"/>
                <w:sz w:val="19"/>
              </w:rPr>
              <w:t>NUTRIENT_MIN_FAILED</w:t>
            </w:r>
            <w:r>
              <w:rPr>
                <w:sz w:val="19"/>
              </w:rPr>
              <w:t xml:space="preserve">, </w:t>
            </w:r>
            <w:r>
              <w:rPr>
                <w:rFonts w:ascii="Consolas" w:hAnsi="Consolas"/>
                <w:sz w:val="19"/>
              </w:rPr>
              <w:t>NUTRIENT_MAX_FAILED</w:t>
            </w:r>
            <w:r>
              <w:rPr>
                <w:sz w:val="19"/>
              </w:rPr>
              <w:t xml:space="preserve">, </w:t>
            </w:r>
            <w:r>
              <w:rPr>
                <w:rFonts w:ascii="Consolas" w:hAnsi="Consolas"/>
                <w:sz w:val="19"/>
              </w:rPr>
              <w:t>CAP_RATIO_FAILED</w:t>
            </w:r>
            <w:r>
              <w:rPr>
                <w:sz w:val="19"/>
              </w:rPr>
              <w:t xml:space="preserve">, </w:t>
            </w:r>
            <w:r>
              <w:rPr>
                <w:rFonts w:ascii="Consolas" w:hAnsi="Consolas"/>
                <w:sz w:val="19"/>
              </w:rPr>
              <w:t>NUTRIENT_DATA_MISSING</w:t>
            </w:r>
          </w:p>
        </w:tc>
        <w:tc>
          <w:tcPr>
            <w:tcW w:type="dxa" w:w="3346"/>
          </w:tcPr>
          <w:p>
            <w:pPr>
              <w:spacing w:after="60" w:before="40"/>
            </w:pPr>
            <w:r>
              <w:rPr>
                <w:sz w:val="19"/>
              </w:rPr>
              <w:t>Failure/indeterminate; no balanced claim</w:t>
            </w:r>
          </w:p>
        </w:tc>
      </w:tr>
      <w:tr>
        <w:tc>
          <w:tcPr>
            <w:tcW w:type="dxa" w:w="3346"/>
          </w:tcPr>
          <w:p>
            <w:pPr>
              <w:spacing w:after="60" w:before="40"/>
            </w:pPr>
            <w:r>
              <w:rPr>
                <w:sz w:val="19"/>
              </w:rPr>
              <w:t>Publication</w:t>
            </w:r>
          </w:p>
        </w:tc>
        <w:tc>
          <w:tcPr>
            <w:tcW w:type="dxa" w:w="3346"/>
          </w:tcPr>
          <w:p>
            <w:pPr>
              <w:spacing w:after="60" w:before="40"/>
            </w:pPr>
            <w:r>
              <w:rPr>
                <w:rFonts w:ascii="Consolas" w:hAnsi="Consolas"/>
                <w:sz w:val="19"/>
              </w:rPr>
              <w:t>REVIEW_EXPIRED</w:t>
            </w:r>
            <w:r>
              <w:rPr>
                <w:sz w:val="19"/>
              </w:rPr>
              <w:t xml:space="preserve">, </w:t>
            </w:r>
            <w:r>
              <w:rPr>
                <w:rFonts w:ascii="Consolas" w:hAnsi="Consolas"/>
                <w:sz w:val="19"/>
              </w:rPr>
              <w:t>STALE_PREVIEW</w:t>
            </w:r>
            <w:r>
              <w:rPr>
                <w:sz w:val="19"/>
              </w:rPr>
              <w:t xml:space="preserve">, </w:t>
            </w:r>
            <w:r>
              <w:rPr>
                <w:rFonts w:ascii="Consolas" w:hAnsi="Consolas"/>
                <w:sz w:val="19"/>
              </w:rPr>
              <w:t>PORTION_RESOLUTION_UNSUITABLE</w:t>
            </w:r>
          </w:p>
        </w:tc>
        <w:tc>
          <w:tcPr>
            <w:tcW w:type="dxa" w:w="3346"/>
          </w:tcPr>
          <w:p>
            <w:pPr>
              <w:spacing w:after="60" w:before="40"/>
            </w:pPr>
            <w:r>
              <w:rPr>
                <w:sz w:val="19"/>
              </w:rPr>
              <w:t>Revalidate/review; no stale save</w:t>
            </w:r>
          </w:p>
        </w:tc>
      </w:tr>
    </w:tbl>
    <w:p>
      <w:pPr>
        <w:spacing w:after="0"/>
      </w:pPr>
    </w:p>
    <w:p>
      <w:r>
        <w:t xml:space="preserve">Return structured </w:t>
      </w:r>
      <w:r>
        <w:rPr>
          <w:rFonts w:ascii="Consolas" w:hAnsi="Consolas"/>
          <w:sz w:val="18"/>
        </w:rPr>
        <w:t>code</w:t>
      </w:r>
      <w:r>
        <w:t xml:space="preserve">, </w:t>
      </w:r>
      <w:r>
        <w:rPr>
          <w:rFonts w:ascii="Consolas" w:hAnsi="Consolas"/>
          <w:sz w:val="18"/>
        </w:rPr>
        <w:t>severity</w:t>
      </w:r>
      <w:r>
        <w:t xml:space="preserve">, </w:t>
      </w:r>
      <w:r>
        <w:rPr>
          <w:rFonts w:ascii="Consolas" w:hAnsi="Consolas"/>
          <w:sz w:val="18"/>
        </w:rPr>
        <w:t>field</w:t>
      </w:r>
      <w:r>
        <w:t xml:space="preserve">, </w:t>
      </w:r>
      <w:r>
        <w:rPr>
          <w:rFonts w:ascii="Consolas" w:hAnsi="Consolas"/>
          <w:sz w:val="18"/>
        </w:rPr>
        <w:t>message</w:t>
      </w:r>
      <w:r>
        <w:t xml:space="preserve">, </w:t>
      </w:r>
      <w:r>
        <w:rPr>
          <w:rFonts w:ascii="Consolas" w:hAnsi="Consolas"/>
          <w:sz w:val="18"/>
        </w:rPr>
        <w:t>sourceRuleId</w:t>
      </w:r>
      <w:r>
        <w:t xml:space="preserve"> and permitted next action. A calorie-sufficient calcium-deficient recipe produces </w:t>
      </w:r>
      <w:r>
        <w:rPr>
          <w:rFonts w:ascii="Consolas" w:hAnsi="Consolas"/>
          <w:sz w:val="18"/>
        </w:rPr>
        <w:t>FAILED</w:t>
      </w:r>
      <w:r>
        <w:t xml:space="preserve">, not a warning-only approved plan. An incomplete selenium record produces </w:t>
      </w:r>
      <w:r>
        <w:rPr>
          <w:rFonts w:ascii="Consolas" w:hAnsi="Consolas"/>
          <w:sz w:val="18"/>
        </w:rPr>
        <w:t>INDETERMINATE</w:t>
      </w:r>
      <w:r>
        <w:t xml:space="preserve"> if no known failure exists. A commercial plan can carry </w:t>
      </w:r>
      <w:r>
        <w:rPr>
          <w:rFonts w:ascii="Consolas" w:hAnsi="Consolas"/>
          <w:sz w:val="18"/>
        </w:rPr>
        <w:t>nutrientAssessment=not_independently_assessed</w:t>
      </w:r>
      <w:r>
        <w:t xml:space="preserve"> alongside </w:t>
      </w:r>
      <w:r>
        <w:rPr>
          <w:rFonts w:ascii="Consolas" w:hAnsi="Consolas"/>
          <w:sz w:val="18"/>
        </w:rPr>
        <w:t>adequacyEvidence=label_supported</w:t>
      </w:r>
      <w:r>
        <w:t xml:space="preserve">; these statuses cannot be collapsed into </w:t>
      </w:r>
      <w:r>
        <w:rPr>
          <w:rFonts w:ascii="Consolas" w:hAnsi="Consolas"/>
          <w:sz w:val="18"/>
        </w:rPr>
        <w:t>nutritionally_verified</w:t>
      </w:r>
      <w:r>
        <w:t>.</w:t>
      </w:r>
    </w:p>
    <w:p>
      <w:r>
        <w:t>Monitoring stores weight/BCS/MCS, offered/eaten food, extras and symptoms with timestamps. A new observation proposes reassessment without editing the historical plan. A source update, food withdrawal, neutering, suspected illness, pregnancy, changed activity or significant unexplained trend invalidates reliance on an old automatic recommendation until the relevant workflow runs again. AI may explain the recorded results using source excerpts approved for use, but deterministic modules own quantities, eligibility and approval.</w:t>
      </w:r>
    </w:p>
    <w:p>
      <w:bookmarkStart w:id="17" w:name="section_17"/>
      <w:pPr>
        <w:pStyle w:val="Heading1"/>
      </w:pPr>
      <w:r>
        <w:t>17. Database Schema</w:t>
      </w:r>
      <w:bookmarkEnd w:id="17"/>
    </w:p>
    <w:p>
      <w:pPr>
        <w:pStyle w:val="Heading2"/>
      </w:pPr>
      <w:r>
        <w:t>17.1 Relational specification and repository mapping</w:t>
      </w:r>
    </w:p>
    <w:p>
      <w:r>
        <w:t xml:space="preserve">This is a </w:t>
      </w:r>
      <w:r>
        <w:rPr>
          <w:b/>
        </w:rPr>
        <w:t>logical relational design</w:t>
      </w:r>
      <w:r>
        <w:t xml:space="preserve">, not a proposal to replace the existing MongoDB immediately. SQL types make constraints explicit; map them to TypeScript/MongoDB validators, indexed references and transactions during implementation. Current main-user IDs are externally issued strings (currently 24-hex ObjectIds). They are not planner passwords/accounts. Use </w:t>
      </w:r>
      <w:r>
        <w:rPr>
          <w:rFonts w:ascii="Consolas" w:hAnsi="Consolas"/>
          <w:sz w:val="18"/>
        </w:rPr>
        <w:t>owner_id varchar(128)</w:t>
      </w:r>
      <w:r>
        <w:t xml:space="preserve"> plus trusted issuer; do not create a local users table or an unenforceable cross-database foreign key.</w:t>
      </w:r>
    </w:p>
    <w:p>
      <w:r>
        <w:t xml:space="preserve">Common conventions: IDs </w:t>
      </w:r>
      <w:r>
        <w:rPr>
          <w:rFonts w:ascii="Consolas" w:hAnsi="Consolas"/>
          <w:sz w:val="18"/>
        </w:rPr>
        <w:t>uuid</w:t>
      </w:r>
      <w:r>
        <w:t xml:space="preserve"> in a possible SQL implementation, current MongoDB </w:t>
      </w:r>
      <w:r>
        <w:rPr>
          <w:rFonts w:ascii="Consolas" w:hAnsi="Consolas"/>
          <w:sz w:val="18"/>
        </w:rPr>
        <w:t>ObjectId</w:t>
      </w:r>
      <w:r>
        <w:t xml:space="preserve"> in the retained system; </w:t>
      </w:r>
      <w:r>
        <w:rPr>
          <w:rFonts w:ascii="Consolas" w:hAnsi="Consolas"/>
          <w:sz w:val="18"/>
        </w:rPr>
        <w:t>numeric(18,8)</w:t>
      </w:r>
      <w:r>
        <w:t xml:space="preserve"> for typed quantities; </w:t>
      </w:r>
      <w:r>
        <w:rPr>
          <w:rFonts w:ascii="Consolas" w:hAnsi="Consolas"/>
          <w:sz w:val="18"/>
        </w:rPr>
        <w:t>timestamptz</w:t>
      </w:r>
      <w:r>
        <w:t xml:space="preserve"> in UTC for events; </w:t>
      </w:r>
      <w:r>
        <w:rPr>
          <w:rFonts w:ascii="Consolas" w:hAnsi="Consolas"/>
          <w:sz w:val="18"/>
        </w:rPr>
        <w:t>date</w:t>
      </w:r>
      <w:r>
        <w:t xml:space="preserve"> for birth/calendar dates; positive </w:t>
      </w:r>
      <w:r>
        <w:rPr>
          <w:rFonts w:ascii="Consolas" w:hAnsi="Consolas"/>
          <w:sz w:val="18"/>
        </w:rPr>
        <w:t>integer</w:t>
      </w:r>
      <w:r>
        <w:t xml:space="preserve"> revisions; explicit enums/checks; JSONB only for immutable full snapshots or typed nested data. </w:t>
      </w:r>
      <w:r>
        <w:rPr>
          <w:rFonts w:ascii="Consolas" w:hAnsi="Consolas"/>
          <w:sz w:val="18"/>
        </w:rPr>
        <w:t>created_at</w:t>
      </w:r>
      <w:r>
        <w:t xml:space="preserve"> and </w:t>
      </w:r>
      <w:r>
        <w:rPr>
          <w:rFonts w:ascii="Consolas" w:hAnsi="Consolas"/>
          <w:sz w:val="18"/>
        </w:rPr>
        <w:t>updated_at</w:t>
      </w:r>
      <w:r>
        <w:t xml:space="preserve"> are required on mutable records. Absence uses SQL NULL/Mongo null plus a reason. A source string is not a numeric value. SQL/Mongo identifiers may differ through an explicit mapping, never by truncation.</w:t>
      </w:r>
    </w:p>
    <w:p>
      <w:pPr>
        <w:pStyle w:val="Heading2"/>
      </w:pPr>
      <w:r>
        <w:t>17.2 Tables, fields and constraints</w:t>
      </w:r>
    </w:p>
    <w:p>
      <w:r>
        <w:t xml:space="preserve">The following lists define the requested fields and relationships. All FKs are indexed. </w:t>
      </w:r>
      <w:r>
        <w:rPr>
          <w:rFonts w:ascii="Consolas" w:hAnsi="Consolas"/>
          <w:sz w:val="18"/>
        </w:rPr>
        <w:t>PK</w:t>
      </w:r>
      <w:r>
        <w:t xml:space="preserve"> is primary key; </w:t>
      </w:r>
      <w:r>
        <w:rPr>
          <w:rFonts w:ascii="Consolas" w:hAnsi="Consolas"/>
          <w:sz w:val="18"/>
        </w:rPr>
        <w:t>FK</w:t>
      </w:r>
      <w:r>
        <w:t xml:space="preserve"> is same-database foreign key. Enum labels and conditional constraints are as specified in preceding sections.</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1945"/>
        <w:gridCol w:w="7930"/>
        <w:gridCol w:w="5087"/>
      </w:tblGrid>
      <w:tr>
        <w:trPr>
          <w:tblHeader w:val="true"/>
        </w:trPr>
        <w:tc>
          <w:tcPr>
            <w:tcW w:type="dxa" w:w="1945"/>
            <w:shd w:fill="154F59"/>
          </w:tcPr>
          <w:p>
            <w:pPr>
              <w:spacing w:after="60" w:before="40"/>
            </w:pPr>
            <w:r>
              <w:rPr>
                <w:b/>
                <w:color w:val="FFFFFF"/>
                <w:sz w:val="17"/>
              </w:rPr>
              <w:t>Table</w:t>
            </w:r>
          </w:p>
        </w:tc>
        <w:tc>
          <w:tcPr>
            <w:tcW w:type="dxa" w:w="7930"/>
            <w:shd w:fill="154F59"/>
          </w:tcPr>
          <w:p>
            <w:pPr>
              <w:spacing w:after="60" w:before="40"/>
            </w:pPr>
            <w:r>
              <w:rPr>
                <w:b/>
                <w:color w:val="FFFFFF"/>
                <w:sz w:val="17"/>
              </w:rPr>
              <w:t>Fields and SQL types</w:t>
            </w:r>
          </w:p>
        </w:tc>
        <w:tc>
          <w:tcPr>
            <w:tcW w:type="dxa" w:w="5087"/>
            <w:shd w:fill="154F59"/>
          </w:tcPr>
          <w:p>
            <w:pPr>
              <w:spacing w:after="60" w:before="40"/>
            </w:pPr>
            <w:r>
              <w:rPr>
                <w:b/>
                <w:color w:val="FFFFFF"/>
                <w:sz w:val="17"/>
              </w:rPr>
              <w:t>Constraints and relationships</w:t>
            </w:r>
          </w:p>
        </w:tc>
      </w:tr>
      <w:tr>
        <w:tc>
          <w:tcPr>
            <w:tcW w:type="dxa" w:w="1945"/>
          </w:tcPr>
          <w:p>
            <w:pPr>
              <w:spacing w:after="60" w:before="40"/>
            </w:pPr>
            <w:r>
              <w:rPr>
                <w:rFonts w:ascii="Consolas" w:hAnsi="Consolas"/>
                <w:sz w:val="17"/>
              </w:rPr>
              <w:t>dogs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owner_id varchar(128)</w:t>
            </w:r>
            <w:r>
              <w:rPr>
                <w:sz w:val="17"/>
              </w:rPr>
              <w:t xml:space="preserve">, </w:t>
            </w:r>
            <w:r>
              <w:rPr>
                <w:rFonts w:ascii="Consolas" w:hAnsi="Consolas"/>
                <w:sz w:val="17"/>
              </w:rPr>
              <w:t>issuer text</w:t>
            </w:r>
            <w:r>
              <w:rPr>
                <w:sz w:val="17"/>
              </w:rPr>
              <w:t xml:space="preserve">, </w:t>
            </w:r>
            <w:r>
              <w:rPr>
                <w:rFonts w:ascii="Consolas" w:hAnsi="Consolas"/>
                <w:sz w:val="17"/>
              </w:rPr>
              <w:t>name varchar(80)</w:t>
            </w:r>
            <w:r>
              <w:rPr>
                <w:sz w:val="17"/>
              </w:rPr>
              <w:t xml:space="preserve">, </w:t>
            </w:r>
            <w:r>
              <w:rPr>
                <w:rFonts w:ascii="Consolas" w:hAnsi="Consolas"/>
                <w:sz w:val="17"/>
              </w:rPr>
              <w:t>birth_date date NULL</w:t>
            </w:r>
            <w:r>
              <w:rPr>
                <w:sz w:val="17"/>
              </w:rPr>
              <w:t xml:space="preserve">, </w:t>
            </w:r>
            <w:r>
              <w:rPr>
                <w:rFonts w:ascii="Consolas" w:hAnsi="Consolas"/>
                <w:sz w:val="17"/>
              </w:rPr>
              <w:t>estimated_age_months numeric NULL</w:t>
            </w:r>
            <w:r>
              <w:rPr>
                <w:sz w:val="17"/>
              </w:rPr>
              <w:t xml:space="preserve">, </w:t>
            </w:r>
            <w:r>
              <w:rPr>
                <w:rFonts w:ascii="Consolas" w:hAnsi="Consolas"/>
                <w:sz w:val="17"/>
              </w:rPr>
              <w:t>age_estimated_at date NULL</w:t>
            </w:r>
            <w:r>
              <w:rPr>
                <w:sz w:val="17"/>
              </w:rPr>
              <w:t xml:space="preserve">, </w:t>
            </w:r>
            <w:r>
              <w:rPr>
                <w:rFonts w:ascii="Consolas" w:hAnsi="Consolas"/>
                <w:sz w:val="17"/>
              </w:rPr>
              <w:t>age_confidence text</w:t>
            </w:r>
            <w:r>
              <w:rPr>
                <w:sz w:val="17"/>
              </w:rPr>
              <w:t xml:space="preserve">, </w:t>
            </w:r>
            <w:r>
              <w:rPr>
                <w:rFonts w:ascii="Consolas" w:hAnsi="Consolas"/>
                <w:sz w:val="17"/>
              </w:rPr>
              <w:t>sex text</w:t>
            </w:r>
            <w:r>
              <w:rPr>
                <w:sz w:val="17"/>
              </w:rPr>
              <w:t xml:space="preserve">, </w:t>
            </w:r>
            <w:r>
              <w:rPr>
                <w:rFonts w:ascii="Consolas" w:hAnsi="Consolas"/>
                <w:sz w:val="17"/>
              </w:rPr>
              <w:t>neuter_status text</w:t>
            </w:r>
            <w:r>
              <w:rPr>
                <w:sz w:val="17"/>
              </w:rPr>
              <w:t xml:space="preserve">, </w:t>
            </w:r>
            <w:r>
              <w:rPr>
                <w:rFonts w:ascii="Consolas" w:hAnsi="Consolas"/>
                <w:sz w:val="17"/>
              </w:rPr>
              <w:t>neutered_at date NULL</w:t>
            </w:r>
            <w:r>
              <w:rPr>
                <w:sz w:val="17"/>
              </w:rPr>
              <w:t xml:space="preserve">, </w:t>
            </w:r>
            <w:r>
              <w:rPr>
                <w:rFonts w:ascii="Consolas" w:hAnsi="Consolas"/>
                <w:sz w:val="17"/>
              </w:rPr>
              <w:t>breed_id uuid NULL</w:t>
            </w:r>
            <w:r>
              <w:rPr>
                <w:sz w:val="17"/>
              </w:rPr>
              <w:t xml:space="preserve">, </w:t>
            </w:r>
            <w:r>
              <w:rPr>
                <w:rFonts w:ascii="Consolas" w:hAnsi="Consolas"/>
                <w:sz w:val="17"/>
              </w:rPr>
              <w:t>mixed_breed bool</w:t>
            </w:r>
            <w:r>
              <w:rPr>
                <w:sz w:val="17"/>
              </w:rPr>
              <w:t xml:space="preserve">, </w:t>
            </w:r>
            <w:r>
              <w:rPr>
                <w:rFonts w:ascii="Consolas" w:hAnsi="Consolas"/>
                <w:sz w:val="17"/>
              </w:rPr>
              <w:t>breed_notes text NULL</w:t>
            </w:r>
            <w:r>
              <w:rPr>
                <w:sz w:val="17"/>
              </w:rPr>
              <w:t xml:space="preserve">, </w:t>
            </w:r>
            <w:r>
              <w:rPr>
                <w:rFonts w:ascii="Consolas" w:hAnsi="Consolas"/>
                <w:sz w:val="17"/>
              </w:rPr>
              <w:t>growth_status text</w:t>
            </w:r>
            <w:r>
              <w:rPr>
                <w:sz w:val="17"/>
              </w:rPr>
              <w:t xml:space="preserve">, </w:t>
            </w:r>
            <w:r>
              <w:rPr>
                <w:rFonts w:ascii="Consolas" w:hAnsi="Consolas"/>
                <w:sz w:val="17"/>
              </w:rPr>
              <w:t>growth_assessed_at date</w:t>
            </w:r>
            <w:r>
              <w:rPr>
                <w:sz w:val="17"/>
              </w:rPr>
              <w:t xml:space="preserve">, </w:t>
            </w:r>
            <w:r>
              <w:rPr>
                <w:rFonts w:ascii="Consolas" w:hAnsi="Consolas"/>
                <w:sz w:val="17"/>
              </w:rPr>
              <w:t>expected_adult_kg numeric NULL</w:t>
            </w:r>
            <w:r>
              <w:rPr>
                <w:sz w:val="17"/>
              </w:rPr>
              <w:t xml:space="preserve">, </w:t>
            </w:r>
            <w:r>
              <w:rPr>
                <w:rFonts w:ascii="Consolas" w:hAnsi="Consolas"/>
                <w:sz w:val="17"/>
              </w:rPr>
              <w:t>adult_weight_source text NULL</w:t>
            </w:r>
            <w:r>
              <w:rPr>
                <w:sz w:val="17"/>
              </w:rPr>
              <w:t xml:space="preserve">, </w:t>
            </w:r>
            <w:r>
              <w:rPr>
                <w:rFonts w:ascii="Consolas" w:hAnsi="Consolas"/>
                <w:sz w:val="17"/>
              </w:rPr>
              <w:t>adult_weight_confidence text NULL</w:t>
            </w:r>
            <w:r>
              <w:rPr>
                <w:sz w:val="17"/>
              </w:rPr>
              <w:t xml:space="preserve">, </w:t>
            </w:r>
            <w:r>
              <w:rPr>
                <w:rFonts w:ascii="Consolas" w:hAnsi="Consolas"/>
                <w:sz w:val="17"/>
              </w:rPr>
              <w:t>revision int</w:t>
            </w:r>
            <w:r>
              <w:rPr>
                <w:sz w:val="17"/>
              </w:rPr>
              <w:t xml:space="preserve">, </w:t>
            </w:r>
            <w:r>
              <w:rPr>
                <w:rFonts w:ascii="Consolas" w:hAnsi="Consolas"/>
                <w:sz w:val="17"/>
              </w:rPr>
              <w:t>deleted_at timestamptz NULL</w:t>
            </w:r>
          </w:p>
        </w:tc>
        <w:tc>
          <w:tcPr>
            <w:tcW w:type="dxa" w:w="5087"/>
          </w:tcPr>
          <w:p>
            <w:pPr>
              <w:spacing w:after="60" w:before="40"/>
            </w:pPr>
            <w:r>
              <w:rPr>
                <w:sz w:val="17"/>
              </w:rPr>
              <w:t>Required owner/name/enums; exactly one valid age source when known; expected adult mass &gt;0; birth not future validated at API; breed FK; index owner+deleted status</w:t>
            </w:r>
          </w:p>
        </w:tc>
      </w:tr>
      <w:tr>
        <w:tc>
          <w:tcPr>
            <w:tcW w:type="dxa" w:w="1945"/>
          </w:tcPr>
          <w:p>
            <w:pPr>
              <w:spacing w:after="60" w:before="40"/>
            </w:pPr>
            <w:r>
              <w:rPr>
                <w:rFonts w:ascii="Consolas" w:hAnsi="Consolas"/>
                <w:sz w:val="17"/>
              </w:rPr>
              <w:t>breed_contexts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name text</w:t>
            </w:r>
            <w:r>
              <w:rPr>
                <w:sz w:val="17"/>
              </w:rPr>
              <w:t xml:space="preserve">, </w:t>
            </w:r>
            <w:r>
              <w:rPr>
                <w:rFonts w:ascii="Consolas" w:hAnsi="Consolas"/>
                <w:sz w:val="17"/>
              </w:rPr>
              <w:t>aliases jsonb</w:t>
            </w:r>
            <w:r>
              <w:rPr>
                <w:sz w:val="17"/>
              </w:rPr>
              <w:t xml:space="preserve">, </w:t>
            </w:r>
            <w:r>
              <w:rPr>
                <w:rFonts w:ascii="Consolas" w:hAnsi="Consolas"/>
                <w:sz w:val="17"/>
              </w:rPr>
              <w:t>descriptive_size text NULL</w:t>
            </w:r>
            <w:r>
              <w:rPr>
                <w:sz w:val="17"/>
              </w:rPr>
              <w:t xml:space="preserve">, </w:t>
            </w:r>
            <w:r>
              <w:rPr>
                <w:rFonts w:ascii="Consolas" w:hAnsi="Consolas"/>
                <w:sz w:val="17"/>
              </w:rPr>
              <w:t>risk_notes jsonb</w:t>
            </w:r>
            <w:r>
              <w:rPr>
                <w:sz w:val="17"/>
              </w:rPr>
              <w:t xml:space="preserve">, </w:t>
            </w:r>
            <w:r>
              <w:rPr>
                <w:rFonts w:ascii="Consolas" w:hAnsi="Consolas"/>
                <w:sz w:val="17"/>
              </w:rPr>
              <w:t>source_id uuid FK</w:t>
            </w:r>
            <w:r>
              <w:rPr>
                <w:sz w:val="17"/>
              </w:rPr>
              <w:t xml:space="preserve">, </w:t>
            </w:r>
            <w:r>
              <w:rPr>
                <w:rFonts w:ascii="Consolas" w:hAnsi="Consolas"/>
                <w:sz w:val="17"/>
              </w:rPr>
              <w:t>version int</w:t>
            </w:r>
          </w:p>
        </w:tc>
        <w:tc>
          <w:tcPr>
            <w:tcW w:type="dxa" w:w="5087"/>
          </w:tcPr>
          <w:p>
            <w:pPr>
              <w:spacing w:after="60" w:before="40"/>
            </w:pPr>
            <w:r>
              <w:rPr>
                <w:sz w:val="17"/>
              </w:rPr>
              <w:t>Unique name/version; descriptive information cannot set clinical target; no fixed normal-weight CHECK on dogs</w:t>
            </w:r>
          </w:p>
        </w:tc>
      </w:tr>
      <w:tr>
        <w:tc>
          <w:tcPr>
            <w:tcW w:type="dxa" w:w="1945"/>
          </w:tcPr>
          <w:p>
            <w:pPr>
              <w:spacing w:after="60" w:before="40"/>
            </w:pPr>
            <w:r>
              <w:rPr>
                <w:rFonts w:ascii="Consolas" w:hAnsi="Consolas"/>
                <w:sz w:val="17"/>
              </w:rPr>
              <w:t>dog_measurements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measured_at timestamptz</w:t>
            </w:r>
            <w:r>
              <w:rPr>
                <w:sz w:val="17"/>
              </w:rPr>
              <w:t xml:space="preserve">, </w:t>
            </w:r>
            <w:r>
              <w:rPr>
                <w:rFonts w:ascii="Consolas" w:hAnsi="Consolas"/>
                <w:sz w:val="17"/>
              </w:rPr>
              <w:t>weight_kg numeric NULL</w:t>
            </w:r>
            <w:r>
              <w:rPr>
                <w:sz w:val="17"/>
              </w:rPr>
              <w:t xml:space="preserve">, </w:t>
            </w:r>
            <w:r>
              <w:rPr>
                <w:rFonts w:ascii="Consolas" w:hAnsi="Consolas"/>
                <w:sz w:val="17"/>
              </w:rPr>
              <w:t>bcs smallint NULL</w:t>
            </w:r>
            <w:r>
              <w:rPr>
                <w:sz w:val="17"/>
              </w:rPr>
              <w:t xml:space="preserve">, </w:t>
            </w:r>
            <w:r>
              <w:rPr>
                <w:rFonts w:ascii="Consolas" w:hAnsi="Consolas"/>
                <w:sz w:val="17"/>
              </w:rPr>
              <w:t>mcs text NULL</w:t>
            </w:r>
            <w:r>
              <w:rPr>
                <w:sz w:val="17"/>
              </w:rPr>
              <w:t xml:space="preserve">, </w:t>
            </w:r>
            <w:r>
              <w:rPr>
                <w:rFonts w:ascii="Consolas" w:hAnsi="Consolas"/>
                <w:sz w:val="17"/>
              </w:rPr>
              <w:t>source text</w:t>
            </w:r>
            <w:r>
              <w:rPr>
                <w:sz w:val="17"/>
              </w:rPr>
              <w:t xml:space="preserve">, </w:t>
            </w:r>
            <w:r>
              <w:rPr>
                <w:rFonts w:ascii="Consolas" w:hAnsi="Consolas"/>
                <w:sz w:val="17"/>
              </w:rPr>
              <w:t>measured_by text NULL</w:t>
            </w:r>
            <w:r>
              <w:rPr>
                <w:sz w:val="17"/>
              </w:rPr>
              <w:t xml:space="preserve">, </w:t>
            </w:r>
            <w:r>
              <w:rPr>
                <w:rFonts w:ascii="Consolas" w:hAnsi="Consolas"/>
                <w:sz w:val="17"/>
              </w:rPr>
              <w:t>notes text NULL</w:t>
            </w:r>
            <w:r>
              <w:rPr>
                <w:sz w:val="17"/>
              </w:rPr>
              <w:t xml:space="preserve">, </w:t>
            </w:r>
            <w:r>
              <w:rPr>
                <w:rFonts w:ascii="Consolas" w:hAnsi="Consolas"/>
                <w:sz w:val="17"/>
              </w:rPr>
              <w:t>request_id uuid</w:t>
            </w:r>
          </w:p>
        </w:tc>
        <w:tc>
          <w:tcPr>
            <w:tcW w:type="dxa" w:w="5087"/>
          </w:tcPr>
          <w:p>
            <w:pPr>
              <w:spacing w:after="60" w:before="40"/>
            </w:pPr>
            <w:r>
              <w:rPr>
                <w:sz w:val="17"/>
              </w:rPr>
              <w:t>At least one measurement; weight&gt;0; BCS 1–9; valid MCS; unique dog+request; index dog+time; retain history</w:t>
            </w:r>
          </w:p>
        </w:tc>
      </w:tr>
      <w:tr>
        <w:tc>
          <w:tcPr>
            <w:tcW w:type="dxa" w:w="1945"/>
          </w:tcPr>
          <w:p>
            <w:pPr>
              <w:spacing w:after="60" w:before="40"/>
            </w:pPr>
            <w:r>
              <w:rPr>
                <w:rFonts w:ascii="Consolas" w:hAnsi="Consolas"/>
                <w:sz w:val="17"/>
              </w:rPr>
              <w:t>profile_assessments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assessed_at timestamptz</w:t>
            </w:r>
            <w:r>
              <w:rPr>
                <w:sz w:val="17"/>
              </w:rPr>
              <w:t xml:space="preserve">, </w:t>
            </w:r>
            <w:r>
              <w:rPr>
                <w:rFonts w:ascii="Consolas" w:hAnsi="Consolas"/>
                <w:sz w:val="17"/>
              </w:rPr>
              <w:t>goal text</w:t>
            </w:r>
            <w:r>
              <w:rPr>
                <w:sz w:val="17"/>
              </w:rPr>
              <w:t xml:space="preserve">, </w:t>
            </w:r>
            <w:r>
              <w:rPr>
                <w:rFonts w:ascii="Consolas" w:hAnsi="Consolas"/>
                <w:sz w:val="17"/>
              </w:rPr>
              <w:t>weight_trend text</w:t>
            </w:r>
            <w:r>
              <w:rPr>
                <w:sz w:val="17"/>
              </w:rPr>
              <w:t xml:space="preserve">, </w:t>
            </w:r>
            <w:r>
              <w:rPr>
                <w:rFonts w:ascii="Consolas" w:hAnsi="Consolas"/>
                <w:sz w:val="17"/>
              </w:rPr>
              <w:t>intentional_change bool NULL</w:t>
            </w:r>
            <w:r>
              <w:rPr>
                <w:sz w:val="17"/>
              </w:rPr>
              <w:t xml:space="preserve">, </w:t>
            </w:r>
            <w:r>
              <w:rPr>
                <w:rFonts w:ascii="Consolas" w:hAnsi="Consolas"/>
                <w:sz w:val="17"/>
              </w:rPr>
              <w:t>activity_class text</w:t>
            </w:r>
            <w:r>
              <w:rPr>
                <w:sz w:val="17"/>
              </w:rPr>
              <w:t xml:space="preserve">, </w:t>
            </w:r>
            <w:r>
              <w:rPr>
                <w:rFonts w:ascii="Consolas" w:hAnsi="Consolas"/>
                <w:sz w:val="17"/>
              </w:rPr>
              <w:t>sessions_week int NULL</w:t>
            </w:r>
            <w:r>
              <w:rPr>
                <w:sz w:val="17"/>
              </w:rPr>
              <w:t xml:space="preserve">, </w:t>
            </w:r>
            <w:r>
              <w:rPr>
                <w:rFonts w:ascii="Consolas" w:hAnsi="Consolas"/>
                <w:sz w:val="17"/>
              </w:rPr>
              <w:t>minutes_session numeric NULL</w:t>
            </w:r>
            <w:r>
              <w:rPr>
                <w:sz w:val="17"/>
              </w:rPr>
              <w:t xml:space="preserve">, </w:t>
            </w:r>
            <w:r>
              <w:rPr>
                <w:rFonts w:ascii="Consolas" w:hAnsi="Consolas"/>
                <w:sz w:val="17"/>
              </w:rPr>
              <w:t>exercise_type text NULL</w:t>
            </w:r>
            <w:r>
              <w:rPr>
                <w:sz w:val="17"/>
              </w:rPr>
              <w:t xml:space="preserve">, </w:t>
            </w:r>
            <w:r>
              <w:rPr>
                <w:rFonts w:ascii="Consolas" w:hAnsi="Consolas"/>
                <w:sz w:val="17"/>
              </w:rPr>
              <w:t>intensity text NULL</w:t>
            </w:r>
            <w:r>
              <w:rPr>
                <w:sz w:val="17"/>
              </w:rPr>
              <w:t xml:space="preserve">, </w:t>
            </w:r>
            <w:r>
              <w:rPr>
                <w:rFonts w:ascii="Consolas" w:hAnsi="Consolas"/>
                <w:sz w:val="17"/>
              </w:rPr>
              <w:t>work_type text NULL</w:t>
            </w:r>
            <w:r>
              <w:rPr>
                <w:sz w:val="17"/>
              </w:rPr>
              <w:t xml:space="preserve">, </w:t>
            </w:r>
            <w:r>
              <w:rPr>
                <w:rFonts w:ascii="Consolas" w:hAnsi="Consolas"/>
                <w:sz w:val="17"/>
              </w:rPr>
              <w:t>work_hours numeric NULL</w:t>
            </w:r>
            <w:r>
              <w:rPr>
                <w:sz w:val="17"/>
              </w:rPr>
              <w:t xml:space="preserve">, </w:t>
            </w:r>
            <w:r>
              <w:rPr>
                <w:rFonts w:ascii="Consolas" w:hAnsi="Consolas"/>
                <w:sz w:val="17"/>
              </w:rPr>
              <w:t>housing text NULL</w:t>
            </w:r>
            <w:r>
              <w:rPr>
                <w:sz w:val="17"/>
              </w:rPr>
              <w:t xml:space="preserve">, </w:t>
            </w:r>
            <w:r>
              <w:rPr>
                <w:rFonts w:ascii="Consolas" w:hAnsi="Consolas"/>
                <w:sz w:val="17"/>
              </w:rPr>
              <w:t>environment_notes text NULL</w:t>
            </w:r>
            <w:r>
              <w:rPr>
                <w:sz w:val="17"/>
              </w:rPr>
              <w:t xml:space="preserve">, </w:t>
            </w:r>
            <w:r>
              <w:rPr>
                <w:rFonts w:ascii="Consolas" w:hAnsi="Consolas"/>
                <w:sz w:val="17"/>
              </w:rPr>
              <w:t>diet_type text</w:t>
            </w:r>
            <w:r>
              <w:rPr>
                <w:sz w:val="17"/>
              </w:rPr>
              <w:t xml:space="preserve">, </w:t>
            </w:r>
            <w:r>
              <w:rPr>
                <w:rFonts w:ascii="Consolas" w:hAnsi="Consolas"/>
                <w:sz w:val="17"/>
              </w:rPr>
              <w:t>allergy_status text</w:t>
            </w:r>
            <w:r>
              <w:rPr>
                <w:sz w:val="17"/>
              </w:rPr>
              <w:t xml:space="preserve">, </w:t>
            </w:r>
            <w:r>
              <w:rPr>
                <w:rFonts w:ascii="Consolas" w:hAnsi="Consolas"/>
                <w:sz w:val="17"/>
              </w:rPr>
              <w:t>condition_status text</w:t>
            </w:r>
            <w:r>
              <w:rPr>
                <w:sz w:val="17"/>
              </w:rPr>
              <w:t xml:space="preserve">, </w:t>
            </w:r>
            <w:r>
              <w:rPr>
                <w:rFonts w:ascii="Consolas" w:hAnsi="Consolas"/>
                <w:sz w:val="17"/>
              </w:rPr>
              <w:t>prescribed_diet_status text</w:t>
            </w:r>
            <w:r>
              <w:rPr>
                <w:sz w:val="17"/>
              </w:rPr>
              <w:t xml:space="preserve">, </w:t>
            </w:r>
            <w:r>
              <w:rPr>
                <w:rFonts w:ascii="Consolas" w:hAnsi="Consolas"/>
                <w:sz w:val="17"/>
              </w:rPr>
              <w:t>appetite_change text</w:t>
            </w:r>
            <w:r>
              <w:rPr>
                <w:sz w:val="17"/>
              </w:rPr>
              <w:t xml:space="preserve">, </w:t>
            </w:r>
            <w:r>
              <w:rPr>
                <w:rFonts w:ascii="Consolas" w:hAnsi="Consolas"/>
                <w:sz w:val="17"/>
              </w:rPr>
              <w:t>digestive_concern text</w:t>
            </w:r>
            <w:r>
              <w:rPr>
                <w:sz w:val="17"/>
              </w:rPr>
              <w:t xml:space="preserve">, </w:t>
            </w:r>
            <w:r>
              <w:rPr>
                <w:rFonts w:ascii="Consolas" w:hAnsi="Consolas"/>
                <w:sz w:val="17"/>
              </w:rPr>
              <w:t>reproductive_status text</w:t>
            </w:r>
            <w:r>
              <w:rPr>
                <w:sz w:val="17"/>
              </w:rPr>
              <w:t xml:space="preserve">, </w:t>
            </w:r>
            <w:r>
              <w:rPr>
                <w:rFonts w:ascii="Consolas" w:hAnsi="Consolas"/>
                <w:sz w:val="17"/>
              </w:rPr>
              <w:t>gestation_day int NULL</w:t>
            </w:r>
            <w:r>
              <w:rPr>
                <w:sz w:val="17"/>
              </w:rPr>
              <w:t xml:space="preserve">, </w:t>
            </w:r>
            <w:r>
              <w:rPr>
                <w:rFonts w:ascii="Consolas" w:hAnsi="Consolas"/>
                <w:sz w:val="17"/>
              </w:rPr>
              <w:t>prepregnancy_kg numeric NULL</w:t>
            </w:r>
            <w:r>
              <w:rPr>
                <w:sz w:val="17"/>
              </w:rPr>
              <w:t xml:space="preserve">, </w:t>
            </w:r>
            <w:r>
              <w:rPr>
                <w:rFonts w:ascii="Consolas" w:hAnsi="Consolas"/>
                <w:sz w:val="17"/>
              </w:rPr>
              <w:t>lactation_week int NULL</w:t>
            </w:r>
            <w:r>
              <w:rPr>
                <w:sz w:val="17"/>
              </w:rPr>
              <w:t xml:space="preserve">, </w:t>
            </w:r>
            <w:r>
              <w:rPr>
                <w:rFonts w:ascii="Consolas" w:hAnsi="Consolas"/>
                <w:sz w:val="17"/>
              </w:rPr>
              <w:t>nursing_count int NULL</w:t>
            </w:r>
            <w:r>
              <w:rPr>
                <w:sz w:val="17"/>
              </w:rPr>
              <w:t xml:space="preserve">, </w:t>
            </w:r>
            <w:r>
              <w:rPr>
                <w:rFonts w:ascii="Consolas" w:hAnsi="Consolas"/>
                <w:sz w:val="17"/>
              </w:rPr>
              <w:t>target_kg numeric NULL</w:t>
            </w:r>
            <w:r>
              <w:rPr>
                <w:sz w:val="17"/>
              </w:rPr>
              <w:t xml:space="preserve">, </w:t>
            </w:r>
            <w:r>
              <w:rPr>
                <w:rFonts w:ascii="Consolas" w:hAnsi="Consolas"/>
                <w:sz w:val="17"/>
              </w:rPr>
              <w:t>target_review_id uuid NULL</w:t>
            </w:r>
            <w:r>
              <w:rPr>
                <w:sz w:val="17"/>
              </w:rPr>
              <w:t xml:space="preserve">, </w:t>
            </w:r>
            <w:r>
              <w:rPr>
                <w:rFonts w:ascii="Consolas" w:hAnsi="Consolas"/>
                <w:sz w:val="17"/>
              </w:rPr>
              <w:t>medications jsonb</w:t>
            </w:r>
            <w:r>
              <w:rPr>
                <w:sz w:val="17"/>
              </w:rPr>
              <w:t xml:space="preserve">, </w:t>
            </w:r>
            <w:r>
              <w:rPr>
                <w:rFonts w:ascii="Consolas" w:hAnsi="Consolas"/>
                <w:sz w:val="17"/>
              </w:rPr>
              <w:t>screening_version text</w:t>
            </w:r>
          </w:p>
        </w:tc>
        <w:tc>
          <w:tcPr>
            <w:tcW w:type="dxa" w:w="5087"/>
          </w:tcPr>
          <w:p>
            <w:pPr>
              <w:spacing w:after="60" w:before="40"/>
            </w:pPr>
            <w:r>
              <w:rPr>
                <w:sz w:val="17"/>
              </w:rPr>
              <w:t>Enum checks; activity numbers≥0, workhours≤24; conditional reproductive/target fields; review FK for clinical target; immutable dated assessment</w:t>
            </w:r>
          </w:p>
        </w:tc>
      </w:tr>
      <w:tr>
        <w:tc>
          <w:tcPr>
            <w:tcW w:type="dxa" w:w="1945"/>
          </w:tcPr>
          <w:p>
            <w:pPr>
              <w:spacing w:after="60" w:before="40"/>
            </w:pPr>
            <w:r>
              <w:rPr>
                <w:rFonts w:ascii="Consolas" w:hAnsi="Consolas"/>
                <w:sz w:val="17"/>
              </w:rPr>
              <w:t>dog_exclusions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ingredient_id uuid FK</w:t>
            </w:r>
            <w:r>
              <w:rPr>
                <w:sz w:val="17"/>
              </w:rPr>
              <w:t xml:space="preserve">, </w:t>
            </w:r>
            <w:r>
              <w:rPr>
                <w:rFonts w:ascii="Consolas" w:hAnsi="Consolas"/>
                <w:sz w:val="17"/>
              </w:rPr>
              <w:t>reason text</w:t>
            </w:r>
            <w:r>
              <w:rPr>
                <w:sz w:val="17"/>
              </w:rPr>
              <w:t xml:space="preserve">, </w:t>
            </w:r>
            <w:r>
              <w:rPr>
                <w:rFonts w:ascii="Consolas" w:hAnsi="Consolas"/>
                <w:sz w:val="17"/>
              </w:rPr>
              <w:t>certainty text</w:t>
            </w:r>
            <w:r>
              <w:rPr>
                <w:sz w:val="17"/>
              </w:rPr>
              <w:t xml:space="preserve">, </w:t>
            </w:r>
            <w:r>
              <w:rPr>
                <w:rFonts w:ascii="Consolas" w:hAnsi="Consolas"/>
                <w:sz w:val="17"/>
              </w:rPr>
              <w:t>reaction_notes text NULL</w:t>
            </w:r>
            <w:r>
              <w:rPr>
                <w:sz w:val="17"/>
              </w:rPr>
              <w:t xml:space="preserve">, </w:t>
            </w:r>
            <w:r>
              <w:rPr>
                <w:rFonts w:ascii="Consolas" w:hAnsi="Consolas"/>
                <w:sz w:val="17"/>
              </w:rPr>
              <w:t>effective_from date</w:t>
            </w:r>
            <w:r>
              <w:rPr>
                <w:sz w:val="17"/>
              </w:rPr>
              <w:t xml:space="preserve">, </w:t>
            </w:r>
            <w:r>
              <w:rPr>
                <w:rFonts w:ascii="Consolas" w:hAnsi="Consolas"/>
                <w:sz w:val="17"/>
              </w:rPr>
              <w:t>effective_to date NULL</w:t>
            </w:r>
            <w:r>
              <w:rPr>
                <w:sz w:val="17"/>
              </w:rPr>
              <w:t xml:space="preserve">, </w:t>
            </w:r>
            <w:r>
              <w:rPr>
                <w:rFonts w:ascii="Consolas" w:hAnsi="Consolas"/>
                <w:sz w:val="17"/>
              </w:rPr>
              <w:t>review_id uuid NULL</w:t>
            </w:r>
          </w:p>
        </w:tc>
        <w:tc>
          <w:tcPr>
            <w:tcW w:type="dxa" w:w="5087"/>
          </w:tcPr>
          <w:p>
            <w:pPr>
              <w:spacing w:after="60" w:before="40"/>
            </w:pPr>
            <w:r>
              <w:rPr>
                <w:sz w:val="17"/>
              </w:rPr>
              <w:t>Separate allergy/intolerance/preference; unique dog+ingredient+reason+effective date; no implied diagnosis</w:t>
            </w:r>
          </w:p>
        </w:tc>
      </w:tr>
      <w:tr>
        <w:tc>
          <w:tcPr>
            <w:tcW w:type="dxa" w:w="1945"/>
          </w:tcPr>
          <w:p>
            <w:pPr>
              <w:spacing w:after="60" w:before="40"/>
            </w:pPr>
            <w:r>
              <w:rPr>
                <w:rFonts w:ascii="Consolas" w:hAnsi="Consolas"/>
                <w:sz w:val="17"/>
              </w:rPr>
              <w:t>dog_conditions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condition_code text</w:t>
            </w:r>
            <w:r>
              <w:rPr>
                <w:sz w:val="17"/>
              </w:rPr>
              <w:t xml:space="preserve">, </w:t>
            </w:r>
            <w:r>
              <w:rPr>
                <w:rFonts w:ascii="Consolas" w:hAnsi="Consolas"/>
                <w:sz w:val="17"/>
              </w:rPr>
              <w:t>reported_status text</w:t>
            </w:r>
            <w:r>
              <w:rPr>
                <w:sz w:val="17"/>
              </w:rPr>
              <w:t xml:space="preserve">, </w:t>
            </w:r>
            <w:r>
              <w:rPr>
                <w:rFonts w:ascii="Consolas" w:hAnsi="Consolas"/>
                <w:sz w:val="17"/>
              </w:rPr>
              <w:t>diagnosed_at date NULL</w:t>
            </w:r>
            <w:r>
              <w:rPr>
                <w:sz w:val="17"/>
              </w:rPr>
              <w:t xml:space="preserve">, </w:t>
            </w:r>
            <w:r>
              <w:rPr>
                <w:rFonts w:ascii="Consolas" w:hAnsi="Consolas"/>
                <w:sz w:val="17"/>
              </w:rPr>
              <w:t>clinician_reference text NULL</w:t>
            </w:r>
            <w:r>
              <w:rPr>
                <w:sz w:val="17"/>
              </w:rPr>
              <w:t xml:space="preserve">, </w:t>
            </w:r>
            <w:r>
              <w:rPr>
                <w:rFonts w:ascii="Consolas" w:hAnsi="Consolas"/>
                <w:sz w:val="17"/>
              </w:rPr>
              <w:t>clinical_details jsonb NULL</w:t>
            </w:r>
            <w:r>
              <w:rPr>
                <w:sz w:val="17"/>
              </w:rPr>
              <w:t xml:space="preserve">, </w:t>
            </w:r>
            <w:r>
              <w:rPr>
                <w:rFonts w:ascii="Consolas" w:hAnsi="Consolas"/>
                <w:sz w:val="17"/>
              </w:rPr>
              <w:t>prescription_id uuid NULL</w:t>
            </w:r>
          </w:p>
        </w:tc>
        <w:tc>
          <w:tcPr>
            <w:tcW w:type="dxa" w:w="5087"/>
          </w:tcPr>
          <w:p>
            <w:pPr>
              <w:spacing w:after="60" w:before="40"/>
            </w:pPr>
            <w:r>
              <w:rPr>
                <w:sz w:val="17"/>
              </w:rPr>
              <w:t>Conditional clinical data only; no automatic therapy from code; link prescription when relevant</w:t>
            </w:r>
          </w:p>
        </w:tc>
      </w:tr>
      <w:tr>
        <w:tc>
          <w:tcPr>
            <w:tcW w:type="dxa" w:w="1945"/>
          </w:tcPr>
          <w:p>
            <w:pPr>
              <w:spacing w:after="60" w:before="40"/>
            </w:pPr>
            <w:r>
              <w:rPr>
                <w:rFonts w:ascii="Consolas" w:hAnsi="Consolas"/>
                <w:sz w:val="17"/>
              </w:rPr>
              <w:t>sources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publisher text</w:t>
            </w:r>
            <w:r>
              <w:rPr>
                <w:sz w:val="17"/>
              </w:rPr>
              <w:t xml:space="preserve">, </w:t>
            </w:r>
            <w:r>
              <w:rPr>
                <w:rFonts w:ascii="Consolas" w:hAnsi="Consolas"/>
                <w:sz w:val="17"/>
              </w:rPr>
              <w:t>title text</w:t>
            </w:r>
            <w:r>
              <w:rPr>
                <w:sz w:val="17"/>
              </w:rPr>
              <w:t xml:space="preserve">, </w:t>
            </w:r>
            <w:r>
              <w:rPr>
                <w:rFonts w:ascii="Consolas" w:hAnsi="Consolas"/>
                <w:sz w:val="17"/>
              </w:rPr>
              <w:t>url text</w:t>
            </w:r>
            <w:r>
              <w:rPr>
                <w:sz w:val="17"/>
              </w:rPr>
              <w:t xml:space="preserve">, </w:t>
            </w:r>
            <w:r>
              <w:rPr>
                <w:rFonts w:ascii="Consolas" w:hAnsi="Consolas"/>
                <w:sz w:val="17"/>
              </w:rPr>
              <w:t>record_locator text NULL</w:t>
            </w:r>
            <w:r>
              <w:rPr>
                <w:sz w:val="17"/>
              </w:rPr>
              <w:t xml:space="preserve">, </w:t>
            </w:r>
            <w:r>
              <w:rPr>
                <w:rFonts w:ascii="Consolas" w:hAnsi="Consolas"/>
                <w:sz w:val="17"/>
              </w:rPr>
              <w:t>edition text NULL</w:t>
            </w:r>
            <w:r>
              <w:rPr>
                <w:sz w:val="17"/>
              </w:rPr>
              <w:t xml:space="preserve">, </w:t>
            </w:r>
            <w:r>
              <w:rPr>
                <w:rFonts w:ascii="Consolas" w:hAnsi="Consolas"/>
                <w:sz w:val="17"/>
              </w:rPr>
              <w:t>published_on date NULL</w:t>
            </w:r>
            <w:r>
              <w:rPr>
                <w:sz w:val="17"/>
              </w:rPr>
              <w:t xml:space="preserve">, </w:t>
            </w:r>
            <w:r>
              <w:rPr>
                <w:rFonts w:ascii="Consolas" w:hAnsi="Consolas"/>
                <w:sz w:val="17"/>
              </w:rPr>
              <w:t>publication_date_precision text</w:t>
            </w:r>
            <w:r>
              <w:rPr>
                <w:sz w:val="17"/>
              </w:rPr>
              <w:t xml:space="preserve">, </w:t>
            </w:r>
            <w:r>
              <w:rPr>
                <w:rFonts w:ascii="Consolas" w:hAnsi="Consolas"/>
                <w:sz w:val="17"/>
              </w:rPr>
              <w:t>retrieved_at timestamptz</w:t>
            </w:r>
            <w:r>
              <w:rPr>
                <w:sz w:val="17"/>
              </w:rPr>
              <w:t xml:space="preserve">, </w:t>
            </w:r>
            <w:r>
              <w:rPr>
                <w:rFonts w:ascii="Consolas" w:hAnsi="Consolas"/>
                <w:sz w:val="17"/>
              </w:rPr>
              <w:t>content_hash text</w:t>
            </w:r>
            <w:r>
              <w:rPr>
                <w:sz w:val="17"/>
              </w:rPr>
              <w:t xml:space="preserve">, </w:t>
            </w:r>
            <w:r>
              <w:rPr>
                <w:rFonts w:ascii="Consolas" w:hAnsi="Consolas"/>
                <w:sz w:val="17"/>
              </w:rPr>
              <w:t>license_status text</w:t>
            </w:r>
            <w:r>
              <w:rPr>
                <w:sz w:val="17"/>
              </w:rPr>
              <w:t xml:space="preserve">, </w:t>
            </w:r>
            <w:r>
              <w:rPr>
                <w:rFonts w:ascii="Consolas" w:hAnsi="Consolas"/>
                <w:sz w:val="17"/>
              </w:rPr>
              <w:t>license_notes text NULL</w:t>
            </w:r>
            <w:r>
              <w:rPr>
                <w:sz w:val="17"/>
              </w:rPr>
              <w:t xml:space="preserve">, </w:t>
            </w:r>
            <w:r>
              <w:rPr>
                <w:rFonts w:ascii="Consolas" w:hAnsi="Consolas"/>
                <w:sz w:val="17"/>
              </w:rPr>
              <w:t>review_due date NULL</w:t>
            </w:r>
          </w:p>
        </w:tc>
        <w:tc>
          <w:tcPr>
            <w:tcW w:type="dxa" w:w="5087"/>
          </w:tcPr>
          <w:p>
            <w:pPr>
              <w:spacing w:after="60" w:before="40"/>
            </w:pPr>
            <w:r>
              <w:rPr>
                <w:sz w:val="17"/>
              </w:rPr>
              <w:t xml:space="preserve">Immutable citation/version/hash; </w:t>
            </w:r>
            <w:r>
              <w:rPr>
                <w:rFonts w:ascii="Consolas" w:hAnsi="Consolas"/>
                <w:sz w:val="17"/>
              </w:rPr>
              <w:t>unknown</w:t>
            </w:r>
            <w:r>
              <w:rPr>
                <w:sz w:val="17"/>
              </w:rPr>
              <w:t xml:space="preserve"> publication date explicit; permitted-use state required for publication</w:t>
            </w:r>
          </w:p>
        </w:tc>
      </w:tr>
      <w:tr>
        <w:tc>
          <w:tcPr>
            <w:tcW w:type="dxa" w:w="1945"/>
          </w:tcPr>
          <w:p>
            <w:pPr>
              <w:spacing w:after="60" w:before="40"/>
            </w:pPr>
            <w:r>
              <w:rPr>
                <w:rFonts w:ascii="Consolas" w:hAnsi="Consolas"/>
                <w:sz w:val="17"/>
              </w:rPr>
              <w:t>standard_versions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name text</w:t>
            </w:r>
            <w:r>
              <w:rPr>
                <w:sz w:val="17"/>
              </w:rPr>
              <w:t xml:space="preserve">, </w:t>
            </w:r>
            <w:r>
              <w:rPr>
                <w:rFonts w:ascii="Consolas" w:hAnsi="Consolas"/>
                <w:sz w:val="17"/>
              </w:rPr>
              <w:t>edition text</w:t>
            </w:r>
            <w:r>
              <w:rPr>
                <w:sz w:val="17"/>
              </w:rPr>
              <w:t xml:space="preserve">, </w:t>
            </w:r>
            <w:r>
              <w:rPr>
                <w:rFonts w:ascii="Consolas" w:hAnsi="Consolas"/>
                <w:sz w:val="17"/>
              </w:rPr>
              <w:t>source_id uuid FK</w:t>
            </w:r>
            <w:r>
              <w:rPr>
                <w:sz w:val="17"/>
              </w:rPr>
              <w:t xml:space="preserve">, </w:t>
            </w:r>
            <w:r>
              <w:rPr>
                <w:rFonts w:ascii="Consolas" w:hAnsi="Consolas"/>
                <w:sz w:val="17"/>
              </w:rPr>
              <w:t>jurisdiction text</w:t>
            </w:r>
            <w:r>
              <w:rPr>
                <w:sz w:val="17"/>
              </w:rPr>
              <w:t xml:space="preserve">, </w:t>
            </w:r>
            <w:r>
              <w:rPr>
                <w:rFonts w:ascii="Consolas" w:hAnsi="Consolas"/>
                <w:sz w:val="17"/>
              </w:rPr>
              <w:t>population text</w:t>
            </w:r>
            <w:r>
              <w:rPr>
                <w:sz w:val="17"/>
              </w:rPr>
              <w:t xml:space="preserve">, </w:t>
            </w:r>
            <w:r>
              <w:rPr>
                <w:rFonts w:ascii="Consolas" w:hAnsi="Consolas"/>
                <w:sz w:val="17"/>
              </w:rPr>
              <w:t>approved_at timestamptz NULL</w:t>
            </w:r>
            <w:r>
              <w:rPr>
                <w:sz w:val="17"/>
              </w:rPr>
              <w:t xml:space="preserve">, </w:t>
            </w:r>
            <w:r>
              <w:rPr>
                <w:rFonts w:ascii="Consolas" w:hAnsi="Consolas"/>
                <w:sz w:val="17"/>
              </w:rPr>
              <w:t>approved_by text NULL</w:t>
            </w:r>
            <w:r>
              <w:rPr>
                <w:sz w:val="17"/>
              </w:rPr>
              <w:t xml:space="preserve">, </w:t>
            </w:r>
            <w:r>
              <w:rPr>
                <w:rFonts w:ascii="Consolas" w:hAnsi="Consolas"/>
                <w:sz w:val="17"/>
              </w:rPr>
              <w:t>status text</w:t>
            </w:r>
            <w:r>
              <w:rPr>
                <w:sz w:val="17"/>
              </w:rPr>
              <w:t xml:space="preserve">, </w:t>
            </w:r>
            <w:r>
              <w:rPr>
                <w:rFonts w:ascii="Consolas" w:hAnsi="Consolas"/>
                <w:sz w:val="17"/>
              </w:rPr>
              <w:t>supersedes_id uuid NULL FK</w:t>
            </w:r>
          </w:p>
        </w:tc>
        <w:tc>
          <w:tcPr>
            <w:tcW w:type="dxa" w:w="5087"/>
          </w:tcPr>
          <w:p>
            <w:pPr>
              <w:spacing w:after="60" w:before="40"/>
            </w:pPr>
            <w:r>
              <w:rPr>
                <w:sz w:val="17"/>
              </w:rPr>
              <w:t>Unique name/edition/jurisdiction; immutable approved rules; cannot publish unreviewed/unlicensed dataset</w:t>
            </w:r>
          </w:p>
        </w:tc>
      </w:tr>
      <w:tr>
        <w:tc>
          <w:tcPr>
            <w:tcW w:type="dxa" w:w="1945"/>
          </w:tcPr>
          <w:p>
            <w:pPr>
              <w:spacing w:after="60" w:before="40"/>
            </w:pPr>
            <w:r>
              <w:rPr>
                <w:rFonts w:ascii="Consolas" w:hAnsi="Consolas"/>
                <w:sz w:val="17"/>
              </w:rPr>
              <w:t>nutrient_definitions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code text UNIQUE</w:t>
            </w:r>
            <w:r>
              <w:rPr>
                <w:sz w:val="17"/>
              </w:rPr>
              <w:t xml:space="preserve">, </w:t>
            </w:r>
            <w:r>
              <w:rPr>
                <w:rFonts w:ascii="Consolas" w:hAnsi="Consolas"/>
                <w:sz w:val="17"/>
              </w:rPr>
              <w:t>name text</w:t>
            </w:r>
            <w:r>
              <w:rPr>
                <w:sz w:val="17"/>
              </w:rPr>
              <w:t xml:space="preserve">, </w:t>
            </w:r>
            <w:r>
              <w:rPr>
                <w:rFonts w:ascii="Consolas" w:hAnsi="Consolas"/>
                <w:sz w:val="17"/>
              </w:rPr>
              <w:t>canonical_unit text</w:t>
            </w:r>
            <w:r>
              <w:rPr>
                <w:sz w:val="17"/>
              </w:rPr>
              <w:t xml:space="preserve">, </w:t>
            </w:r>
            <w:r>
              <w:rPr>
                <w:rFonts w:ascii="Consolas" w:hAnsi="Consolas"/>
                <w:sz w:val="17"/>
              </w:rPr>
              <w:t>analyte text</w:t>
            </w:r>
            <w:r>
              <w:rPr>
                <w:sz w:val="17"/>
              </w:rPr>
              <w:t xml:space="preserve">, </w:t>
            </w:r>
            <w:r>
              <w:rPr>
                <w:rFonts w:ascii="Consolas" w:hAnsi="Consolas"/>
                <w:sz w:val="17"/>
              </w:rPr>
              <w:t>chemical_form_required bool</w:t>
            </w:r>
            <w:r>
              <w:rPr>
                <w:sz w:val="17"/>
              </w:rPr>
              <w:t xml:space="preserve">, </w:t>
            </w:r>
            <w:r>
              <w:rPr>
                <w:rFonts w:ascii="Consolas" w:hAnsi="Consolas"/>
                <w:sz w:val="17"/>
              </w:rPr>
              <w:t>paired_component_ids jsonb NULL</w:t>
            </w:r>
          </w:p>
        </w:tc>
        <w:tc>
          <w:tcPr>
            <w:tcW w:type="dxa" w:w="5087"/>
          </w:tcPr>
          <w:p>
            <w:pPr>
              <w:spacing w:after="60" w:before="40"/>
            </w:pPr>
            <w:r>
              <w:rPr>
                <w:sz w:val="17"/>
              </w:rPr>
              <w:t>Catalog all rows in §8 plus water/ash/fiber forms and optional nutrients; no “all vitamins” aggregate</w:t>
            </w:r>
          </w:p>
        </w:tc>
      </w:tr>
      <w:tr>
        <w:tc>
          <w:tcPr>
            <w:tcW w:type="dxa" w:w="1945"/>
          </w:tcPr>
          <w:p>
            <w:pPr>
              <w:spacing w:after="60" w:before="40"/>
            </w:pPr>
            <w:r>
              <w:rPr>
                <w:rFonts w:ascii="Consolas" w:hAnsi="Consolas"/>
                <w:sz w:val="17"/>
              </w:rPr>
              <w:t>nutrient_rules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standard_id uuid FK</w:t>
            </w:r>
            <w:r>
              <w:rPr>
                <w:sz w:val="17"/>
              </w:rPr>
              <w:t xml:space="preserve">, </w:t>
            </w:r>
            <w:r>
              <w:rPr>
                <w:rFonts w:ascii="Consolas" w:hAnsi="Consolas"/>
                <w:sz w:val="17"/>
              </w:rPr>
              <w:t>nutrient_id uuid FK NULL</w:t>
            </w:r>
            <w:r>
              <w:rPr>
                <w:sz w:val="17"/>
              </w:rPr>
              <w:t xml:space="preserve">, </w:t>
            </w:r>
            <w:r>
              <w:rPr>
                <w:rFonts w:ascii="Consolas" w:hAnsi="Consolas"/>
                <w:sz w:val="17"/>
              </w:rPr>
              <w:t>rule_kind text</w:t>
            </w:r>
            <w:r>
              <w:rPr>
                <w:sz w:val="17"/>
              </w:rPr>
              <w:t xml:space="preserve">, </w:t>
            </w:r>
            <w:r>
              <w:rPr>
                <w:rFonts w:ascii="Consolas" w:hAnsi="Consolas"/>
                <w:sz w:val="17"/>
              </w:rPr>
              <w:t>life_stage text</w:t>
            </w:r>
            <w:r>
              <w:rPr>
                <w:sz w:val="17"/>
              </w:rPr>
              <w:t xml:space="preserve">, </w:t>
            </w:r>
            <w:r>
              <w:rPr>
                <w:rFonts w:ascii="Consolas" w:hAnsi="Consolas"/>
                <w:sz w:val="17"/>
              </w:rPr>
              <w:t>energy_profile text NULL</w:t>
            </w:r>
            <w:r>
              <w:rPr>
                <w:sz w:val="17"/>
              </w:rPr>
              <w:t xml:space="preserve">, </w:t>
            </w:r>
            <w:r>
              <w:rPr>
                <w:rFonts w:ascii="Consolas" w:hAnsi="Consolas"/>
                <w:sz w:val="17"/>
              </w:rPr>
              <w:t>form text NULL</w:t>
            </w:r>
            <w:r>
              <w:rPr>
                <w:sz w:val="17"/>
              </w:rPr>
              <w:t xml:space="preserve">, </w:t>
            </w:r>
            <w:r>
              <w:rPr>
                <w:rFonts w:ascii="Consolas" w:hAnsi="Consolas"/>
                <w:sz w:val="17"/>
              </w:rPr>
              <w:t>basis text</w:t>
            </w:r>
            <w:r>
              <w:rPr>
                <w:sz w:val="17"/>
              </w:rPr>
              <w:t xml:space="preserve">, </w:t>
            </w:r>
            <w:r>
              <w:rPr>
                <w:rFonts w:ascii="Consolas" w:hAnsi="Consolas"/>
                <w:sz w:val="17"/>
              </w:rPr>
              <w:t>unit text</w:t>
            </w:r>
            <w:r>
              <w:rPr>
                <w:sz w:val="17"/>
              </w:rPr>
              <w:t xml:space="preserve">, </w:t>
            </w:r>
            <w:r>
              <w:rPr>
                <w:rFonts w:ascii="Consolas" w:hAnsi="Consolas"/>
                <w:sz w:val="17"/>
              </w:rPr>
              <w:t>lower_value numeric NULL</w:t>
            </w:r>
            <w:r>
              <w:rPr>
                <w:sz w:val="17"/>
              </w:rPr>
              <w:t xml:space="preserve">, </w:t>
            </w:r>
            <w:r>
              <w:rPr>
                <w:rFonts w:ascii="Consolas" w:hAnsi="Consolas"/>
                <w:sz w:val="17"/>
              </w:rPr>
              <w:t>upper_value numeric NULL</w:t>
            </w:r>
            <w:r>
              <w:rPr>
                <w:sz w:val="17"/>
              </w:rPr>
              <w:t xml:space="preserve">, </w:t>
            </w:r>
            <w:r>
              <w:rPr>
                <w:rFonts w:ascii="Consolas" w:hAnsi="Consolas"/>
                <w:sz w:val="17"/>
              </w:rPr>
              <w:t>lower_state text</w:t>
            </w:r>
            <w:r>
              <w:rPr>
                <w:sz w:val="17"/>
              </w:rPr>
              <w:t xml:space="preserve">, </w:t>
            </w:r>
            <w:r>
              <w:rPr>
                <w:rFonts w:ascii="Consolas" w:hAnsi="Consolas"/>
                <w:sz w:val="17"/>
              </w:rPr>
              <w:t>upper_state text</w:t>
            </w:r>
            <w:r>
              <w:rPr>
                <w:sz w:val="17"/>
              </w:rPr>
              <w:t xml:space="preserve">, </w:t>
            </w:r>
            <w:r>
              <w:rPr>
                <w:rFonts w:ascii="Consolas" w:hAnsi="Consolas"/>
                <w:sz w:val="17"/>
              </w:rPr>
              <w:t>conditions jsonb</w:t>
            </w:r>
            <w:r>
              <w:rPr>
                <w:sz w:val="17"/>
              </w:rPr>
              <w:t xml:space="preserve">, </w:t>
            </w:r>
            <w:r>
              <w:rPr>
                <w:rFonts w:ascii="Consolas" w:hAnsi="Consolas"/>
                <w:sz w:val="17"/>
              </w:rPr>
              <w:t>source_locator text</w:t>
            </w:r>
            <w:r>
              <w:rPr>
                <w:sz w:val="17"/>
              </w:rPr>
              <w:t xml:space="preserve">, </w:t>
            </w:r>
            <w:r>
              <w:rPr>
                <w:rFonts w:ascii="Consolas" w:hAnsi="Consolas"/>
                <w:sz w:val="17"/>
              </w:rPr>
              <w:t>clinical_review_required bool</w:t>
            </w:r>
          </w:p>
        </w:tc>
        <w:tc>
          <w:tcPr>
            <w:tcW w:type="dxa" w:w="5087"/>
          </w:tcPr>
          <w:p>
            <w:pPr>
              <w:spacing w:after="60" w:before="40"/>
            </w:pPr>
            <w:r>
              <w:rPr>
                <w:sz w:val="17"/>
              </w:rPr>
              <w:t>At least typed applicable bound or explicit not-established; bounds≥0 and ordered; unique standard/rule/population/conditions; ratio rules reference component IDs; legal/nutritional limits separate</w:t>
            </w:r>
          </w:p>
        </w:tc>
      </w:tr>
      <w:tr>
        <w:tc>
          <w:tcPr>
            <w:tcW w:type="dxa" w:w="1945"/>
          </w:tcPr>
          <w:p>
            <w:pPr>
              <w:spacing w:after="60" w:before="40"/>
            </w:pPr>
            <w:r>
              <w:rPr>
                <w:rFonts w:ascii="Consolas" w:hAnsi="Consolas"/>
                <w:sz w:val="17"/>
              </w:rPr>
              <w:t>energy_methods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code text</w:t>
            </w:r>
            <w:r>
              <w:rPr>
                <w:sz w:val="17"/>
              </w:rPr>
              <w:t xml:space="preserve">, </w:t>
            </w:r>
            <w:r>
              <w:rPr>
                <w:rFonts w:ascii="Consolas" w:hAnsi="Consolas"/>
                <w:sz w:val="17"/>
              </w:rPr>
              <w:t>version int</w:t>
            </w:r>
            <w:r>
              <w:rPr>
                <w:sz w:val="17"/>
              </w:rPr>
              <w:t xml:space="preserve">, </w:t>
            </w:r>
            <w:r>
              <w:rPr>
                <w:rFonts w:ascii="Consolas" w:hAnsi="Consolas"/>
                <w:sz w:val="17"/>
              </w:rPr>
              <w:t>source_id uuid FK</w:t>
            </w:r>
            <w:r>
              <w:rPr>
                <w:sz w:val="17"/>
              </w:rPr>
              <w:t xml:space="preserve">, </w:t>
            </w:r>
            <w:r>
              <w:rPr>
                <w:rFonts w:ascii="Consolas" w:hAnsi="Consolas"/>
                <w:sz w:val="17"/>
              </w:rPr>
              <w:t>population text</w:t>
            </w:r>
            <w:r>
              <w:rPr>
                <w:sz w:val="17"/>
              </w:rPr>
              <w:t xml:space="preserve">, </w:t>
            </w:r>
            <w:r>
              <w:rPr>
                <w:rFonts w:ascii="Consolas" w:hAnsi="Consolas"/>
                <w:sz w:val="17"/>
              </w:rPr>
              <w:t>weight_basis text</w:t>
            </w:r>
            <w:r>
              <w:rPr>
                <w:sz w:val="17"/>
              </w:rPr>
              <w:t xml:space="preserve">, </w:t>
            </w:r>
            <w:r>
              <w:rPr>
                <w:rFonts w:ascii="Consolas" w:hAnsi="Consolas"/>
                <w:sz w:val="17"/>
              </w:rPr>
              <w:t>factor numeric NULL</w:t>
            </w:r>
            <w:r>
              <w:rPr>
                <w:sz w:val="17"/>
              </w:rPr>
              <w:t xml:space="preserve">, </w:t>
            </w:r>
            <w:r>
              <w:rPr>
                <w:rFonts w:ascii="Consolas" w:hAnsi="Consolas"/>
                <w:sz w:val="17"/>
              </w:rPr>
              <w:t>factor_min numeric NULL</w:t>
            </w:r>
            <w:r>
              <w:rPr>
                <w:sz w:val="17"/>
              </w:rPr>
              <w:t xml:space="preserve">, </w:t>
            </w:r>
            <w:r>
              <w:rPr>
                <w:rFonts w:ascii="Consolas" w:hAnsi="Consolas"/>
                <w:sz w:val="17"/>
              </w:rPr>
              <w:t>factor_max numeric NULL</w:t>
            </w:r>
            <w:r>
              <w:rPr>
                <w:sz w:val="17"/>
              </w:rPr>
              <w:t xml:space="preserve">, </w:t>
            </w:r>
            <w:r>
              <w:rPr>
                <w:rFonts w:ascii="Consolas" w:hAnsi="Consolas"/>
                <w:sz w:val="17"/>
              </w:rPr>
              <w:t>equation_id text</w:t>
            </w:r>
            <w:r>
              <w:rPr>
                <w:sz w:val="17"/>
              </w:rPr>
              <w:t xml:space="preserve">, </w:t>
            </w:r>
            <w:r>
              <w:rPr>
                <w:rFonts w:ascii="Consolas" w:hAnsi="Consolas"/>
                <w:sz w:val="17"/>
              </w:rPr>
              <w:t>domain jsonb</w:t>
            </w:r>
            <w:r>
              <w:rPr>
                <w:sz w:val="17"/>
              </w:rPr>
              <w:t xml:space="preserve">, </w:t>
            </w:r>
            <w:r>
              <w:rPr>
                <w:rFonts w:ascii="Consolas" w:hAnsi="Consolas"/>
                <w:sz w:val="17"/>
              </w:rPr>
              <w:t>priority int</w:t>
            </w:r>
            <w:r>
              <w:rPr>
                <w:sz w:val="17"/>
              </w:rPr>
              <w:t xml:space="preserve">, </w:t>
            </w:r>
            <w:r>
              <w:rPr>
                <w:rFonts w:ascii="Consolas" w:hAnsi="Consolas"/>
                <w:sz w:val="17"/>
              </w:rPr>
              <w:t>review_status text</w:t>
            </w:r>
          </w:p>
        </w:tc>
        <w:tc>
          <w:tcPr>
            <w:tcW w:type="dxa" w:w="5087"/>
          </w:tcPr>
          <w:p>
            <w:pPr>
              <w:spacing w:after="60" w:before="40"/>
            </w:pPr>
            <w:r>
              <w:rPr>
                <w:sz w:val="17"/>
              </w:rPr>
              <w:t>Unique code/version; one method selected per calculated plan; equation references audited deterministic implementation, not arbitrary executable formula strings</w:t>
            </w:r>
          </w:p>
        </w:tc>
      </w:tr>
      <w:tr>
        <w:tc>
          <w:tcPr>
            <w:tcW w:type="dxa" w:w="1945"/>
          </w:tcPr>
          <w:p>
            <w:pPr>
              <w:spacing w:after="60" w:before="40"/>
            </w:pPr>
            <w:r>
              <w:rPr>
                <w:rFonts w:ascii="Consolas" w:hAnsi="Consolas"/>
                <w:sz w:val="17"/>
              </w:rPr>
              <w:t>ingredients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canonical_name text</w:t>
            </w:r>
            <w:r>
              <w:rPr>
                <w:sz w:val="17"/>
              </w:rPr>
              <w:t xml:space="preserve">, </w:t>
            </w:r>
            <w:r>
              <w:rPr>
                <w:rFonts w:ascii="Consolas" w:hAnsi="Consolas"/>
                <w:sz w:val="17"/>
              </w:rPr>
              <w:t>taxon text NULL</w:t>
            </w:r>
            <w:r>
              <w:rPr>
                <w:sz w:val="17"/>
              </w:rPr>
              <w:t xml:space="preserve">, </w:t>
            </w:r>
            <w:r>
              <w:rPr>
                <w:rFonts w:ascii="Consolas" w:hAnsi="Consolas"/>
                <w:sz w:val="17"/>
              </w:rPr>
              <w:t>category text</w:t>
            </w:r>
            <w:r>
              <w:rPr>
                <w:sz w:val="17"/>
              </w:rPr>
              <w:t xml:space="preserve">, </w:t>
            </w:r>
            <w:r>
              <w:rPr>
                <w:rFonts w:ascii="Consolas" w:hAnsi="Consolas"/>
                <w:sz w:val="17"/>
              </w:rPr>
              <w:t>aliases jsonb</w:t>
            </w:r>
            <w:r>
              <w:rPr>
                <w:sz w:val="17"/>
              </w:rPr>
              <w:t xml:space="preserve">, </w:t>
            </w:r>
            <w:r>
              <w:rPr>
                <w:rFonts w:ascii="Consolas" w:hAnsi="Consolas"/>
                <w:sz w:val="17"/>
              </w:rPr>
              <w:t>ingredient_parent_id uuid NULL FK</w:t>
            </w:r>
          </w:p>
        </w:tc>
        <w:tc>
          <w:tcPr>
            <w:tcW w:type="dxa" w:w="5087"/>
          </w:tcPr>
          <w:p>
            <w:pPr>
              <w:spacing w:after="60" w:before="40"/>
            </w:pPr>
            <w:r>
              <w:rPr>
                <w:sz w:val="17"/>
              </w:rPr>
              <w:t>Hierarchical identity for ingredient/subingredient checks; aliases do not imply nutrient equivalence</w:t>
            </w:r>
          </w:p>
        </w:tc>
      </w:tr>
      <w:tr>
        <w:tc>
          <w:tcPr>
            <w:tcW w:type="dxa" w:w="1945"/>
          </w:tcPr>
          <w:p>
            <w:pPr>
              <w:spacing w:after="60" w:before="40"/>
            </w:pPr>
            <w:r>
              <w:rPr>
                <w:rFonts w:ascii="Consolas" w:hAnsi="Consolas"/>
                <w:sz w:val="17"/>
              </w:rPr>
              <w:t>foods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name text</w:t>
            </w:r>
            <w:r>
              <w:rPr>
                <w:sz w:val="17"/>
              </w:rPr>
              <w:t xml:space="preserve">, </w:t>
            </w:r>
            <w:r>
              <w:rPr>
                <w:rFonts w:ascii="Consolas" w:hAnsi="Consolas"/>
                <w:sz w:val="17"/>
              </w:rPr>
              <w:t>brand text NULL</w:t>
            </w:r>
            <w:r>
              <w:rPr>
                <w:sz w:val="17"/>
              </w:rPr>
              <w:t xml:space="preserve">, </w:t>
            </w:r>
            <w:r>
              <w:rPr>
                <w:rFonts w:ascii="Consolas" w:hAnsi="Consolas"/>
                <w:sz w:val="17"/>
              </w:rPr>
              <w:t>product_variant text NULL</w:t>
            </w:r>
            <w:r>
              <w:rPr>
                <w:sz w:val="17"/>
              </w:rPr>
              <w:t xml:space="preserve">, </w:t>
            </w:r>
            <w:r>
              <w:rPr>
                <w:rFonts w:ascii="Consolas" w:hAnsi="Consolas"/>
                <w:sz w:val="17"/>
              </w:rPr>
              <w:t>category text</w:t>
            </w:r>
            <w:r>
              <w:rPr>
                <w:sz w:val="17"/>
              </w:rPr>
              <w:t xml:space="preserve">, </w:t>
            </w:r>
            <w:r>
              <w:rPr>
                <w:rFonts w:ascii="Consolas" w:hAnsi="Consolas"/>
                <w:sz w:val="17"/>
              </w:rPr>
              <w:t>barcode text NULL</w:t>
            </w:r>
            <w:r>
              <w:rPr>
                <w:sz w:val="17"/>
              </w:rPr>
              <w:t xml:space="preserve">, </w:t>
            </w:r>
            <w:r>
              <w:rPr>
                <w:rFonts w:ascii="Consolas" w:hAnsi="Consolas"/>
                <w:sz w:val="17"/>
              </w:rPr>
              <w:t>active bool</w:t>
            </w:r>
          </w:p>
        </w:tc>
        <w:tc>
          <w:tcPr>
            <w:tcW w:type="dxa" w:w="5087"/>
          </w:tcPr>
          <w:p>
            <w:pPr>
              <w:spacing w:after="60" w:before="40"/>
            </w:pPr>
            <w:r>
              <w:rPr>
                <w:sz w:val="17"/>
              </w:rPr>
              <w:t>Stable identity; category enum; composition lives in version</w:t>
            </w:r>
          </w:p>
        </w:tc>
      </w:tr>
      <w:tr>
        <w:tc>
          <w:tcPr>
            <w:tcW w:type="dxa" w:w="1945"/>
          </w:tcPr>
          <w:p>
            <w:pPr>
              <w:spacing w:after="60" w:before="40"/>
            </w:pPr>
            <w:r>
              <w:rPr>
                <w:rFonts w:ascii="Consolas" w:hAnsi="Consolas"/>
                <w:sz w:val="17"/>
              </w:rPr>
              <w:t>food_versions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food_id uuid FK</w:t>
            </w:r>
            <w:r>
              <w:rPr>
                <w:sz w:val="17"/>
              </w:rPr>
              <w:t xml:space="preserve">, </w:t>
            </w:r>
            <w:r>
              <w:rPr>
                <w:rFonts w:ascii="Consolas" w:hAnsi="Consolas"/>
                <w:sz w:val="17"/>
              </w:rPr>
              <w:t>version int</w:t>
            </w:r>
            <w:r>
              <w:rPr>
                <w:sz w:val="17"/>
              </w:rPr>
              <w:t xml:space="preserve">, </w:t>
            </w:r>
            <w:r>
              <w:rPr>
                <w:rFonts w:ascii="Consolas" w:hAnsi="Consolas"/>
                <w:sz w:val="17"/>
              </w:rPr>
              <w:t>preparation text</w:t>
            </w:r>
            <w:r>
              <w:rPr>
                <w:sz w:val="17"/>
              </w:rPr>
              <w:t xml:space="preserve">, </w:t>
            </w:r>
            <w:r>
              <w:rPr>
                <w:rFonts w:ascii="Consolas" w:hAnsi="Consolas"/>
                <w:sz w:val="17"/>
              </w:rPr>
              <w:t>cut_description text NULL</w:t>
            </w:r>
            <w:r>
              <w:rPr>
                <w:sz w:val="17"/>
              </w:rPr>
              <w:t xml:space="preserve">, </w:t>
            </w:r>
            <w:r>
              <w:rPr>
                <w:rFonts w:ascii="Consolas" w:hAnsi="Consolas"/>
                <w:sz w:val="17"/>
              </w:rPr>
              <w:t>skin_state text NULL</w:t>
            </w:r>
            <w:r>
              <w:rPr>
                <w:sz w:val="17"/>
              </w:rPr>
              <w:t xml:space="preserve">, </w:t>
            </w:r>
            <w:r>
              <w:rPr>
                <w:rFonts w:ascii="Consolas" w:hAnsi="Consolas"/>
                <w:sz w:val="17"/>
              </w:rPr>
              <w:t>bone_state text</w:t>
            </w:r>
            <w:r>
              <w:rPr>
                <w:sz w:val="17"/>
              </w:rPr>
              <w:t xml:space="preserve">, </w:t>
            </w:r>
            <w:r>
              <w:rPr>
                <w:rFonts w:ascii="Consolas" w:hAnsi="Consolas"/>
                <w:sz w:val="17"/>
              </w:rPr>
              <w:t>edible_fraction numeric NULL</w:t>
            </w:r>
            <w:r>
              <w:rPr>
                <w:sz w:val="17"/>
              </w:rPr>
              <w:t xml:space="preserve">, </w:t>
            </w:r>
            <w:r>
              <w:rPr>
                <w:rFonts w:ascii="Consolas" w:hAnsi="Consolas"/>
                <w:sz w:val="17"/>
              </w:rPr>
              <w:t>yield_factor numeric NULL</w:t>
            </w:r>
            <w:r>
              <w:rPr>
                <w:sz w:val="17"/>
              </w:rPr>
              <w:t xml:space="preserve">, </w:t>
            </w:r>
            <w:r>
              <w:rPr>
                <w:rFonts w:ascii="Consolas" w:hAnsi="Consolas"/>
                <w:sz w:val="17"/>
              </w:rPr>
              <w:t>me_kcal_g numeric NULL</w:t>
            </w:r>
            <w:r>
              <w:rPr>
                <w:sz w:val="17"/>
              </w:rPr>
              <w:t xml:space="preserve">, </w:t>
            </w:r>
            <w:r>
              <w:rPr>
                <w:rFonts w:ascii="Consolas" w:hAnsi="Consolas"/>
                <w:sz w:val="17"/>
              </w:rPr>
              <w:t>me_method text</w:t>
            </w:r>
            <w:r>
              <w:rPr>
                <w:sz w:val="17"/>
              </w:rPr>
              <w:t xml:space="preserve">, </w:t>
            </w:r>
            <w:r>
              <w:rPr>
                <w:rFonts w:ascii="Consolas" w:hAnsi="Consolas"/>
                <w:sz w:val="17"/>
              </w:rPr>
              <w:t>me_confidence text</w:t>
            </w:r>
            <w:r>
              <w:rPr>
                <w:sz w:val="17"/>
              </w:rPr>
              <w:t xml:space="preserve">, </w:t>
            </w:r>
            <w:r>
              <w:rPr>
                <w:rFonts w:ascii="Consolas" w:hAnsi="Consolas"/>
                <w:sz w:val="17"/>
              </w:rPr>
              <w:t>serving_grams numeric NULL</w:t>
            </w:r>
            <w:r>
              <w:rPr>
                <w:sz w:val="17"/>
              </w:rPr>
              <w:t xml:space="preserve">, </w:t>
            </w:r>
            <w:r>
              <w:rPr>
                <w:rFonts w:ascii="Consolas" w:hAnsi="Consolas"/>
                <w:sz w:val="17"/>
              </w:rPr>
              <w:t>moisture_pct numeric NULL</w:t>
            </w:r>
            <w:r>
              <w:rPr>
                <w:sz w:val="17"/>
              </w:rPr>
              <w:t xml:space="preserve">, </w:t>
            </w:r>
            <w:r>
              <w:rPr>
                <w:rFonts w:ascii="Consolas" w:hAnsi="Consolas"/>
                <w:sz w:val="17"/>
              </w:rPr>
              <w:t>adequacy_status text</w:t>
            </w:r>
            <w:r>
              <w:rPr>
                <w:sz w:val="17"/>
              </w:rPr>
              <w:t xml:space="preserve">, </w:t>
            </w:r>
            <w:r>
              <w:rPr>
                <w:rFonts w:ascii="Consolas" w:hAnsi="Consolas"/>
                <w:sz w:val="17"/>
              </w:rPr>
              <w:t>adequacy_standard text NULL</w:t>
            </w:r>
            <w:r>
              <w:rPr>
                <w:sz w:val="17"/>
              </w:rPr>
              <w:t xml:space="preserve">, </w:t>
            </w:r>
            <w:r>
              <w:rPr>
                <w:rFonts w:ascii="Consolas" w:hAnsi="Consolas"/>
                <w:sz w:val="17"/>
              </w:rPr>
              <w:t>adequacy_method text NULL</w:t>
            </w:r>
            <w:r>
              <w:rPr>
                <w:sz w:val="17"/>
              </w:rPr>
              <w:t xml:space="preserve">, </w:t>
            </w:r>
            <w:r>
              <w:rPr>
                <w:rFonts w:ascii="Consolas" w:hAnsi="Consolas"/>
                <w:sz w:val="17"/>
              </w:rPr>
              <w:t>life_stages jsonb</w:t>
            </w:r>
            <w:r>
              <w:rPr>
                <w:sz w:val="17"/>
              </w:rPr>
              <w:t xml:space="preserve">, </w:t>
            </w:r>
            <w:r>
              <w:rPr>
                <w:rFonts w:ascii="Consolas" w:hAnsi="Consolas"/>
                <w:sz w:val="17"/>
              </w:rPr>
              <w:t>large_growth_statement text NULL</w:t>
            </w:r>
            <w:r>
              <w:rPr>
                <w:sz w:val="17"/>
              </w:rPr>
              <w:t xml:space="preserve">, </w:t>
            </w:r>
            <w:r>
              <w:rPr>
                <w:rFonts w:ascii="Consolas" w:hAnsi="Consolas"/>
                <w:sz w:val="17"/>
              </w:rPr>
              <w:t>label_text text NULL</w:t>
            </w:r>
            <w:r>
              <w:rPr>
                <w:sz w:val="17"/>
              </w:rPr>
              <w:t xml:space="preserve">, </w:t>
            </w:r>
            <w:r>
              <w:rPr>
                <w:rFonts w:ascii="Consolas" w:hAnsi="Consolas"/>
                <w:sz w:val="17"/>
              </w:rPr>
              <w:t>source_id uuid FK</w:t>
            </w:r>
            <w:r>
              <w:rPr>
                <w:sz w:val="17"/>
              </w:rPr>
              <w:t xml:space="preserve">, </w:t>
            </w:r>
            <w:r>
              <w:rPr>
                <w:rFonts w:ascii="Consolas" w:hAnsi="Consolas"/>
                <w:sz w:val="17"/>
              </w:rPr>
              <w:t>verified_at timestamptz</w:t>
            </w:r>
            <w:r>
              <w:rPr>
                <w:sz w:val="17"/>
              </w:rPr>
              <w:t xml:space="preserve">, </w:t>
            </w:r>
            <w:r>
              <w:rPr>
                <w:rFonts w:ascii="Consolas" w:hAnsi="Consolas"/>
                <w:sz w:val="17"/>
              </w:rPr>
              <w:t>review_due date</w:t>
            </w:r>
            <w:r>
              <w:rPr>
                <w:sz w:val="17"/>
              </w:rPr>
              <w:t xml:space="preserve">, </w:t>
            </w:r>
            <w:r>
              <w:rPr>
                <w:rFonts w:ascii="Consolas" w:hAnsi="Consolas"/>
                <w:sz w:val="17"/>
              </w:rPr>
              <w:t>status text</w:t>
            </w:r>
            <w:r>
              <w:rPr>
                <w:sz w:val="17"/>
              </w:rPr>
              <w:t xml:space="preserve">, </w:t>
            </w:r>
            <w:r>
              <w:rPr>
                <w:rFonts w:ascii="Consolas" w:hAnsi="Consolas"/>
                <w:sz w:val="17"/>
              </w:rPr>
              <w:t>supersedes_id uuid NULL FK</w:t>
            </w:r>
          </w:p>
        </w:tc>
        <w:tc>
          <w:tcPr>
            <w:tcW w:type="dxa" w:w="5087"/>
          </w:tcPr>
          <w:p>
            <w:pPr>
              <w:spacing w:after="60" w:before="40"/>
            </w:pPr>
            <w:r>
              <w:rPr>
                <w:sz w:val="17"/>
              </w:rPr>
              <w:t>Unique food/version; ME&gt;0 if present; moisture 0≤x&lt;100 for convertible solid ration; edible fraction 0&lt;x≤1; source required; approved version immutable; missing ME prevents calculation</w:t>
            </w:r>
          </w:p>
        </w:tc>
      </w:tr>
      <w:tr>
        <w:tc>
          <w:tcPr>
            <w:tcW w:type="dxa" w:w="1945"/>
          </w:tcPr>
          <w:p>
            <w:pPr>
              <w:spacing w:after="60" w:before="40"/>
            </w:pPr>
            <w:r>
              <w:rPr>
                <w:rFonts w:ascii="Consolas" w:hAnsi="Consolas"/>
                <w:sz w:val="17"/>
              </w:rPr>
              <w:t>food_ingredients</w:t>
            </w:r>
          </w:p>
        </w:tc>
        <w:tc>
          <w:tcPr>
            <w:tcW w:type="dxa" w:w="7930"/>
          </w:tcPr>
          <w:p>
            <w:pPr>
              <w:spacing w:after="60" w:before="40"/>
            </w:pPr>
            <w:r>
              <w:rPr>
                <w:rFonts w:ascii="Consolas" w:hAnsi="Consolas"/>
                <w:sz w:val="17"/>
              </w:rPr>
              <w:t>food_version_id uuid FK</w:t>
            </w:r>
            <w:r>
              <w:rPr>
                <w:sz w:val="17"/>
              </w:rPr>
              <w:t xml:space="preserve">, </w:t>
            </w:r>
            <w:r>
              <w:rPr>
                <w:rFonts w:ascii="Consolas" w:hAnsi="Consolas"/>
                <w:sz w:val="17"/>
              </w:rPr>
              <w:t>ingredient_id uuid FK</w:t>
            </w:r>
            <w:r>
              <w:rPr>
                <w:sz w:val="17"/>
              </w:rPr>
              <w:t xml:space="preserve">, </w:t>
            </w:r>
            <w:r>
              <w:rPr>
                <w:rFonts w:ascii="Consolas" w:hAnsi="Consolas"/>
                <w:sz w:val="17"/>
              </w:rPr>
              <w:t>parent_ingredient_id uuid NULL</w:t>
            </w:r>
            <w:r>
              <w:rPr>
                <w:sz w:val="17"/>
              </w:rPr>
              <w:t xml:space="preserve">, </w:t>
            </w:r>
            <w:r>
              <w:rPr>
                <w:rFonts w:ascii="Consolas" w:hAnsi="Consolas"/>
                <w:sz w:val="17"/>
              </w:rPr>
              <w:t>quantity_fraction numeric NULL</w:t>
            </w:r>
            <w:r>
              <w:rPr>
                <w:sz w:val="17"/>
              </w:rPr>
              <w:t xml:space="preserve">, </w:t>
            </w:r>
            <w:r>
              <w:rPr>
                <w:rFonts w:ascii="Consolas" w:hAnsi="Consolas"/>
                <w:sz w:val="17"/>
              </w:rPr>
              <w:t>presence text</w:t>
            </w:r>
            <w:r>
              <w:rPr>
                <w:sz w:val="17"/>
              </w:rPr>
              <w:t xml:space="preserve">, </w:t>
            </w:r>
            <w:r>
              <w:rPr>
                <w:rFonts w:ascii="Consolas" w:hAnsi="Consolas"/>
                <w:sz w:val="17"/>
              </w:rPr>
              <w:t>contamination_status text</w:t>
            </w:r>
            <w:r>
              <w:rPr>
                <w:sz w:val="17"/>
              </w:rPr>
              <w:t xml:space="preserve">, </w:t>
            </w:r>
            <w:r>
              <w:rPr>
                <w:rFonts w:ascii="Consolas" w:hAnsi="Consolas"/>
                <w:sz w:val="17"/>
              </w:rPr>
              <w:t>source_id uuid FK</w:t>
            </w:r>
            <w:r>
              <w:rPr>
                <w:sz w:val="17"/>
              </w:rPr>
              <w:t>, composite PK</w:t>
            </w:r>
          </w:p>
        </w:tc>
        <w:tc>
          <w:tcPr>
            <w:tcW w:type="dxa" w:w="5087"/>
          </w:tcPr>
          <w:p>
            <w:pPr>
              <w:spacing w:after="60" w:before="40"/>
            </w:pPr>
            <w:r>
              <w:rPr>
                <w:sz w:val="17"/>
              </w:rPr>
              <w:t>Fractions 0–1 if known; unknown ingredient/allergen contamination retained; recursive ingredient graph rejects cycles</w:t>
            </w:r>
          </w:p>
        </w:tc>
      </w:tr>
      <w:tr>
        <w:tc>
          <w:tcPr>
            <w:tcW w:type="dxa" w:w="1945"/>
          </w:tcPr>
          <w:p>
            <w:pPr>
              <w:spacing w:after="60" w:before="40"/>
            </w:pPr>
            <w:r>
              <w:rPr>
                <w:rFonts w:ascii="Consolas" w:hAnsi="Consolas"/>
                <w:sz w:val="17"/>
              </w:rPr>
              <w:t>food_nutrients</w:t>
            </w:r>
          </w:p>
        </w:tc>
        <w:tc>
          <w:tcPr>
            <w:tcW w:type="dxa" w:w="7930"/>
          </w:tcPr>
          <w:p>
            <w:pPr>
              <w:spacing w:after="60" w:before="40"/>
            </w:pPr>
            <w:r>
              <w:rPr>
                <w:rFonts w:ascii="Consolas" w:hAnsi="Consolas"/>
                <w:sz w:val="17"/>
              </w:rPr>
              <w:t>food_version_id uuid FK</w:t>
            </w:r>
            <w:r>
              <w:rPr>
                <w:sz w:val="17"/>
              </w:rPr>
              <w:t xml:space="preserve">, </w:t>
            </w:r>
            <w:r>
              <w:rPr>
                <w:rFonts w:ascii="Consolas" w:hAnsi="Consolas"/>
                <w:sz w:val="17"/>
              </w:rPr>
              <w:t>nutrient_id uuid FK</w:t>
            </w:r>
            <w:r>
              <w:rPr>
                <w:sz w:val="17"/>
              </w:rPr>
              <w:t xml:space="preserve">, </w:t>
            </w:r>
            <w:r>
              <w:rPr>
                <w:rFonts w:ascii="Consolas" w:hAnsi="Consolas"/>
                <w:sz w:val="17"/>
              </w:rPr>
              <w:t>source_id uuid FK</w:t>
            </w:r>
            <w:r>
              <w:rPr>
                <w:sz w:val="17"/>
              </w:rPr>
              <w:t xml:space="preserve">, </w:t>
            </w:r>
            <w:r>
              <w:rPr>
                <w:rFonts w:ascii="Consolas" w:hAnsi="Consolas"/>
                <w:sz w:val="17"/>
              </w:rPr>
              <w:t>value numeric NULL</w:t>
            </w:r>
            <w:r>
              <w:rPr>
                <w:sz w:val="17"/>
              </w:rPr>
              <w:t xml:space="preserve">, </w:t>
            </w:r>
            <w:r>
              <w:rPr>
                <w:rFonts w:ascii="Consolas" w:hAnsi="Consolas"/>
                <w:sz w:val="17"/>
              </w:rPr>
              <w:t>lower_value numeric NULL</w:t>
            </w:r>
            <w:r>
              <w:rPr>
                <w:sz w:val="17"/>
              </w:rPr>
              <w:t xml:space="preserve">, </w:t>
            </w:r>
            <w:r>
              <w:rPr>
                <w:rFonts w:ascii="Consolas" w:hAnsi="Consolas"/>
                <w:sz w:val="17"/>
              </w:rPr>
              <w:t>upper_value numeric NULL</w:t>
            </w:r>
            <w:r>
              <w:rPr>
                <w:sz w:val="17"/>
              </w:rPr>
              <w:t xml:space="preserve">, </w:t>
            </w:r>
            <w:r>
              <w:rPr>
                <w:rFonts w:ascii="Consolas" w:hAnsi="Consolas"/>
                <w:sz w:val="17"/>
              </w:rPr>
              <w:t>value_state text</w:t>
            </w:r>
            <w:r>
              <w:rPr>
                <w:sz w:val="17"/>
              </w:rPr>
              <w:t xml:space="preserve">, </w:t>
            </w:r>
            <w:r>
              <w:rPr>
                <w:rFonts w:ascii="Consolas" w:hAnsi="Consolas"/>
                <w:sz w:val="17"/>
              </w:rPr>
              <w:t>evidence_type text</w:t>
            </w:r>
            <w:r>
              <w:rPr>
                <w:sz w:val="17"/>
              </w:rPr>
              <w:t xml:space="preserve">, </w:t>
            </w:r>
            <w:r>
              <w:rPr>
                <w:rFonts w:ascii="Consolas" w:hAnsi="Consolas"/>
                <w:sz w:val="17"/>
              </w:rPr>
              <w:t>unit text</w:t>
            </w:r>
            <w:r>
              <w:rPr>
                <w:sz w:val="17"/>
              </w:rPr>
              <w:t xml:space="preserve">, </w:t>
            </w:r>
            <w:r>
              <w:rPr>
                <w:rFonts w:ascii="Consolas" w:hAnsi="Consolas"/>
                <w:sz w:val="17"/>
              </w:rPr>
              <w:t>basis text</w:t>
            </w:r>
            <w:r>
              <w:rPr>
                <w:sz w:val="17"/>
              </w:rPr>
              <w:t xml:space="preserve">, </w:t>
            </w:r>
            <w:r>
              <w:rPr>
                <w:rFonts w:ascii="Consolas" w:hAnsi="Consolas"/>
                <w:sz w:val="17"/>
              </w:rPr>
              <w:t>chemical_form text NULL</w:t>
            </w:r>
            <w:r>
              <w:rPr>
                <w:sz w:val="17"/>
              </w:rPr>
              <w:t xml:space="preserve">, </w:t>
            </w:r>
            <w:r>
              <w:rPr>
                <w:rFonts w:ascii="Consolas" w:hAnsi="Consolas"/>
                <w:sz w:val="17"/>
              </w:rPr>
              <w:t>detection_limit numeric NULL</w:t>
            </w:r>
            <w:r>
              <w:rPr>
                <w:sz w:val="17"/>
              </w:rPr>
              <w:t xml:space="preserve">, </w:t>
            </w:r>
            <w:r>
              <w:rPr>
                <w:rFonts w:ascii="Consolas" w:hAnsi="Consolas"/>
                <w:sz w:val="17"/>
              </w:rPr>
              <w:t>method text NULL</w:t>
            </w:r>
            <w:r>
              <w:rPr>
                <w:sz w:val="17"/>
              </w:rPr>
              <w:t xml:space="preserve">, </w:t>
            </w:r>
            <w:r>
              <w:rPr>
                <w:rFonts w:ascii="Consolas" w:hAnsi="Consolas"/>
                <w:sz w:val="17"/>
              </w:rPr>
              <w:t>confidence text</w:t>
            </w:r>
            <w:r>
              <w:rPr>
                <w:sz w:val="17"/>
              </w:rPr>
              <w:t>, composite PK with analyte/form/basis key</w:t>
            </w:r>
          </w:p>
        </w:tc>
        <w:tc>
          <w:tcPr>
            <w:tcW w:type="dxa" w:w="5087"/>
          </w:tcPr>
          <w:p>
            <w:pPr>
              <w:spacing w:after="60" w:before="40"/>
            </w:pPr>
            <w:r>
              <w:rPr>
                <w:sz w:val="17"/>
              </w:rPr>
              <w:t>Nonnegative values, lower≤upper; state/value consistency; provenance required; unknown≠0; source conflicts quarantined rather than overwritten</w:t>
            </w:r>
          </w:p>
        </w:tc>
      </w:tr>
      <w:tr>
        <w:tc>
          <w:tcPr>
            <w:tcW w:type="dxa" w:w="1945"/>
          </w:tcPr>
          <w:p>
            <w:pPr>
              <w:spacing w:after="60" w:before="40"/>
            </w:pPr>
            <w:r>
              <w:rPr>
                <w:rFonts w:ascii="Consolas" w:hAnsi="Consolas"/>
                <w:sz w:val="17"/>
              </w:rPr>
              <w:t>preparation_evidence</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ingredient_id uuid FK</w:t>
            </w:r>
            <w:r>
              <w:rPr>
                <w:sz w:val="17"/>
              </w:rPr>
              <w:t xml:space="preserve">, </w:t>
            </w:r>
            <w:r>
              <w:rPr>
                <w:rFonts w:ascii="Consolas" w:hAnsi="Consolas"/>
                <w:sz w:val="17"/>
              </w:rPr>
              <w:t>method text</w:t>
            </w:r>
            <w:r>
              <w:rPr>
                <w:sz w:val="17"/>
              </w:rPr>
              <w:t xml:space="preserve">, </w:t>
            </w:r>
            <w:r>
              <w:rPr>
                <w:rFonts w:ascii="Consolas" w:hAnsi="Consolas"/>
                <w:sz w:val="17"/>
              </w:rPr>
              <w:t>raw_state text</w:t>
            </w:r>
            <w:r>
              <w:rPr>
                <w:sz w:val="17"/>
              </w:rPr>
              <w:t xml:space="preserve">, </w:t>
            </w:r>
            <w:r>
              <w:rPr>
                <w:rFonts w:ascii="Consolas" w:hAnsi="Consolas"/>
                <w:sz w:val="17"/>
              </w:rPr>
              <w:t>cooked_state text</w:t>
            </w:r>
            <w:r>
              <w:rPr>
                <w:sz w:val="17"/>
              </w:rPr>
              <w:t xml:space="preserve">, </w:t>
            </w:r>
            <w:r>
              <w:rPr>
                <w:rFonts w:ascii="Consolas" w:hAnsi="Consolas"/>
                <w:sz w:val="17"/>
              </w:rPr>
              <w:t>yield_factor numeric</w:t>
            </w:r>
            <w:r>
              <w:rPr>
                <w:sz w:val="17"/>
              </w:rPr>
              <w:t xml:space="preserve">, </w:t>
            </w:r>
            <w:r>
              <w:rPr>
                <w:rFonts w:ascii="Consolas" w:hAnsi="Consolas"/>
                <w:sz w:val="17"/>
              </w:rPr>
              <w:t>nutrient_id uuid FK NULL</w:t>
            </w:r>
            <w:r>
              <w:rPr>
                <w:sz w:val="17"/>
              </w:rPr>
              <w:t xml:space="preserve">, </w:t>
            </w:r>
            <w:r>
              <w:rPr>
                <w:rFonts w:ascii="Consolas" w:hAnsi="Consolas"/>
                <w:sz w:val="17"/>
              </w:rPr>
              <w:t>retention_fraction numeric NULL</w:t>
            </w:r>
            <w:r>
              <w:rPr>
                <w:sz w:val="17"/>
              </w:rPr>
              <w:t xml:space="preserve">, </w:t>
            </w:r>
            <w:r>
              <w:rPr>
                <w:rFonts w:ascii="Consolas" w:hAnsi="Consolas"/>
                <w:sz w:val="17"/>
              </w:rPr>
              <w:t>source_id uuid FK</w:t>
            </w:r>
            <w:r>
              <w:rPr>
                <w:sz w:val="17"/>
              </w:rPr>
              <w:t xml:space="preserve">, </w:t>
            </w:r>
            <w:r>
              <w:rPr>
                <w:rFonts w:ascii="Consolas" w:hAnsi="Consolas"/>
                <w:sz w:val="17"/>
              </w:rPr>
              <w:t>review_status text</w:t>
            </w:r>
          </w:p>
        </w:tc>
        <w:tc>
          <w:tcPr>
            <w:tcW w:type="dxa" w:w="5087"/>
          </w:tcPr>
          <w:p>
            <w:pPr>
              <w:spacing w:after="60" w:before="40"/>
            </w:pPr>
            <w:r>
              <w:rPr>
                <w:sz w:val="17"/>
              </w:rPr>
              <w:t>Positive yield; nutrient-specific retention documented and reviewed; do not force every measured apparent retention≤1 without examining source/mass definitions</w:t>
            </w:r>
          </w:p>
        </w:tc>
      </w:tr>
      <w:tr>
        <w:tc>
          <w:tcPr>
            <w:tcW w:type="dxa" w:w="1945"/>
          </w:tcPr>
          <w:p>
            <w:pPr>
              <w:spacing w:after="60" w:before="40"/>
            </w:pPr>
            <w:r>
              <w:rPr>
                <w:rFonts w:ascii="Consolas" w:hAnsi="Consolas"/>
                <w:sz w:val="17"/>
              </w:rPr>
              <w:t>hazard_rules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ingredient_id uuid FK NULL</w:t>
            </w:r>
            <w:r>
              <w:rPr>
                <w:sz w:val="17"/>
              </w:rPr>
              <w:t xml:space="preserve">, </w:t>
            </w:r>
            <w:r>
              <w:rPr>
                <w:rFonts w:ascii="Consolas" w:hAnsi="Consolas"/>
                <w:sz w:val="17"/>
              </w:rPr>
              <w:t>alias_pattern text NULL</w:t>
            </w:r>
            <w:r>
              <w:rPr>
                <w:sz w:val="17"/>
              </w:rPr>
              <w:t xml:space="preserve">, </w:t>
            </w:r>
            <w:r>
              <w:rPr>
                <w:rFonts w:ascii="Consolas" w:hAnsi="Consolas"/>
                <w:sz w:val="17"/>
              </w:rPr>
              <w:t>hazard_type text</w:t>
            </w:r>
            <w:r>
              <w:rPr>
                <w:sz w:val="17"/>
              </w:rPr>
              <w:t xml:space="preserve">, </w:t>
            </w:r>
            <w:r>
              <w:rPr>
                <w:rFonts w:ascii="Consolas" w:hAnsi="Consolas"/>
                <w:sz w:val="17"/>
              </w:rPr>
              <w:t>required_preparation text NULL</w:t>
            </w:r>
            <w:r>
              <w:rPr>
                <w:sz w:val="17"/>
              </w:rPr>
              <w:t xml:space="preserve">, </w:t>
            </w:r>
            <w:r>
              <w:rPr>
                <w:rFonts w:ascii="Consolas" w:hAnsi="Consolas"/>
                <w:sz w:val="17"/>
              </w:rPr>
              <w:t>population_conditions jsonb</w:t>
            </w:r>
            <w:r>
              <w:rPr>
                <w:sz w:val="17"/>
              </w:rPr>
              <w:t xml:space="preserve">, </w:t>
            </w:r>
            <w:r>
              <w:rPr>
                <w:rFonts w:ascii="Consolas" w:hAnsi="Consolas"/>
                <w:sz w:val="17"/>
              </w:rPr>
              <w:t>action text</w:t>
            </w:r>
            <w:r>
              <w:rPr>
                <w:sz w:val="17"/>
              </w:rPr>
              <w:t xml:space="preserve">, </w:t>
            </w:r>
            <w:r>
              <w:rPr>
                <w:rFonts w:ascii="Consolas" w:hAnsi="Consolas"/>
                <w:sz w:val="17"/>
              </w:rPr>
              <w:t>source_id uuid FK</w:t>
            </w:r>
            <w:r>
              <w:rPr>
                <w:sz w:val="17"/>
              </w:rPr>
              <w:t xml:space="preserve">, </w:t>
            </w:r>
            <w:r>
              <w:rPr>
                <w:rFonts w:ascii="Consolas" w:hAnsi="Consolas"/>
                <w:sz w:val="17"/>
              </w:rPr>
              <w:t>version int</w:t>
            </w:r>
            <w:r>
              <w:rPr>
                <w:sz w:val="17"/>
              </w:rPr>
              <w:t xml:space="preserve">, </w:t>
            </w:r>
            <w:r>
              <w:rPr>
                <w:rFonts w:ascii="Consolas" w:hAnsi="Consolas"/>
                <w:sz w:val="17"/>
              </w:rPr>
              <w:t>status text</w:t>
            </w:r>
          </w:p>
        </w:tc>
        <w:tc>
          <w:tcPr>
            <w:tcW w:type="dxa" w:w="5087"/>
          </w:tcPr>
          <w:p>
            <w:pPr>
              <w:spacing w:after="60" w:before="40"/>
            </w:pPr>
            <w:r>
              <w:rPr>
                <w:sz w:val="17"/>
              </w:rPr>
              <w:t>Typed exact identity preferred over text; actions block/review/handling; no fabricated universal toxic-dose threshold</w:t>
            </w:r>
          </w:p>
        </w:tc>
      </w:tr>
      <w:tr>
        <w:tc>
          <w:tcPr>
            <w:tcW w:type="dxa" w:w="1945"/>
          </w:tcPr>
          <w:p>
            <w:pPr>
              <w:spacing w:after="60" w:before="40"/>
            </w:pPr>
            <w:r>
              <w:rPr>
                <w:rFonts w:ascii="Consolas" w:hAnsi="Consolas"/>
                <w:sz w:val="17"/>
              </w:rPr>
              <w:t>food_alerts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food_id uuid FK</w:t>
            </w:r>
            <w:r>
              <w:rPr>
                <w:sz w:val="17"/>
              </w:rPr>
              <w:t xml:space="preserve">, </w:t>
            </w:r>
            <w:r>
              <w:rPr>
                <w:rFonts w:ascii="Consolas" w:hAnsi="Consolas"/>
                <w:sz w:val="17"/>
              </w:rPr>
              <w:t>food_version_id uuid NULL FK</w:t>
            </w:r>
            <w:r>
              <w:rPr>
                <w:sz w:val="17"/>
              </w:rPr>
              <w:t xml:space="preserve">, </w:t>
            </w:r>
            <w:r>
              <w:rPr>
                <w:rFonts w:ascii="Consolas" w:hAnsi="Consolas"/>
                <w:sz w:val="17"/>
              </w:rPr>
              <w:t>lot text NULL</w:t>
            </w:r>
            <w:r>
              <w:rPr>
                <w:sz w:val="17"/>
              </w:rPr>
              <w:t xml:space="preserve">, </w:t>
            </w:r>
            <w:r>
              <w:rPr>
                <w:rFonts w:ascii="Consolas" w:hAnsi="Consolas"/>
                <w:sz w:val="17"/>
              </w:rPr>
              <w:t>alert_type text</w:t>
            </w:r>
            <w:r>
              <w:rPr>
                <w:sz w:val="17"/>
              </w:rPr>
              <w:t xml:space="preserve">, </w:t>
            </w:r>
            <w:r>
              <w:rPr>
                <w:rFonts w:ascii="Consolas" w:hAnsi="Consolas"/>
                <w:sz w:val="17"/>
              </w:rPr>
              <w:t>issued_at timestamptz</w:t>
            </w:r>
            <w:r>
              <w:rPr>
                <w:sz w:val="17"/>
              </w:rPr>
              <w:t xml:space="preserve">, </w:t>
            </w:r>
            <w:r>
              <w:rPr>
                <w:rFonts w:ascii="Consolas" w:hAnsi="Consolas"/>
                <w:sz w:val="17"/>
              </w:rPr>
              <w:t>source_id uuid FK</w:t>
            </w:r>
            <w:r>
              <w:rPr>
                <w:sz w:val="17"/>
              </w:rPr>
              <w:t xml:space="preserve">, </w:t>
            </w:r>
            <w:r>
              <w:rPr>
                <w:rFonts w:ascii="Consolas" w:hAnsi="Consolas"/>
                <w:sz w:val="17"/>
              </w:rPr>
              <w:t>status text</w:t>
            </w:r>
          </w:p>
        </w:tc>
        <w:tc>
          <w:tcPr>
            <w:tcW w:type="dxa" w:w="5087"/>
          </w:tcPr>
          <w:p>
            <w:pPr>
              <w:spacing w:after="60" w:before="40"/>
            </w:pPr>
            <w:r>
              <w:rPr>
                <w:sz w:val="17"/>
              </w:rPr>
              <w:t>Recall/withdrawal applies by version/lot; active critical alert overrides old approval</w:t>
            </w:r>
          </w:p>
        </w:tc>
      </w:tr>
      <w:tr>
        <w:tc>
          <w:tcPr>
            <w:tcW w:type="dxa" w:w="1945"/>
          </w:tcPr>
          <w:p>
            <w:pPr>
              <w:spacing w:after="60" w:before="40"/>
            </w:pPr>
            <w:r>
              <w:rPr>
                <w:rFonts w:ascii="Consolas" w:hAnsi="Consolas"/>
                <w:sz w:val="17"/>
              </w:rPr>
              <w:t>recipes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name text</w:t>
            </w:r>
            <w:r>
              <w:rPr>
                <w:sz w:val="17"/>
              </w:rPr>
              <w:t xml:space="preserve">, </w:t>
            </w:r>
            <w:r>
              <w:rPr>
                <w:rFonts w:ascii="Consolas" w:hAnsi="Consolas"/>
                <w:sz w:val="17"/>
              </w:rPr>
              <w:t>version int</w:t>
            </w:r>
            <w:r>
              <w:rPr>
                <w:sz w:val="17"/>
              </w:rPr>
              <w:t xml:space="preserve">, </w:t>
            </w:r>
            <w:r>
              <w:rPr>
                <w:rFonts w:ascii="Consolas" w:hAnsi="Consolas"/>
                <w:sz w:val="17"/>
              </w:rPr>
              <w:t>population text</w:t>
            </w:r>
            <w:r>
              <w:rPr>
                <w:sz w:val="17"/>
              </w:rPr>
              <w:t xml:space="preserve">, </w:t>
            </w:r>
            <w:r>
              <w:rPr>
                <w:rFonts w:ascii="Consolas" w:hAnsi="Consolas"/>
                <w:sz w:val="17"/>
              </w:rPr>
              <w:t>standard_id uuid FK</w:t>
            </w:r>
            <w:r>
              <w:rPr>
                <w:sz w:val="17"/>
              </w:rPr>
              <w:t xml:space="preserve">, </w:t>
            </w:r>
            <w:r>
              <w:rPr>
                <w:rFonts w:ascii="Consolas" w:hAnsi="Consolas"/>
                <w:sz w:val="17"/>
              </w:rPr>
              <w:t>batch_final_grams numeric</w:t>
            </w:r>
            <w:r>
              <w:rPr>
                <w:sz w:val="17"/>
              </w:rPr>
              <w:t xml:space="preserve">, </w:t>
            </w:r>
            <w:r>
              <w:rPr>
                <w:rFonts w:ascii="Consolas" w:hAnsi="Consolas"/>
                <w:sz w:val="17"/>
              </w:rPr>
              <w:t>instructions jsonb</w:t>
            </w:r>
            <w:r>
              <w:rPr>
                <w:sz w:val="17"/>
              </w:rPr>
              <w:t xml:space="preserve">, </w:t>
            </w:r>
            <w:r>
              <w:rPr>
                <w:rFonts w:ascii="Consolas" w:hAnsi="Consolas"/>
                <w:sz w:val="17"/>
              </w:rPr>
              <w:t>composition_status text</w:t>
            </w:r>
            <w:r>
              <w:rPr>
                <w:sz w:val="17"/>
              </w:rPr>
              <w:t xml:space="preserve">, </w:t>
            </w:r>
            <w:r>
              <w:rPr>
                <w:rFonts w:ascii="Consolas" w:hAnsi="Consolas"/>
                <w:sz w:val="17"/>
              </w:rPr>
              <w:t>review_id uuid NULL</w:t>
            </w:r>
            <w:r>
              <w:rPr>
                <w:sz w:val="17"/>
              </w:rPr>
              <w:t xml:space="preserve">, </w:t>
            </w:r>
            <w:r>
              <w:rPr>
                <w:rFonts w:ascii="Consolas" w:hAnsi="Consolas"/>
                <w:sz w:val="17"/>
              </w:rPr>
              <w:t>status text</w:t>
            </w:r>
            <w:r>
              <w:rPr>
                <w:sz w:val="17"/>
              </w:rPr>
              <w:t xml:space="preserve">, </w:t>
            </w:r>
            <w:r>
              <w:rPr>
                <w:rFonts w:ascii="Consolas" w:hAnsi="Consolas"/>
                <w:sz w:val="17"/>
              </w:rPr>
              <w:t>supersedes_id uuid NULL FK</w:t>
            </w:r>
          </w:p>
        </w:tc>
        <w:tc>
          <w:tcPr>
            <w:tcW w:type="dxa" w:w="5087"/>
          </w:tcPr>
          <w:p>
            <w:pPr>
              <w:spacing w:after="60" w:before="40"/>
            </w:pPr>
            <w:r>
              <w:rPr>
                <w:sz w:val="17"/>
              </w:rPr>
              <w:t>Version immutable after review; batch mass&gt;0; approved status requires review and complete evidence</w:t>
            </w:r>
          </w:p>
        </w:tc>
      </w:tr>
      <w:tr>
        <w:tc>
          <w:tcPr>
            <w:tcW w:type="dxa" w:w="1945"/>
          </w:tcPr>
          <w:p>
            <w:pPr>
              <w:spacing w:after="60" w:before="40"/>
            </w:pPr>
            <w:r>
              <w:rPr>
                <w:rFonts w:ascii="Consolas" w:hAnsi="Consolas"/>
                <w:sz w:val="17"/>
              </w:rPr>
              <w:t>recipe_items</w:t>
            </w:r>
          </w:p>
        </w:tc>
        <w:tc>
          <w:tcPr>
            <w:tcW w:type="dxa" w:w="7930"/>
          </w:tcPr>
          <w:p>
            <w:pPr>
              <w:spacing w:after="60" w:before="40"/>
            </w:pPr>
            <w:r>
              <w:rPr>
                <w:rFonts w:ascii="Consolas" w:hAnsi="Consolas"/>
                <w:sz w:val="17"/>
              </w:rPr>
              <w:t>recipe_id uuid FK</w:t>
            </w:r>
            <w:r>
              <w:rPr>
                <w:sz w:val="17"/>
              </w:rPr>
              <w:t xml:space="preserve">, </w:t>
            </w:r>
            <w:r>
              <w:rPr>
                <w:rFonts w:ascii="Consolas" w:hAnsi="Consolas"/>
                <w:sz w:val="17"/>
              </w:rPr>
              <w:t>item_no int</w:t>
            </w:r>
            <w:r>
              <w:rPr>
                <w:sz w:val="17"/>
              </w:rPr>
              <w:t xml:space="preserve">, </w:t>
            </w:r>
            <w:r>
              <w:rPr>
                <w:rFonts w:ascii="Consolas" w:hAnsi="Consolas"/>
                <w:sz w:val="17"/>
              </w:rPr>
              <w:t>food_version_id uuid FK</w:t>
            </w:r>
            <w:r>
              <w:rPr>
                <w:sz w:val="17"/>
              </w:rPr>
              <w:t xml:space="preserve">, </w:t>
            </w:r>
            <w:r>
              <w:rPr>
                <w:rFonts w:ascii="Consolas" w:hAnsi="Consolas"/>
                <w:sz w:val="17"/>
              </w:rPr>
              <w:t>grams numeric</w:t>
            </w:r>
            <w:r>
              <w:rPr>
                <w:sz w:val="17"/>
              </w:rPr>
              <w:t xml:space="preserve">, </w:t>
            </w:r>
            <w:r>
              <w:rPr>
                <w:rFonts w:ascii="Consolas" w:hAnsi="Consolas"/>
                <w:sz w:val="17"/>
              </w:rPr>
              <w:t>preparation_evidence_id uuid NULL FK</w:t>
            </w:r>
            <w:r>
              <w:rPr>
                <w:sz w:val="17"/>
              </w:rPr>
              <w:t xml:space="preserve">, </w:t>
            </w:r>
            <w:r>
              <w:rPr>
                <w:rFonts w:ascii="Consolas" w:hAnsi="Consolas"/>
                <w:sz w:val="17"/>
              </w:rPr>
              <w:t>role text</w:t>
            </w:r>
            <w:r>
              <w:rPr>
                <w:sz w:val="17"/>
              </w:rPr>
              <w:t>, composite PK(recipe, item_no)</w:t>
            </w:r>
          </w:p>
        </w:tc>
        <w:tc>
          <w:tcPr>
            <w:tcW w:type="dxa" w:w="5087"/>
          </w:tcPr>
          <w:p>
            <w:pPr>
              <w:spacing w:after="60" w:before="40"/>
            </w:pPr>
            <w:r>
              <w:rPr>
                <w:sz w:val="17"/>
              </w:rPr>
              <w:t>grams&gt;0; explicit premix/supplement roles; exact versions; no substitute without new recipe version</w:t>
            </w:r>
          </w:p>
        </w:tc>
      </w:tr>
      <w:tr>
        <w:tc>
          <w:tcPr>
            <w:tcW w:type="dxa" w:w="1945"/>
          </w:tcPr>
          <w:p>
            <w:pPr>
              <w:spacing w:after="60" w:before="40"/>
            </w:pPr>
            <w:r>
              <w:rPr>
                <w:rFonts w:ascii="Consolas" w:hAnsi="Consolas"/>
                <w:sz w:val="17"/>
              </w:rPr>
              <w:t>prescriptions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clinician_reference text</w:t>
            </w:r>
            <w:r>
              <w:rPr>
                <w:sz w:val="17"/>
              </w:rPr>
              <w:t xml:space="preserve">, </w:t>
            </w:r>
            <w:r>
              <w:rPr>
                <w:rFonts w:ascii="Consolas" w:hAnsi="Consolas"/>
                <w:sz w:val="17"/>
              </w:rPr>
              <w:t>issued_at timestamptz</w:t>
            </w:r>
            <w:r>
              <w:rPr>
                <w:sz w:val="17"/>
              </w:rPr>
              <w:t xml:space="preserve">, </w:t>
            </w:r>
            <w:r>
              <w:rPr>
                <w:rFonts w:ascii="Consolas" w:hAnsi="Consolas"/>
                <w:sz w:val="17"/>
              </w:rPr>
              <w:t>expires_at timestamptz NULL</w:t>
            </w:r>
            <w:r>
              <w:rPr>
                <w:sz w:val="17"/>
              </w:rPr>
              <w:t xml:space="preserve">, </w:t>
            </w:r>
            <w:r>
              <w:rPr>
                <w:rFonts w:ascii="Consolas" w:hAnsi="Consolas"/>
                <w:sz w:val="17"/>
              </w:rPr>
              <w:t>instructions jsonb</w:t>
            </w:r>
            <w:r>
              <w:rPr>
                <w:sz w:val="17"/>
              </w:rPr>
              <w:t xml:space="preserve">, </w:t>
            </w:r>
            <w:r>
              <w:rPr>
                <w:rFonts w:ascii="Consolas" w:hAnsi="Consolas"/>
                <w:sz w:val="17"/>
              </w:rPr>
              <w:t>food_version_ids jsonb</w:t>
            </w:r>
            <w:r>
              <w:rPr>
                <w:sz w:val="17"/>
              </w:rPr>
              <w:t xml:space="preserve">, </w:t>
            </w:r>
            <w:r>
              <w:rPr>
                <w:rFonts w:ascii="Consolas" w:hAnsi="Consolas"/>
                <w:sz w:val="17"/>
              </w:rPr>
              <w:t>review_id uuid NULL</w:t>
            </w:r>
          </w:p>
        </w:tc>
        <w:tc>
          <w:tcPr>
            <w:tcW w:type="dxa" w:w="5087"/>
          </w:tcPr>
          <w:p>
            <w:pPr>
              <w:spacing w:after="60" w:before="40"/>
            </w:pPr>
            <w:r>
              <w:rPr>
                <w:sz w:val="17"/>
              </w:rPr>
              <w:t>Authenticated/scoped clinician provenance; owner-uploaded note is marked unverified; recording separate from computed approval</w:t>
            </w:r>
          </w:p>
        </w:tc>
      </w:tr>
      <w:tr>
        <w:tc>
          <w:tcPr>
            <w:tcW w:type="dxa" w:w="1945"/>
          </w:tcPr>
          <w:p>
            <w:pPr>
              <w:spacing w:after="60" w:before="40"/>
            </w:pPr>
            <w:r>
              <w:rPr>
                <w:rFonts w:ascii="Consolas" w:hAnsi="Consolas"/>
                <w:sz w:val="17"/>
              </w:rPr>
              <w:t>reviews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reviewer_principal text</w:t>
            </w:r>
            <w:r>
              <w:rPr>
                <w:sz w:val="17"/>
              </w:rPr>
              <w:t xml:space="preserve">, </w:t>
            </w:r>
            <w:r>
              <w:rPr>
                <w:rFonts w:ascii="Consolas" w:hAnsi="Consolas"/>
                <w:sz w:val="17"/>
              </w:rPr>
              <w:t>qualification_reference text</w:t>
            </w:r>
            <w:r>
              <w:rPr>
                <w:sz w:val="17"/>
              </w:rPr>
              <w:t xml:space="preserve">, </w:t>
            </w:r>
            <w:r>
              <w:rPr>
                <w:rFonts w:ascii="Consolas" w:hAnsi="Consolas"/>
                <w:sz w:val="17"/>
              </w:rPr>
              <w:t>reviewed_object_type text</w:t>
            </w:r>
            <w:r>
              <w:rPr>
                <w:sz w:val="17"/>
              </w:rPr>
              <w:t xml:space="preserve">, </w:t>
            </w:r>
            <w:r>
              <w:rPr>
                <w:rFonts w:ascii="Consolas" w:hAnsi="Consolas"/>
                <w:sz w:val="17"/>
              </w:rPr>
              <w:t>object_id text</w:t>
            </w:r>
            <w:r>
              <w:rPr>
                <w:sz w:val="17"/>
              </w:rPr>
              <w:t xml:space="preserve">, </w:t>
            </w:r>
            <w:r>
              <w:rPr>
                <w:rFonts w:ascii="Consolas" w:hAnsi="Consolas"/>
                <w:sz w:val="17"/>
              </w:rPr>
              <w:t>object_version int</w:t>
            </w:r>
            <w:r>
              <w:rPr>
                <w:sz w:val="17"/>
              </w:rPr>
              <w:t xml:space="preserve">, </w:t>
            </w:r>
            <w:r>
              <w:rPr>
                <w:rFonts w:ascii="Consolas" w:hAnsi="Consolas"/>
                <w:sz w:val="17"/>
              </w:rPr>
              <w:t>scope text</w:t>
            </w:r>
            <w:r>
              <w:rPr>
                <w:sz w:val="17"/>
              </w:rPr>
              <w:t xml:space="preserve">, </w:t>
            </w:r>
            <w:r>
              <w:rPr>
                <w:rFonts w:ascii="Consolas" w:hAnsi="Consolas"/>
                <w:sz w:val="17"/>
              </w:rPr>
              <w:t>decision text</w:t>
            </w:r>
            <w:r>
              <w:rPr>
                <w:sz w:val="17"/>
              </w:rPr>
              <w:t xml:space="preserve">, </w:t>
            </w:r>
            <w:r>
              <w:rPr>
                <w:rFonts w:ascii="Consolas" w:hAnsi="Consolas"/>
                <w:sz w:val="17"/>
              </w:rPr>
              <w:t>reviewed_at timestamptz</w:t>
            </w:r>
            <w:r>
              <w:rPr>
                <w:sz w:val="17"/>
              </w:rPr>
              <w:t xml:space="preserve">, </w:t>
            </w:r>
            <w:r>
              <w:rPr>
                <w:rFonts w:ascii="Consolas" w:hAnsi="Consolas"/>
                <w:sz w:val="17"/>
              </w:rPr>
              <w:t>expires_at timestamptz NULL</w:t>
            </w:r>
            <w:r>
              <w:rPr>
                <w:sz w:val="17"/>
              </w:rPr>
              <w:t xml:space="preserve">, </w:t>
            </w:r>
            <w:r>
              <w:rPr>
                <w:rFonts w:ascii="Consolas" w:hAnsi="Consolas"/>
                <w:sz w:val="17"/>
              </w:rPr>
              <w:t>notes text</w:t>
            </w:r>
            <w:r>
              <w:rPr>
                <w:sz w:val="17"/>
              </w:rPr>
              <w:t xml:space="preserve">, </w:t>
            </w:r>
            <w:r>
              <w:rPr>
                <w:rFonts w:ascii="Consolas" w:hAnsi="Consolas"/>
                <w:sz w:val="17"/>
              </w:rPr>
              <w:t>signature_digest text</w:t>
            </w:r>
          </w:p>
        </w:tc>
        <w:tc>
          <w:tcPr>
            <w:tcW w:type="dxa" w:w="5087"/>
          </w:tcPr>
          <w:p>
            <w:pPr>
              <w:spacing w:after="60" w:before="40"/>
            </w:pPr>
            <w:r>
              <w:rPr>
                <w:sz w:val="17"/>
              </w:rPr>
              <w:t>Server-enforced qualified reviewer role; scoped version/digest; cannot override toxic or unknown evidence; integrity/audit required</w:t>
            </w:r>
          </w:p>
        </w:tc>
      </w:tr>
      <w:tr>
        <w:tc>
          <w:tcPr>
            <w:tcW w:type="dxa" w:w="1945"/>
          </w:tcPr>
          <w:p>
            <w:pPr>
              <w:spacing w:after="60" w:before="40"/>
            </w:pPr>
            <w:r>
              <w:rPr>
                <w:rFonts w:ascii="Consolas" w:hAnsi="Consolas"/>
                <w:sz w:val="17"/>
              </w:rPr>
              <w:t>meal_plans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owner_id varchar(128)</w:t>
            </w:r>
            <w:r>
              <w:rPr>
                <w:sz w:val="17"/>
              </w:rPr>
              <w:t xml:space="preserve">, </w:t>
            </w:r>
            <w:r>
              <w:rPr>
                <w:rFonts w:ascii="Consolas" w:hAnsi="Consolas"/>
                <w:sz w:val="17"/>
              </w:rPr>
              <w:t>version int</w:t>
            </w:r>
            <w:r>
              <w:rPr>
                <w:sz w:val="17"/>
              </w:rPr>
              <w:t xml:space="preserve">, </w:t>
            </w:r>
            <w:r>
              <w:rPr>
                <w:rFonts w:ascii="Consolas" w:hAnsi="Consolas"/>
                <w:sz w:val="17"/>
              </w:rPr>
              <w:t>request_id uuid</w:t>
            </w:r>
            <w:r>
              <w:rPr>
                <w:sz w:val="17"/>
              </w:rPr>
              <w:t xml:space="preserve">, </w:t>
            </w:r>
            <w:r>
              <w:rPr>
                <w:rFonts w:ascii="Consolas" w:hAnsi="Consolas"/>
                <w:sz w:val="17"/>
              </w:rPr>
              <w:t>mode text</w:t>
            </w:r>
            <w:r>
              <w:rPr>
                <w:sz w:val="17"/>
              </w:rPr>
              <w:t xml:space="preserve">, </w:t>
            </w:r>
            <w:r>
              <w:rPr>
                <w:rFonts w:ascii="Consolas" w:hAnsi="Consolas"/>
                <w:sz w:val="17"/>
              </w:rPr>
              <w:t>status text</w:t>
            </w:r>
            <w:r>
              <w:rPr>
                <w:sz w:val="17"/>
              </w:rPr>
              <w:t xml:space="preserve">, </w:t>
            </w:r>
            <w:r>
              <w:rPr>
                <w:rFonts w:ascii="Consolas" w:hAnsi="Consolas"/>
                <w:sz w:val="17"/>
              </w:rPr>
              <w:t>goal text</w:t>
            </w:r>
            <w:r>
              <w:rPr>
                <w:sz w:val="17"/>
              </w:rPr>
              <w:t xml:space="preserve">, </w:t>
            </w:r>
            <w:r>
              <w:rPr>
                <w:rFonts w:ascii="Consolas" w:hAnsi="Consolas"/>
                <w:sz w:val="17"/>
              </w:rPr>
              <w:t>assessment_id uuid FK</w:t>
            </w:r>
            <w:r>
              <w:rPr>
                <w:sz w:val="17"/>
              </w:rPr>
              <w:t xml:space="preserve">, </w:t>
            </w:r>
            <w:r>
              <w:rPr>
                <w:rFonts w:ascii="Consolas" w:hAnsi="Consolas"/>
                <w:sz w:val="17"/>
              </w:rPr>
              <w:t>measurement_id uuid FK</w:t>
            </w:r>
            <w:r>
              <w:rPr>
                <w:sz w:val="17"/>
              </w:rPr>
              <w:t xml:space="preserve">, </w:t>
            </w:r>
            <w:r>
              <w:rPr>
                <w:rFonts w:ascii="Consolas" w:hAnsi="Consolas"/>
                <w:sz w:val="17"/>
              </w:rPr>
              <w:t>method_id uuid NULL FK</w:t>
            </w:r>
            <w:r>
              <w:rPr>
                <w:sz w:val="17"/>
              </w:rPr>
              <w:t xml:space="preserve">, </w:t>
            </w:r>
            <w:r>
              <w:rPr>
                <w:rFonts w:ascii="Consolas" w:hAnsi="Consolas"/>
                <w:sz w:val="17"/>
              </w:rPr>
              <w:t>standard_id uuid NULL FK</w:t>
            </w:r>
            <w:r>
              <w:rPr>
                <w:sz w:val="17"/>
              </w:rPr>
              <w:t xml:space="preserve">, </w:t>
            </w:r>
            <w:r>
              <w:rPr>
                <w:rFonts w:ascii="Consolas" w:hAnsi="Consolas"/>
                <w:sz w:val="17"/>
              </w:rPr>
              <w:t>target_kcal numeric NULL</w:t>
            </w:r>
            <w:r>
              <w:rPr>
                <w:sz w:val="17"/>
              </w:rPr>
              <w:t xml:space="preserve">, </w:t>
            </w:r>
            <w:r>
              <w:rPr>
                <w:rFonts w:ascii="Consolas" w:hAnsi="Consolas"/>
                <w:sz w:val="17"/>
              </w:rPr>
              <w:t>actual_kcal numeric NULL</w:t>
            </w:r>
            <w:r>
              <w:rPr>
                <w:sz w:val="17"/>
              </w:rPr>
              <w:t xml:space="preserve">, </w:t>
            </w:r>
            <w:r>
              <w:rPr>
                <w:rFonts w:ascii="Consolas" w:hAnsi="Consolas"/>
                <w:sz w:val="17"/>
              </w:rPr>
              <w:t>timezone text</w:t>
            </w:r>
            <w:r>
              <w:rPr>
                <w:sz w:val="17"/>
              </w:rPr>
              <w:t xml:space="preserve">, </w:t>
            </w:r>
            <w:r>
              <w:rPr>
                <w:rFonts w:ascii="Consolas" w:hAnsi="Consolas"/>
                <w:sz w:val="17"/>
              </w:rPr>
              <w:t>starts_at timestamptz</w:t>
            </w:r>
            <w:r>
              <w:rPr>
                <w:sz w:val="17"/>
              </w:rPr>
              <w:t xml:space="preserve">, </w:t>
            </w:r>
            <w:r>
              <w:rPr>
                <w:rFonts w:ascii="Consolas" w:hAnsi="Consolas"/>
                <w:sz w:val="17"/>
              </w:rPr>
              <w:t>ends_at timestamptz NULL</w:t>
            </w:r>
            <w:r>
              <w:rPr>
                <w:sz w:val="17"/>
              </w:rPr>
              <w:t xml:space="preserve">, </w:t>
            </w:r>
            <w:r>
              <w:rPr>
                <w:rFonts w:ascii="Consolas" w:hAnsi="Consolas"/>
                <w:sz w:val="17"/>
              </w:rPr>
              <w:t>calculation_id uuid FK NULL</w:t>
            </w:r>
            <w:r>
              <w:rPr>
                <w:sz w:val="17"/>
              </w:rPr>
              <w:t xml:space="preserve">, </w:t>
            </w:r>
            <w:r>
              <w:rPr>
                <w:rFonts w:ascii="Consolas" w:hAnsi="Consolas"/>
                <w:sz w:val="17"/>
              </w:rPr>
              <w:t>review_id uuid NULL FK</w:t>
            </w:r>
            <w:r>
              <w:rPr>
                <w:sz w:val="17"/>
              </w:rPr>
              <w:t xml:space="preserve">, </w:t>
            </w:r>
            <w:r>
              <w:rPr>
                <w:rFonts w:ascii="Consolas" w:hAnsi="Consolas"/>
                <w:sz w:val="17"/>
              </w:rPr>
              <w:t>created_at timestamptz</w:t>
            </w:r>
          </w:p>
        </w:tc>
        <w:tc>
          <w:tcPr>
            <w:tcW w:type="dxa" w:w="5087"/>
          </w:tcPr>
          <w:p>
            <w:pPr>
              <w:spacing w:after="60" w:before="40"/>
            </w:pPr>
            <w:r>
              <w:rPr>
                <w:sz w:val="17"/>
              </w:rPr>
              <w:t>Unique dog/version and owner/request; owner matches dog; kcal&gt;0 if calculated; no approved calculated plan with unresolved blockers; one active plan per dog; timezone validated</w:t>
            </w:r>
          </w:p>
        </w:tc>
      </w:tr>
      <w:tr>
        <w:tc>
          <w:tcPr>
            <w:tcW w:type="dxa" w:w="1945"/>
          </w:tcPr>
          <w:p>
            <w:pPr>
              <w:spacing w:after="60" w:before="40"/>
            </w:pPr>
            <w:r>
              <w:rPr>
                <w:rFonts w:ascii="Consolas" w:hAnsi="Consolas"/>
                <w:sz w:val="17"/>
              </w:rPr>
              <w:t>plan_items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plan_id uuid FK</w:t>
            </w:r>
            <w:r>
              <w:rPr>
                <w:sz w:val="17"/>
              </w:rPr>
              <w:t xml:space="preserve">, </w:t>
            </w:r>
            <w:r>
              <w:rPr>
                <w:rFonts w:ascii="Consolas" w:hAnsi="Consolas"/>
                <w:sz w:val="17"/>
              </w:rPr>
              <w:t>ledger_key uuid</w:t>
            </w:r>
            <w:r>
              <w:rPr>
                <w:sz w:val="17"/>
              </w:rPr>
              <w:t xml:space="preserve">, </w:t>
            </w:r>
            <w:r>
              <w:rPr>
                <w:rFonts w:ascii="Consolas" w:hAnsi="Consolas"/>
                <w:sz w:val="17"/>
              </w:rPr>
              <w:t>food_version_id uuid NULL FK</w:t>
            </w:r>
            <w:r>
              <w:rPr>
                <w:sz w:val="17"/>
              </w:rPr>
              <w:t xml:space="preserve">, </w:t>
            </w:r>
            <w:r>
              <w:rPr>
                <w:rFonts w:ascii="Consolas" w:hAnsi="Consolas"/>
                <w:sz w:val="17"/>
              </w:rPr>
              <w:t>recipe_id uuid NULL FK</w:t>
            </w:r>
            <w:r>
              <w:rPr>
                <w:sz w:val="17"/>
              </w:rPr>
              <w:t xml:space="preserve">, </w:t>
            </w:r>
            <w:r>
              <w:rPr>
                <w:rFonts w:ascii="Consolas" w:hAnsi="Consolas"/>
                <w:sz w:val="17"/>
              </w:rPr>
              <w:t>role text</w:t>
            </w:r>
            <w:r>
              <w:rPr>
                <w:sz w:val="17"/>
              </w:rPr>
              <w:t xml:space="preserve">, </w:t>
            </w:r>
            <w:r>
              <w:rPr>
                <w:rFonts w:ascii="Consolas" w:hAnsi="Consolas"/>
                <w:sz w:val="17"/>
              </w:rPr>
              <w:t>raw_grams numeric NULL</w:t>
            </w:r>
            <w:r>
              <w:rPr>
                <w:sz w:val="17"/>
              </w:rPr>
              <w:t xml:space="preserve">, </w:t>
            </w:r>
            <w:r>
              <w:rPr>
                <w:rFonts w:ascii="Consolas" w:hAnsi="Consolas"/>
                <w:sz w:val="17"/>
              </w:rPr>
              <w:t>daily_grams numeric</w:t>
            </w:r>
            <w:r>
              <w:rPr>
                <w:sz w:val="17"/>
              </w:rPr>
              <w:t xml:space="preserve">, </w:t>
            </w:r>
            <w:r>
              <w:rPr>
                <w:rFonts w:ascii="Consolas" w:hAnsi="Consolas"/>
                <w:sz w:val="17"/>
              </w:rPr>
              <w:t>daily_kcal numeric</w:t>
            </w:r>
            <w:r>
              <w:rPr>
                <w:sz w:val="17"/>
              </w:rPr>
              <w:t xml:space="preserve">, </w:t>
            </w:r>
            <w:r>
              <w:rPr>
                <w:rFonts w:ascii="Consolas" w:hAnsi="Consolas"/>
                <w:sz w:val="17"/>
              </w:rPr>
              <w:t>allocation numeric NULL</w:t>
            </w:r>
          </w:p>
        </w:tc>
        <w:tc>
          <w:tcPr>
            <w:tcW w:type="dxa" w:w="5087"/>
          </w:tcPr>
          <w:p>
            <w:pPr>
              <w:spacing w:after="60" w:before="40"/>
            </w:pPr>
            <w:r>
              <w:rPr>
                <w:sz w:val="17"/>
              </w:rPr>
              <w:t>Unique plan/ledger_key; grams≥0, kcal≥0; exactly one of food-version/recipe references is present; one contribution per item</w:t>
            </w:r>
          </w:p>
        </w:tc>
      </w:tr>
      <w:tr>
        <w:tc>
          <w:tcPr>
            <w:tcW w:type="dxa" w:w="1945"/>
          </w:tcPr>
          <w:p>
            <w:pPr>
              <w:spacing w:after="60" w:before="40"/>
            </w:pPr>
            <w:r>
              <w:rPr>
                <w:rFonts w:ascii="Consolas" w:hAnsi="Consolas"/>
                <w:sz w:val="17"/>
              </w:rPr>
              <w:t>plan_meals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plan_id uuid FK</w:t>
            </w:r>
            <w:r>
              <w:rPr>
                <w:sz w:val="17"/>
              </w:rPr>
              <w:t xml:space="preserve">, </w:t>
            </w:r>
            <w:r>
              <w:rPr>
                <w:rFonts w:ascii="Consolas" w:hAnsi="Consolas"/>
                <w:sz w:val="17"/>
              </w:rPr>
              <w:t>local_time time</w:t>
            </w:r>
            <w:r>
              <w:rPr>
                <w:sz w:val="17"/>
              </w:rPr>
              <w:t xml:space="preserve">, </w:t>
            </w:r>
            <w:r>
              <w:rPr>
                <w:rFonts w:ascii="Consolas" w:hAnsi="Consolas"/>
                <w:sz w:val="17"/>
              </w:rPr>
              <w:t>meal_no int</w:t>
            </w:r>
            <w:r>
              <w:rPr>
                <w:sz w:val="17"/>
              </w:rPr>
              <w:t xml:space="preserve">, </w:t>
            </w:r>
            <w:r>
              <w:rPr>
                <w:rFonts w:ascii="Consolas" w:hAnsi="Consolas"/>
                <w:sz w:val="17"/>
              </w:rPr>
              <w:t>share numeric</w:t>
            </w:r>
          </w:p>
        </w:tc>
        <w:tc>
          <w:tcPr>
            <w:tcW w:type="dxa" w:w="5087"/>
          </w:tcPr>
          <w:p>
            <w:pPr>
              <w:spacing w:after="60" w:before="40"/>
            </w:pPr>
            <w:r>
              <w:rPr>
                <w:sz w:val="17"/>
              </w:rPr>
              <w:t>Unique plan/meal number/time; share≥0 and plan sum 1 enforced transactionally</w:t>
            </w:r>
          </w:p>
        </w:tc>
      </w:tr>
      <w:tr>
        <w:tc>
          <w:tcPr>
            <w:tcW w:type="dxa" w:w="1945"/>
          </w:tcPr>
          <w:p>
            <w:pPr>
              <w:spacing w:after="60" w:before="40"/>
            </w:pPr>
            <w:r>
              <w:rPr>
                <w:rFonts w:ascii="Consolas" w:hAnsi="Consolas"/>
                <w:sz w:val="17"/>
              </w:rPr>
              <w:t>meal_item_allocations</w:t>
            </w:r>
          </w:p>
        </w:tc>
        <w:tc>
          <w:tcPr>
            <w:tcW w:type="dxa" w:w="7930"/>
          </w:tcPr>
          <w:p>
            <w:pPr>
              <w:spacing w:after="60" w:before="40"/>
            </w:pPr>
            <w:r>
              <w:rPr>
                <w:rFonts w:ascii="Consolas" w:hAnsi="Consolas"/>
                <w:sz w:val="17"/>
              </w:rPr>
              <w:t>meal_id uuid FK</w:t>
            </w:r>
            <w:r>
              <w:rPr>
                <w:sz w:val="17"/>
              </w:rPr>
              <w:t xml:space="preserve">, </w:t>
            </w:r>
            <w:r>
              <w:rPr>
                <w:rFonts w:ascii="Consolas" w:hAnsi="Consolas"/>
                <w:sz w:val="17"/>
              </w:rPr>
              <w:t>plan_item_id uuid FK</w:t>
            </w:r>
            <w:r>
              <w:rPr>
                <w:sz w:val="17"/>
              </w:rPr>
              <w:t xml:space="preserve">, </w:t>
            </w:r>
            <w:r>
              <w:rPr>
                <w:rFonts w:ascii="Consolas" w:hAnsi="Consolas"/>
                <w:sz w:val="17"/>
              </w:rPr>
              <w:t>grams numeric</w:t>
            </w:r>
            <w:r>
              <w:rPr>
                <w:sz w:val="17"/>
              </w:rPr>
              <w:t>, composite PK</w:t>
            </w:r>
          </w:p>
        </w:tc>
        <w:tc>
          <w:tcPr>
            <w:tcW w:type="dxa" w:w="5087"/>
          </w:tcPr>
          <w:p>
            <w:pPr>
              <w:spacing w:after="60" w:before="40"/>
            </w:pPr>
            <w:r>
              <w:rPr>
                <w:sz w:val="17"/>
              </w:rPr>
              <w:t>Nonnegative grams; same-plan membership; per-item sum equals displayed daily grams</w:t>
            </w:r>
          </w:p>
        </w:tc>
      </w:tr>
      <w:tr>
        <w:tc>
          <w:tcPr>
            <w:tcW w:type="dxa" w:w="1945"/>
          </w:tcPr>
          <w:p>
            <w:pPr>
              <w:spacing w:after="60" w:before="40"/>
            </w:pPr>
            <w:r>
              <w:rPr>
                <w:rFonts w:ascii="Consolas" w:hAnsi="Consolas"/>
                <w:sz w:val="17"/>
              </w:rPr>
              <w:t>calculation_runs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engine_version text</w:t>
            </w:r>
            <w:r>
              <w:rPr>
                <w:sz w:val="17"/>
              </w:rPr>
              <w:t xml:space="preserve">, </w:t>
            </w:r>
            <w:r>
              <w:rPr>
                <w:rFonts w:ascii="Consolas" w:hAnsi="Consolas"/>
                <w:sz w:val="17"/>
              </w:rPr>
              <w:t>as_of_date date</w:t>
            </w:r>
            <w:r>
              <w:rPr>
                <w:sz w:val="17"/>
              </w:rPr>
              <w:t xml:space="preserve">, </w:t>
            </w:r>
            <w:r>
              <w:rPr>
                <w:rFonts w:ascii="Consolas" w:hAnsi="Consolas"/>
                <w:sz w:val="17"/>
              </w:rPr>
              <w:t>input_snapshot jsonb</w:t>
            </w:r>
            <w:r>
              <w:rPr>
                <w:sz w:val="17"/>
              </w:rPr>
              <w:t xml:space="preserve">, </w:t>
            </w:r>
            <w:r>
              <w:rPr>
                <w:rFonts w:ascii="Consolas" w:hAnsi="Consolas"/>
                <w:sz w:val="17"/>
              </w:rPr>
              <w:t>output_snapshot jsonb</w:t>
            </w:r>
            <w:r>
              <w:rPr>
                <w:sz w:val="17"/>
              </w:rPr>
              <w:t xml:space="preserve">, </w:t>
            </w:r>
            <w:r>
              <w:rPr>
                <w:rFonts w:ascii="Consolas" w:hAnsi="Consolas"/>
                <w:sz w:val="17"/>
              </w:rPr>
              <w:t>source_versions jsonb</w:t>
            </w:r>
            <w:r>
              <w:rPr>
                <w:sz w:val="17"/>
              </w:rPr>
              <w:t xml:space="preserve">, </w:t>
            </w:r>
            <w:r>
              <w:rPr>
                <w:rFonts w:ascii="Consolas" w:hAnsi="Consolas"/>
                <w:sz w:val="17"/>
              </w:rPr>
              <w:t>input_hash text</w:t>
            </w:r>
            <w:r>
              <w:rPr>
                <w:sz w:val="17"/>
              </w:rPr>
              <w:t xml:space="preserve">, </w:t>
            </w:r>
            <w:r>
              <w:rPr>
                <w:rFonts w:ascii="Consolas" w:hAnsi="Consolas"/>
                <w:sz w:val="17"/>
              </w:rPr>
              <w:t>output_hash text</w:t>
            </w:r>
            <w:r>
              <w:rPr>
                <w:sz w:val="17"/>
              </w:rPr>
              <w:t xml:space="preserve">, </w:t>
            </w:r>
            <w:r>
              <w:rPr>
                <w:rFonts w:ascii="Consolas" w:hAnsi="Consolas"/>
                <w:sz w:val="17"/>
              </w:rPr>
              <w:t>result text</w:t>
            </w:r>
            <w:r>
              <w:rPr>
                <w:sz w:val="17"/>
              </w:rPr>
              <w:t xml:space="preserve">, </w:t>
            </w:r>
            <w:r>
              <w:rPr>
                <w:rFonts w:ascii="Consolas" w:hAnsi="Consolas"/>
                <w:sz w:val="17"/>
              </w:rPr>
              <w:t>created_at timestamptz</w:t>
            </w:r>
          </w:p>
        </w:tc>
        <w:tc>
          <w:tcPr>
            <w:tcW w:type="dxa" w:w="5087"/>
          </w:tcPr>
          <w:p>
            <w:pPr>
              <w:spacing w:after="60" w:before="40"/>
            </w:pPr>
            <w:r>
              <w:rPr>
                <w:sz w:val="17"/>
              </w:rPr>
              <w:t>Immutable canonical snapshots; no mutable-food lookup for historical replay</w:t>
            </w:r>
          </w:p>
        </w:tc>
      </w:tr>
      <w:tr>
        <w:tc>
          <w:tcPr>
            <w:tcW w:type="dxa" w:w="1945"/>
          </w:tcPr>
          <w:p>
            <w:pPr>
              <w:spacing w:after="60" w:before="40"/>
            </w:pPr>
            <w:r>
              <w:rPr>
                <w:rFonts w:ascii="Consolas" w:hAnsi="Consolas"/>
                <w:sz w:val="17"/>
              </w:rPr>
              <w:t>nutrient_results</w:t>
            </w:r>
          </w:p>
        </w:tc>
        <w:tc>
          <w:tcPr>
            <w:tcW w:type="dxa" w:w="7930"/>
          </w:tcPr>
          <w:p>
            <w:pPr>
              <w:spacing w:after="60" w:before="40"/>
            </w:pPr>
            <w:r>
              <w:rPr>
                <w:rFonts w:ascii="Consolas" w:hAnsi="Consolas"/>
                <w:sz w:val="17"/>
              </w:rPr>
              <w:t>calculation_id uuid FK</w:t>
            </w:r>
            <w:r>
              <w:rPr>
                <w:sz w:val="17"/>
              </w:rPr>
              <w:t xml:space="preserve">, </w:t>
            </w:r>
            <w:r>
              <w:rPr>
                <w:rFonts w:ascii="Consolas" w:hAnsi="Consolas"/>
                <w:sz w:val="17"/>
              </w:rPr>
              <w:t>rule_id uuid FK</w:t>
            </w:r>
            <w:r>
              <w:rPr>
                <w:sz w:val="17"/>
              </w:rPr>
              <w:t xml:space="preserve">, </w:t>
            </w:r>
            <w:r>
              <w:rPr>
                <w:rFonts w:ascii="Consolas" w:hAnsi="Consolas"/>
                <w:sz w:val="17"/>
              </w:rPr>
              <w:t>lower_intake numeric NULL</w:t>
            </w:r>
            <w:r>
              <w:rPr>
                <w:sz w:val="17"/>
              </w:rPr>
              <w:t xml:space="preserve">, </w:t>
            </w:r>
            <w:r>
              <w:rPr>
                <w:rFonts w:ascii="Consolas" w:hAnsi="Consolas"/>
                <w:sz w:val="17"/>
              </w:rPr>
              <w:t>upper_intake numeric NULL</w:t>
            </w:r>
            <w:r>
              <w:rPr>
                <w:sz w:val="17"/>
              </w:rPr>
              <w:t xml:space="preserve">, </w:t>
            </w:r>
            <w:r>
              <w:rPr>
                <w:rFonts w:ascii="Consolas" w:hAnsi="Consolas"/>
                <w:sz w:val="17"/>
              </w:rPr>
              <w:t>concentration numeric NULL</w:t>
            </w:r>
            <w:r>
              <w:rPr>
                <w:sz w:val="17"/>
              </w:rPr>
              <w:t xml:space="preserve">, </w:t>
            </w:r>
            <w:r>
              <w:rPr>
                <w:rFonts w:ascii="Consolas" w:hAnsi="Consolas"/>
                <w:sz w:val="17"/>
              </w:rPr>
              <w:t>unit text</w:t>
            </w:r>
            <w:r>
              <w:rPr>
                <w:sz w:val="17"/>
              </w:rPr>
              <w:t xml:space="preserve">, </w:t>
            </w:r>
            <w:r>
              <w:rPr>
                <w:rFonts w:ascii="Consolas" w:hAnsi="Consolas"/>
                <w:sz w:val="17"/>
              </w:rPr>
              <w:t>result text</w:t>
            </w:r>
            <w:r>
              <w:rPr>
                <w:sz w:val="17"/>
              </w:rPr>
              <w:t xml:space="preserve">, </w:t>
            </w:r>
            <w:r>
              <w:rPr>
                <w:rFonts w:ascii="Consolas" w:hAnsi="Consolas"/>
                <w:sz w:val="17"/>
              </w:rPr>
              <w:t>missing_food_ids jsonb</w:t>
            </w:r>
            <w:r>
              <w:rPr>
                <w:sz w:val="17"/>
              </w:rPr>
              <w:t xml:space="preserve">, </w:t>
            </w:r>
            <w:r>
              <w:rPr>
                <w:rFonts w:ascii="Consolas" w:hAnsi="Consolas"/>
                <w:sz w:val="17"/>
              </w:rPr>
              <w:t>reason text</w:t>
            </w:r>
            <w:r>
              <w:rPr>
                <w:sz w:val="17"/>
              </w:rPr>
              <w:t>, composite PK</w:t>
            </w:r>
          </w:p>
        </w:tc>
        <w:tc>
          <w:tcPr>
            <w:tcW w:type="dxa" w:w="5087"/>
          </w:tcPr>
          <w:p>
            <w:pPr>
              <w:spacing w:after="60" w:before="40"/>
            </w:pPr>
            <w:r>
              <w:rPr>
                <w:sz w:val="17"/>
              </w:rPr>
              <w:t>PASS/FAIL/UNKNOWN/NOT_APPLICABLE; unknown values stay null; all required rule results represented</w:t>
            </w:r>
          </w:p>
        </w:tc>
      </w:tr>
      <w:tr>
        <w:tc>
          <w:tcPr>
            <w:tcW w:type="dxa" w:w="1945"/>
          </w:tcPr>
          <w:p>
            <w:pPr>
              <w:spacing w:after="60" w:before="40"/>
            </w:pPr>
            <w:r>
              <w:rPr>
                <w:rFonts w:ascii="Consolas" w:hAnsi="Consolas"/>
                <w:sz w:val="17"/>
              </w:rPr>
              <w:t>feeding_logs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plan_id uuid NULL FK</w:t>
            </w:r>
            <w:r>
              <w:rPr>
                <w:sz w:val="17"/>
              </w:rPr>
              <w:t xml:space="preserve">, </w:t>
            </w:r>
            <w:r>
              <w:rPr>
                <w:rFonts w:ascii="Consolas" w:hAnsi="Consolas"/>
                <w:sz w:val="17"/>
              </w:rPr>
              <w:t>plan_item_id uuid NULL FK</w:t>
            </w:r>
            <w:r>
              <w:rPr>
                <w:sz w:val="17"/>
              </w:rPr>
              <w:t xml:space="preserve">, </w:t>
            </w:r>
            <w:r>
              <w:rPr>
                <w:rFonts w:ascii="Consolas" w:hAnsi="Consolas"/>
                <w:sz w:val="17"/>
              </w:rPr>
              <w:t>food_version_id uuid FK</w:t>
            </w:r>
            <w:r>
              <w:rPr>
                <w:sz w:val="17"/>
              </w:rPr>
              <w:t xml:space="preserve">, </w:t>
            </w:r>
            <w:r>
              <w:rPr>
                <w:rFonts w:ascii="Consolas" w:hAnsi="Consolas"/>
                <w:sz w:val="17"/>
              </w:rPr>
              <w:t>offered_grams numeric</w:t>
            </w:r>
            <w:r>
              <w:rPr>
                <w:sz w:val="17"/>
              </w:rPr>
              <w:t xml:space="preserve">, </w:t>
            </w:r>
            <w:r>
              <w:rPr>
                <w:rFonts w:ascii="Consolas" w:hAnsi="Consolas"/>
                <w:sz w:val="17"/>
              </w:rPr>
              <w:t>eaten_grams numeric NULL</w:t>
            </w:r>
            <w:r>
              <w:rPr>
                <w:sz w:val="17"/>
              </w:rPr>
              <w:t xml:space="preserve">, </w:t>
            </w:r>
            <w:r>
              <w:rPr>
                <w:rFonts w:ascii="Consolas" w:hAnsi="Consolas"/>
                <w:sz w:val="17"/>
              </w:rPr>
              <w:t>occurred_at timestamptz</w:t>
            </w:r>
            <w:r>
              <w:rPr>
                <w:sz w:val="17"/>
              </w:rPr>
              <w:t xml:space="preserve">, </w:t>
            </w:r>
            <w:r>
              <w:rPr>
                <w:rFonts w:ascii="Consolas" w:hAnsi="Consolas"/>
                <w:sz w:val="17"/>
              </w:rPr>
              <w:t>timezone text</w:t>
            </w:r>
            <w:r>
              <w:rPr>
                <w:sz w:val="17"/>
              </w:rPr>
              <w:t xml:space="preserve">, </w:t>
            </w:r>
            <w:r>
              <w:rPr>
                <w:rFonts w:ascii="Consolas" w:hAnsi="Consolas"/>
                <w:sz w:val="17"/>
              </w:rPr>
              <w:t>request_id uuid</w:t>
            </w:r>
            <w:r>
              <w:rPr>
                <w:sz w:val="17"/>
              </w:rPr>
              <w:t xml:space="preserve">, </w:t>
            </w:r>
            <w:r>
              <w:rPr>
                <w:rFonts w:ascii="Consolas" w:hAnsi="Consolas"/>
                <w:sz w:val="17"/>
              </w:rPr>
              <w:t>notes text NULL</w:t>
            </w:r>
          </w:p>
        </w:tc>
        <w:tc>
          <w:tcPr>
            <w:tcW w:type="dxa" w:w="5087"/>
          </w:tcPr>
          <w:p>
            <w:pPr>
              <w:spacing w:after="60" w:before="40"/>
            </w:pPr>
            <w:r>
              <w:rPr>
                <w:sz w:val="17"/>
              </w:rPr>
              <w:t>Offered/eaten≥0; eaten≤offered unless explicit additional amount logged; owner-scoped lookup; unique dog/request; no plan-item and standalone item double-count</w:t>
            </w:r>
          </w:p>
        </w:tc>
      </w:tr>
      <w:tr>
        <w:tc>
          <w:tcPr>
            <w:tcW w:type="dxa" w:w="1945"/>
          </w:tcPr>
          <w:p>
            <w:pPr>
              <w:spacing w:after="60" w:before="40"/>
            </w:pPr>
            <w:r>
              <w:rPr>
                <w:rFonts w:ascii="Consolas" w:hAnsi="Consolas"/>
                <w:sz w:val="17"/>
              </w:rPr>
              <w:t>observations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dog_id uuid FK</w:t>
            </w:r>
            <w:r>
              <w:rPr>
                <w:sz w:val="17"/>
              </w:rPr>
              <w:t xml:space="preserve">, </w:t>
            </w:r>
            <w:r>
              <w:rPr>
                <w:rFonts w:ascii="Consolas" w:hAnsi="Consolas"/>
                <w:sz w:val="17"/>
              </w:rPr>
              <w:t>observed_at timestamptz</w:t>
            </w:r>
            <w:r>
              <w:rPr>
                <w:sz w:val="17"/>
              </w:rPr>
              <w:t xml:space="preserve">, </w:t>
            </w:r>
            <w:r>
              <w:rPr>
                <w:rFonts w:ascii="Consolas" w:hAnsi="Consolas"/>
                <w:sz w:val="17"/>
              </w:rPr>
              <w:t>appetite text NULL</w:t>
            </w:r>
            <w:r>
              <w:rPr>
                <w:sz w:val="17"/>
              </w:rPr>
              <w:t xml:space="preserve">, </w:t>
            </w:r>
            <w:r>
              <w:rPr>
                <w:rFonts w:ascii="Consolas" w:hAnsi="Consolas"/>
                <w:sz w:val="17"/>
              </w:rPr>
              <w:t>stool text NULL</w:t>
            </w:r>
            <w:r>
              <w:rPr>
                <w:sz w:val="17"/>
              </w:rPr>
              <w:t xml:space="preserve">, </w:t>
            </w:r>
            <w:r>
              <w:rPr>
                <w:rFonts w:ascii="Consolas" w:hAnsi="Consolas"/>
                <w:sz w:val="17"/>
              </w:rPr>
              <w:t>symptoms jsonb</w:t>
            </w:r>
            <w:r>
              <w:rPr>
                <w:sz w:val="17"/>
              </w:rPr>
              <w:t xml:space="preserve">, </w:t>
            </w:r>
            <w:r>
              <w:rPr>
                <w:rFonts w:ascii="Consolas" w:hAnsi="Consolas"/>
                <w:sz w:val="17"/>
              </w:rPr>
              <w:t>medication_exposure jsonb NULL</w:t>
            </w:r>
            <w:r>
              <w:rPr>
                <w:sz w:val="17"/>
              </w:rPr>
              <w:t xml:space="preserve">, </w:t>
            </w:r>
            <w:r>
              <w:rPr>
                <w:rFonts w:ascii="Consolas" w:hAnsi="Consolas"/>
                <w:sz w:val="17"/>
              </w:rPr>
              <w:t>request_id uuid</w:t>
            </w:r>
            <w:r>
              <w:rPr>
                <w:sz w:val="17"/>
              </w:rPr>
              <w:t xml:space="preserve">, </w:t>
            </w:r>
            <w:r>
              <w:rPr>
                <w:rFonts w:ascii="Consolas" w:hAnsi="Consolas"/>
                <w:sz w:val="17"/>
              </w:rPr>
              <w:t>notes text NULL</w:t>
            </w:r>
          </w:p>
        </w:tc>
        <w:tc>
          <w:tcPr>
            <w:tcW w:type="dxa" w:w="5087"/>
          </w:tcPr>
          <w:p>
            <w:pPr>
              <w:spacing w:after="60" w:before="40"/>
            </w:pPr>
            <w:r>
              <w:rPr>
                <w:sz w:val="17"/>
              </w:rPr>
              <w:t>No diagnosis inferred; explicit observations; unique dog/request</w:t>
            </w:r>
          </w:p>
        </w:tc>
      </w:tr>
      <w:tr>
        <w:tc>
          <w:tcPr>
            <w:tcW w:type="dxa" w:w="1945"/>
          </w:tcPr>
          <w:p>
            <w:pPr>
              <w:spacing w:after="60" w:before="40"/>
            </w:pPr>
            <w:r>
              <w:rPr>
                <w:rFonts w:ascii="Consolas" w:hAnsi="Consolas"/>
                <w:sz w:val="17"/>
              </w:rPr>
              <w:t>audit_events</w:t>
            </w:r>
          </w:p>
        </w:tc>
        <w:tc>
          <w:tcPr>
            <w:tcW w:type="dxa" w:w="7930"/>
          </w:tcPr>
          <w:p>
            <w:pPr>
              <w:spacing w:after="60" w:before="40"/>
            </w:pPr>
            <w:r>
              <w:rPr>
                <w:rFonts w:ascii="Consolas" w:hAnsi="Consolas"/>
                <w:sz w:val="17"/>
              </w:rPr>
              <w:t>id uuid PK</w:t>
            </w:r>
            <w:r>
              <w:rPr>
                <w:sz w:val="17"/>
              </w:rPr>
              <w:t xml:space="preserve">, </w:t>
            </w:r>
            <w:r>
              <w:rPr>
                <w:rFonts w:ascii="Consolas" w:hAnsi="Consolas"/>
                <w:sz w:val="17"/>
              </w:rPr>
              <w:t>actor_principal text</w:t>
            </w:r>
            <w:r>
              <w:rPr>
                <w:sz w:val="17"/>
              </w:rPr>
              <w:t xml:space="preserve">, </w:t>
            </w:r>
            <w:r>
              <w:rPr>
                <w:rFonts w:ascii="Consolas" w:hAnsi="Consolas"/>
                <w:sz w:val="17"/>
              </w:rPr>
              <w:t>action text</w:t>
            </w:r>
            <w:r>
              <w:rPr>
                <w:sz w:val="17"/>
              </w:rPr>
              <w:t xml:space="preserve">, </w:t>
            </w:r>
            <w:r>
              <w:rPr>
                <w:rFonts w:ascii="Consolas" w:hAnsi="Consolas"/>
                <w:sz w:val="17"/>
              </w:rPr>
              <w:t>object_type text</w:t>
            </w:r>
            <w:r>
              <w:rPr>
                <w:sz w:val="17"/>
              </w:rPr>
              <w:t xml:space="preserve">, </w:t>
            </w:r>
            <w:r>
              <w:rPr>
                <w:rFonts w:ascii="Consolas" w:hAnsi="Consolas"/>
                <w:sz w:val="17"/>
              </w:rPr>
              <w:t>object_id text</w:t>
            </w:r>
            <w:r>
              <w:rPr>
                <w:sz w:val="17"/>
              </w:rPr>
              <w:t xml:space="preserve">, </w:t>
            </w:r>
            <w:r>
              <w:rPr>
                <w:rFonts w:ascii="Consolas" w:hAnsi="Consolas"/>
                <w:sz w:val="17"/>
              </w:rPr>
              <w:t>object_version int NULL</w:t>
            </w:r>
            <w:r>
              <w:rPr>
                <w:sz w:val="17"/>
              </w:rPr>
              <w:t xml:space="preserve">, </w:t>
            </w:r>
            <w:r>
              <w:rPr>
                <w:rFonts w:ascii="Consolas" w:hAnsi="Consolas"/>
                <w:sz w:val="17"/>
              </w:rPr>
              <w:t>occurred_at timestamptz</w:t>
            </w:r>
            <w:r>
              <w:rPr>
                <w:sz w:val="17"/>
              </w:rPr>
              <w:t xml:space="preserve">, </w:t>
            </w:r>
            <w:r>
              <w:rPr>
                <w:rFonts w:ascii="Consolas" w:hAnsi="Consolas"/>
                <w:sz w:val="17"/>
              </w:rPr>
              <w:t>correlation_id uuid</w:t>
            </w:r>
            <w:r>
              <w:rPr>
                <w:sz w:val="17"/>
              </w:rPr>
              <w:t xml:space="preserve">, </w:t>
            </w:r>
            <w:r>
              <w:rPr>
                <w:rFonts w:ascii="Consolas" w:hAnsi="Consolas"/>
                <w:sz w:val="17"/>
              </w:rPr>
              <w:t>change_digest text</w:t>
            </w:r>
            <w:r>
              <w:rPr>
                <w:sz w:val="17"/>
              </w:rPr>
              <w:t xml:space="preserve">, </w:t>
            </w:r>
            <w:r>
              <w:rPr>
                <w:rFonts w:ascii="Consolas" w:hAnsi="Consolas"/>
                <w:sz w:val="17"/>
              </w:rPr>
              <w:t>reason text NULL</w:t>
            </w:r>
          </w:p>
        </w:tc>
        <w:tc>
          <w:tcPr>
            <w:tcW w:type="dxa" w:w="5087"/>
          </w:tcPr>
          <w:p>
            <w:pPr>
              <w:spacing w:after="60" w:before="40"/>
            </w:pPr>
            <w:r>
              <w:rPr>
                <w:sz w:val="17"/>
              </w:rPr>
              <w:t>Append-only; access controlled; no passwords/access tokens/private unnecessary health text in logs</w:t>
            </w:r>
          </w:p>
        </w:tc>
      </w:tr>
    </w:tbl>
    <w:p>
      <w:pPr>
        <w:spacing w:after="0"/>
      </w:pPr>
    </w:p>
    <w:p>
      <w:pPr>
        <w:sectPr>
          <w:pgSz w:w="16834" w:h="11909" w:orient="landscape"/>
          <w:pgMar w:top="936" w:right="936" w:bottom="936" w:left="936" w:header="432" w:footer="432" w:gutter="0"/>
          <w:cols w:space="720"/>
          <w:docGrid w:linePitch="360"/>
        </w:sectPr>
      </w:pPr>
    </w:p>
    <w:p>
      <w:r>
        <w:t>Relational links run from dog→measurements/assessments/plans/logs; source→standard/method/food/hazard; food→immutable versions→nutrients/ingredients; recipe→items/review; plan→ledger/meals/calculation/results. Cross-table conditional rules such as same owner, active-plan uniqueness and allocation sums require transaction/server validation in addition to row CHECKs. Review references on typed objects should be true FKs where feasible; the generic review/audit registry needs an allowlisted object resolver and integrity validation.</w:t>
      </w:r>
    </w:p>
    <w:p>
      <w:pPr>
        <w:pStyle w:val="Heading2"/>
      </w:pPr>
      <w:r>
        <w:t>17.3 Illustrative SQL constraints and MongoDB implementation</w:t>
      </w:r>
    </w:p>
    <w:p>
      <w:r>
        <w:t>The SQL is illustrative documentation, not an executed migration. A future SQL version can enforce:</w:t>
      </w:r>
    </w:p>
    <w:p>
      <w:pPr>
        <w:spacing w:after="0" w:line="240" w:lineRule="auto"/>
        <w:shd w:fill="F2F5F5"/>
      </w:pPr>
      <w:r>
        <w:rPr>
          <w:rFonts w:ascii="Consolas" w:hAnsi="Consolas"/>
          <w:sz w:val="17"/>
        </w:rPr>
        <w:t>CHECK (weight_kg IS NULL OR weight_kg &gt; 0)</w:t>
      </w:r>
    </w:p>
    <w:p>
      <w:pPr>
        <w:spacing w:after="0" w:line="240" w:lineRule="auto"/>
        <w:shd w:fill="F2F5F5"/>
      </w:pPr>
      <w:r>
        <w:rPr>
          <w:rFonts w:ascii="Consolas" w:hAnsi="Consolas"/>
          <w:sz w:val="17"/>
        </w:rPr>
        <w:t>CHECK (bcs IS NULL OR bcs BETWEEN 1 AND 9)</w:t>
      </w:r>
    </w:p>
    <w:p>
      <w:pPr>
        <w:spacing w:after="0" w:line="240" w:lineRule="auto"/>
        <w:shd w:fill="F2F5F5"/>
      </w:pPr>
      <w:r>
        <w:rPr>
          <w:rFonts w:ascii="Consolas" w:hAnsi="Consolas"/>
          <w:sz w:val="17"/>
        </w:rPr>
        <w:t>CHECK (lower_value IS NULL OR upper_value IS NULL OR lower_value &lt;= upper_value)</w:t>
      </w:r>
    </w:p>
    <w:p>
      <w:pPr>
        <w:spacing w:after="0" w:line="240" w:lineRule="auto"/>
        <w:shd w:fill="F2F5F5"/>
      </w:pPr>
      <w:r>
        <w:rPr>
          <w:rFonts w:ascii="Consolas" w:hAnsi="Consolas"/>
          <w:sz w:val="17"/>
        </w:rPr>
        <w:t>UNIQUE (dog_id, version)</w:t>
      </w:r>
    </w:p>
    <w:p>
      <w:pPr>
        <w:spacing w:after="0" w:line="240" w:lineRule="auto"/>
        <w:shd w:fill="F2F5F5"/>
      </w:pPr>
      <w:r>
        <w:rPr>
          <w:rFonts w:ascii="Consolas" w:hAnsi="Consolas"/>
          <w:sz w:val="17"/>
        </w:rPr>
        <w:t>UNIQUE (owner_id, request_id)</w:t>
      </w:r>
    </w:p>
    <w:p>
      <w:pPr>
        <w:spacing w:after="0" w:line="240" w:lineRule="auto"/>
        <w:shd w:fill="F2F5F5"/>
      </w:pPr>
      <w:r>
        <w:rPr>
          <w:rFonts w:ascii="Consolas" w:hAnsi="Consolas"/>
          <w:sz w:val="17"/>
        </w:rPr>
        <w:t>-- Use a partial unique index on dog_id for active published plans.</w:t>
      </w:r>
    </w:p>
    <w:p>
      <w:pPr>
        <w:spacing w:after="0" w:line="240" w:lineRule="auto"/>
        <w:shd w:fill="F2F5F5"/>
      </w:pPr>
      <w:r>
        <w:rPr>
          <w:rFonts w:ascii="Consolas" w:hAnsi="Consolas"/>
          <w:sz w:val="17"/>
        </w:rPr>
        <w:t>-- Validate interval overlap, same-owner references and allocation sums in a transaction.</w:t>
      </w:r>
    </w:p>
    <w:p>
      <w:r>
        <w:t xml:space="preserve">For current MongoDB, extend existing </w:t>
      </w:r>
      <w:r>
        <w:rPr>
          <w:rFonts w:ascii="Consolas" w:hAnsi="Consolas"/>
          <w:sz w:val="18"/>
        </w:rPr>
        <w:t>pets</w:t>
      </w:r>
      <w:r>
        <w:t xml:space="preserve"> with the dog profile or use a dog-specific profile collection linked to the existing ID. Keep historical </w:t>
      </w:r>
      <w:r>
        <w:rPr>
          <w:rFonts w:ascii="Consolas" w:hAnsi="Consolas"/>
          <w:sz w:val="18"/>
        </w:rPr>
        <w:t>meal_plans</w:t>
      </w:r>
      <w:r>
        <w:t xml:space="preserve">, </w:t>
      </w:r>
      <w:r>
        <w:rPr>
          <w:rFonts w:ascii="Consolas" w:hAnsi="Consolas"/>
          <w:sz w:val="18"/>
        </w:rPr>
        <w:t>feeding_logs</w:t>
      </w:r>
      <w:r>
        <w:t xml:space="preserve"> and </w:t>
      </w:r>
      <w:r>
        <w:rPr>
          <w:rFonts w:ascii="Consolas" w:hAnsi="Consolas"/>
          <w:sz w:val="18"/>
        </w:rPr>
        <w:t>nutrition_observations</w:t>
      </w:r>
      <w:r>
        <w:t xml:space="preserve">; add standard/food/source/calculation/review collections with explicit validators. Embed small immutable plan snapshots and meal allocations; reference large food catalogs and versions. Map SQL unique constraints to compound/partial indexes and optimistic version checks. </w:t>
      </w:r>
      <w:r>
        <w:rPr>
          <w:rFonts w:ascii="Consolas" w:hAnsi="Consolas"/>
          <w:sz w:val="18"/>
        </w:rPr>
        <w:t>Decimal128</w:t>
      </w:r>
      <w:r>
        <w:t xml:space="preserve"> or a documented precision strategy preserves decimal quantities; JS numeric results need canonical serialization and bounded comparison tolerance.</w:t>
      </w:r>
    </w:p>
    <w:p>
      <w:r>
        <w:t>Publishing a replacement plan must atomically end the old active plan and create the new version, with owner/request idempotency. MongoDB multi-document transactions require a suitable replica-set deployment; the current local standalone memory-server setup does not prove transaction support. Choose a tested replica-set development configuration or a single-document active-pointer/version design with compare-and-swap and recovery, before relying on transactions. Existing non-dog records remain readable only through an explicit compatibility policy, outside the dog calculation feature. Account deletion/retention must follow actual Vetify account events and configured data-retention policy; do not build a second authentication authority as part of nutrition work.</w:t>
      </w:r>
    </w:p>
    <w:p>
      <w:bookmarkStart w:id="18" w:name="section_18"/>
      <w:pPr>
        <w:pStyle w:val="Heading1"/>
      </w:pPr>
      <w:r>
        <w:t>18. API and Module Design</w:t>
      </w:r>
      <w:bookmarkEnd w:id="18"/>
    </w:p>
    <w:p>
      <w:pPr>
        <w:pStyle w:val="Heading2"/>
      </w:pPr>
      <w:r>
        <w:t>18.1 Modules in the existing stack</w:t>
      </w:r>
    </w:p>
    <w:p>
      <w:r>
        <w:t xml:space="preserve">Keep pure calculation/domain modules in </w:t>
      </w:r>
      <w:r>
        <w:rPr>
          <w:rFonts w:ascii="Consolas" w:hAnsi="Consolas"/>
          <w:sz w:val="18"/>
        </w:rPr>
        <w:t>packages/shared</w:t>
      </w:r>
      <w:r>
        <w:t xml:space="preserve">, repository and authorization adapters in </w:t>
      </w:r>
      <w:r>
        <w:rPr>
          <w:rFonts w:ascii="Consolas" w:hAnsi="Consolas"/>
          <w:sz w:val="18"/>
        </w:rPr>
        <w:t>apps/api</w:t>
      </w:r>
      <w:r>
        <w:t xml:space="preserve">, and data collection/display in </w:t>
      </w:r>
      <w:r>
        <w:rPr>
          <w:rFonts w:ascii="Consolas" w:hAnsi="Consolas"/>
          <w:sz w:val="18"/>
        </w:rPr>
        <w:t>apps/mobile</w:t>
      </w:r>
      <w:r>
        <w:t>. Use a dog-specific namespace; no generalized species multiplier. The existing route structure and main-account bearer verification remain the integration boundary.</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Module</w:t>
            </w:r>
          </w:p>
        </w:tc>
        <w:tc>
          <w:tcPr>
            <w:tcW w:type="dxa" w:w="3740"/>
            <w:shd w:fill="154F59"/>
          </w:tcPr>
          <w:p>
            <w:pPr>
              <w:spacing w:after="60" w:before="40"/>
            </w:pPr>
            <w:r>
              <w:rPr>
                <w:b/>
                <w:color w:val="FFFFFF"/>
                <w:sz w:val="17"/>
              </w:rPr>
              <w:t>Responsibility and inputs→outputs</w:t>
            </w:r>
          </w:p>
        </w:tc>
        <w:tc>
          <w:tcPr>
            <w:tcW w:type="dxa" w:w="3740"/>
            <w:shd w:fill="154F59"/>
          </w:tcPr>
          <w:p>
            <w:pPr>
              <w:spacing w:after="60" w:before="40"/>
            </w:pPr>
            <w:r>
              <w:rPr>
                <w:b/>
                <w:color w:val="FFFFFF"/>
                <w:sz w:val="17"/>
              </w:rPr>
              <w:t>Dependencies/rules/errors</w:t>
            </w:r>
          </w:p>
        </w:tc>
        <w:tc>
          <w:tcPr>
            <w:tcW w:type="dxa" w:w="3740"/>
            <w:shd w:fill="154F59"/>
          </w:tcPr>
          <w:p>
            <w:pPr>
              <w:spacing w:after="60" w:before="40"/>
            </w:pPr>
            <w:r>
              <w:rPr>
                <w:b/>
                <w:color w:val="FFFFFF"/>
                <w:sz w:val="17"/>
              </w:rPr>
              <w:t>Required verification</w:t>
            </w:r>
          </w:p>
        </w:tc>
      </w:tr>
      <w:tr>
        <w:tc>
          <w:tcPr>
            <w:tcW w:type="dxa" w:w="3740"/>
          </w:tcPr>
          <w:p>
            <w:pPr>
              <w:spacing w:after="60" w:before="40"/>
            </w:pPr>
            <w:r>
              <w:rPr>
                <w:sz w:val="17"/>
              </w:rPr>
              <w:t>Dog profile</w:t>
            </w:r>
          </w:p>
        </w:tc>
        <w:tc>
          <w:tcPr>
            <w:tcW w:type="dxa" w:w="3740"/>
          </w:tcPr>
          <w:p>
            <w:pPr>
              <w:spacing w:after="60" w:before="40"/>
            </w:pPr>
            <w:r>
              <w:rPr>
                <w:sz w:val="17"/>
              </w:rPr>
              <w:t>Typed request/measurements→validated dog assessment and stage</w:t>
            </w:r>
          </w:p>
        </w:tc>
        <w:tc>
          <w:tcPr>
            <w:tcW w:type="dxa" w:w="3740"/>
          </w:tcPr>
          <w:p>
            <w:pPr>
              <w:spacing w:after="60" w:before="40"/>
            </w:pPr>
            <w:r>
              <w:rPr>
                <w:sz w:val="17"/>
              </w:rPr>
              <w:t>Owner repository; enum/date/growth rules; age conflicts</w:t>
            </w:r>
          </w:p>
        </w:tc>
        <w:tc>
          <w:tcPr>
            <w:tcW w:type="dxa" w:w="3740"/>
          </w:tcPr>
          <w:p>
            <w:pPr>
              <w:spacing w:after="60" w:before="40"/>
            </w:pPr>
            <w:r>
              <w:rPr>
                <w:sz w:val="17"/>
              </w:rPr>
              <w:t>Boundary/date/BCS/ownership tests</w:t>
            </w:r>
          </w:p>
        </w:tc>
      </w:tr>
      <w:tr>
        <w:tc>
          <w:tcPr>
            <w:tcW w:type="dxa" w:w="3740"/>
          </w:tcPr>
          <w:p>
            <w:pPr>
              <w:spacing w:after="60" w:before="40"/>
            </w:pPr>
            <w:r>
              <w:rPr>
                <w:sz w:val="17"/>
              </w:rPr>
              <w:t>Standards registry</w:t>
            </w:r>
          </w:p>
        </w:tc>
        <w:tc>
          <w:tcPr>
            <w:tcW w:type="dxa" w:w="3740"/>
          </w:tcPr>
          <w:p>
            <w:pPr>
              <w:spacing w:after="60" w:before="40"/>
            </w:pPr>
            <w:r>
              <w:rPr>
                <w:sz w:val="17"/>
              </w:rPr>
              <w:t>Population/intake/jurisdiction→immutable rule package</w:t>
            </w:r>
          </w:p>
        </w:tc>
        <w:tc>
          <w:tcPr>
            <w:tcW w:type="dxa" w:w="3740"/>
          </w:tcPr>
          <w:p>
            <w:pPr>
              <w:spacing w:after="60" w:before="40"/>
            </w:pPr>
            <w:r>
              <w:rPr>
                <w:sz w:val="17"/>
              </w:rPr>
              <w:t>Approved source/review; no mixed-edition rows</w:t>
            </w:r>
          </w:p>
        </w:tc>
        <w:tc>
          <w:tcPr>
            <w:tcW w:type="dxa" w:w="3740"/>
          </w:tcPr>
          <w:p>
            <w:pPr>
              <w:spacing w:after="60" w:before="40"/>
            </w:pPr>
            <w:r>
              <w:rPr>
                <w:sz w:val="17"/>
              </w:rPr>
              <w:t>Table import golden fixtures, footnotes, missing bounds</w:t>
            </w:r>
          </w:p>
        </w:tc>
      </w:tr>
      <w:tr>
        <w:tc>
          <w:tcPr>
            <w:tcW w:type="dxa" w:w="3740"/>
          </w:tcPr>
          <w:p>
            <w:pPr>
              <w:spacing w:after="60" w:before="40"/>
            </w:pPr>
            <w:r>
              <w:rPr>
                <w:sz w:val="17"/>
              </w:rPr>
              <w:t>Food catalog</w:t>
            </w:r>
          </w:p>
        </w:tc>
        <w:tc>
          <w:tcPr>
            <w:tcW w:type="dxa" w:w="3740"/>
          </w:tcPr>
          <w:p>
            <w:pPr>
              <w:spacing w:after="60" w:before="40"/>
            </w:pPr>
            <w:r>
              <w:rPr>
                <w:sz w:val="17"/>
              </w:rPr>
              <w:t>Product/preparation/version→typed composition/evidence</w:t>
            </w:r>
          </w:p>
        </w:tc>
        <w:tc>
          <w:tcPr>
            <w:tcW w:type="dxa" w:w="3740"/>
          </w:tcPr>
          <w:p>
            <w:pPr>
              <w:spacing w:after="60" w:before="40"/>
            </w:pPr>
            <w:r>
              <w:rPr>
                <w:sz w:val="17"/>
              </w:rPr>
              <w:t>Sources/manufacturer/recalls; incomplete record explicit</w:t>
            </w:r>
          </w:p>
        </w:tc>
        <w:tc>
          <w:tcPr>
            <w:tcW w:type="dxa" w:w="3740"/>
          </w:tcPr>
          <w:p>
            <w:pPr>
              <w:spacing w:after="60" w:before="40"/>
            </w:pPr>
            <w:r>
              <w:rPr>
                <w:sz w:val="17"/>
              </w:rPr>
              <w:t>AF/DM states, updates and version retention</w:t>
            </w:r>
          </w:p>
        </w:tc>
      </w:tr>
      <w:tr>
        <w:tc>
          <w:tcPr>
            <w:tcW w:type="dxa" w:w="3740"/>
          </w:tcPr>
          <w:p>
            <w:pPr>
              <w:spacing w:after="60" w:before="40"/>
            </w:pPr>
            <w:r>
              <w:rPr>
                <w:sz w:val="17"/>
              </w:rPr>
              <w:t>Energy engine</w:t>
            </w:r>
          </w:p>
        </w:tc>
        <w:tc>
          <w:tcPr>
            <w:tcW w:type="dxa" w:w="3740"/>
          </w:tcPr>
          <w:p>
            <w:pPr>
              <w:spacing w:after="60" w:before="40"/>
            </w:pPr>
            <w:r>
              <w:rPr>
                <w:sz w:val="17"/>
              </w:rPr>
              <w:t>Profile/goal/method→RER, basis, kcal, explanation IDs</w:t>
            </w:r>
          </w:p>
        </w:tc>
        <w:tc>
          <w:tcPr>
            <w:tcW w:type="dxa" w:w="3740"/>
          </w:tcPr>
          <w:p>
            <w:pPr>
              <w:spacing w:after="60" w:before="40"/>
            </w:pPr>
            <w:r>
              <w:rPr>
                <w:sz w:val="17"/>
              </w:rPr>
              <w:t>One approved method/domain; no factor stacking</w:t>
            </w:r>
          </w:p>
        </w:tc>
        <w:tc>
          <w:tcPr>
            <w:tcW w:type="dxa" w:w="3740"/>
          </w:tcPr>
          <w:p>
            <w:pPr>
              <w:spacing w:after="60" w:before="40"/>
            </w:pPr>
            <w:r>
              <w:rPr>
                <w:sz w:val="17"/>
              </w:rPr>
              <w:t>Independent §20 arithmetic/domain cases</w:t>
            </w:r>
          </w:p>
        </w:tc>
      </w:tr>
      <w:tr>
        <w:tc>
          <w:tcPr>
            <w:tcW w:type="dxa" w:w="3740"/>
          </w:tcPr>
          <w:p>
            <w:pPr>
              <w:spacing w:after="60" w:before="40"/>
            </w:pPr>
            <w:r>
              <w:rPr>
                <w:sz w:val="17"/>
              </w:rPr>
              <w:t>Nutrient engine</w:t>
            </w:r>
          </w:p>
        </w:tc>
        <w:tc>
          <w:tcPr>
            <w:tcW w:type="dxa" w:w="3740"/>
          </w:tcPr>
          <w:p>
            <w:pPr>
              <w:spacing w:after="60" w:before="40"/>
            </w:pPr>
            <w:r>
              <w:rPr>
                <w:sz w:val="17"/>
              </w:rPr>
              <w:t>Ledger/food composition→totals/intervals/densities</w:t>
            </w:r>
          </w:p>
        </w:tc>
        <w:tc>
          <w:tcPr>
            <w:tcW w:type="dxa" w:w="3740"/>
          </w:tcPr>
          <w:p>
            <w:pPr>
              <w:spacing w:after="60" w:before="40"/>
            </w:pPr>
            <w:r>
              <w:rPr>
                <w:sz w:val="17"/>
              </w:rPr>
              <w:t>Units/forms/yields; unknown propagation</w:t>
            </w:r>
          </w:p>
        </w:tc>
        <w:tc>
          <w:tcPr>
            <w:tcW w:type="dxa" w:w="3740"/>
          </w:tcPr>
          <w:p>
            <w:pPr>
              <w:spacing w:after="60" w:before="40"/>
            </w:pPr>
            <w:r>
              <w:rPr>
                <w:sz w:val="17"/>
              </w:rPr>
              <w:t>Mass balance, interval and conversion tests</w:t>
            </w:r>
          </w:p>
        </w:tc>
      </w:tr>
      <w:tr>
        <w:tc>
          <w:tcPr>
            <w:tcW w:type="dxa" w:w="3740"/>
          </w:tcPr>
          <w:p>
            <w:pPr>
              <w:spacing w:after="60" w:before="40"/>
            </w:pPr>
            <w:r>
              <w:rPr>
                <w:sz w:val="17"/>
              </w:rPr>
              <w:t>Adequacy validator</w:t>
            </w:r>
          </w:p>
        </w:tc>
        <w:tc>
          <w:tcPr>
            <w:tcW w:type="dxa" w:w="3740"/>
          </w:tcPr>
          <w:p>
            <w:pPr>
              <w:spacing w:after="60" w:before="40"/>
            </w:pPr>
            <w:r>
              <w:rPr>
                <w:sz w:val="17"/>
              </w:rPr>
              <w:t>Nutrient results/rules/evidence→PASS/FAIL/UNKNOWN/status</w:t>
            </w:r>
          </w:p>
        </w:tc>
        <w:tc>
          <w:tcPr>
            <w:tcW w:type="dxa" w:w="3740"/>
          </w:tcPr>
          <w:p>
            <w:pPr>
              <w:spacing w:after="60" w:before="40"/>
            </w:pPr>
            <w:r>
              <w:rPr>
                <w:sz w:val="17"/>
              </w:rPr>
              <w:t>Every required row, Ca:P, min/max, review gate</w:t>
            </w:r>
          </w:p>
        </w:tc>
        <w:tc>
          <w:tcPr>
            <w:tcW w:type="dxa" w:w="3740"/>
          </w:tcPr>
          <w:p>
            <w:pPr>
              <w:spacing w:after="60" w:before="40"/>
            </w:pPr>
            <w:r>
              <w:rPr>
                <w:sz w:val="17"/>
              </w:rPr>
              <w:t>Deficit/excess/unknown and conditional-limit tests</w:t>
            </w:r>
          </w:p>
        </w:tc>
      </w:tr>
      <w:tr>
        <w:tc>
          <w:tcPr>
            <w:tcW w:type="dxa" w:w="3740"/>
          </w:tcPr>
          <w:p>
            <w:pPr>
              <w:spacing w:after="60" w:before="40"/>
            </w:pPr>
            <w:r>
              <w:rPr>
                <w:sz w:val="17"/>
              </w:rPr>
              <w:t>Food safety</w:t>
            </w:r>
          </w:p>
        </w:tc>
        <w:tc>
          <w:tcPr>
            <w:tcW w:type="dxa" w:w="3740"/>
          </w:tcPr>
          <w:p>
            <w:pPr>
              <w:spacing w:after="60" w:before="40"/>
            </w:pPr>
            <w:r>
              <w:rPr>
                <w:sz w:val="17"/>
              </w:rPr>
              <w:t>Ingredients/preparation/alerts/profile→eligibility/reasons</w:t>
            </w:r>
          </w:p>
        </w:tc>
        <w:tc>
          <w:tcPr>
            <w:tcW w:type="dxa" w:w="3740"/>
          </w:tcPr>
          <w:p>
            <w:pPr>
              <w:spacing w:after="60" w:before="40"/>
            </w:pPr>
            <w:r>
              <w:rPr>
                <w:sz w:val="17"/>
              </w:rPr>
              <w:t>Hazard/allergen recursion; current recall override</w:t>
            </w:r>
          </w:p>
        </w:tc>
        <w:tc>
          <w:tcPr>
            <w:tcW w:type="dxa" w:w="3740"/>
          </w:tcPr>
          <w:p>
            <w:pPr>
              <w:spacing w:after="60" w:before="40"/>
            </w:pPr>
            <w:r>
              <w:rPr>
                <w:sz w:val="17"/>
              </w:rPr>
              <w:t>Aliases/subingredients/bones/clinical cases</w:t>
            </w:r>
          </w:p>
        </w:tc>
      </w:tr>
      <w:tr>
        <w:tc>
          <w:tcPr>
            <w:tcW w:type="dxa" w:w="3740"/>
          </w:tcPr>
          <w:p>
            <w:pPr>
              <w:spacing w:after="60" w:before="40"/>
            </w:pPr>
            <w:r>
              <w:rPr>
                <w:sz w:val="17"/>
              </w:rPr>
              <w:t>Meal generator</w:t>
            </w:r>
          </w:p>
        </w:tc>
        <w:tc>
          <w:tcPr>
            <w:tcW w:type="dxa" w:w="3740"/>
          </w:tcPr>
          <w:p>
            <w:pPr>
              <w:spacing w:after="60" w:before="40"/>
            </w:pPr>
            <w:r>
              <w:rPr>
                <w:sz w:val="17"/>
              </w:rPr>
              <w:t>Eligible profile +evidence→candidate/previews</w:t>
            </w:r>
          </w:p>
        </w:tc>
        <w:tc>
          <w:tcPr>
            <w:tcW w:type="dxa" w:w="3740"/>
          </w:tcPr>
          <w:p>
            <w:pPr>
              <w:spacing w:after="60" w:before="40"/>
            </w:pPr>
            <w:r>
              <w:rPr>
                <w:sz w:val="17"/>
              </w:rPr>
              <w:t>MVP commercial allocation; future reviewed solver</w:t>
            </w:r>
          </w:p>
        </w:tc>
        <w:tc>
          <w:tcPr>
            <w:tcW w:type="dxa" w:w="3740"/>
          </w:tcPr>
          <w:p>
            <w:pPr>
              <w:spacing w:after="60" w:before="40"/>
            </w:pPr>
            <w:r>
              <w:rPr>
                <w:sz w:val="17"/>
              </w:rPr>
              <w:t>Reproducibility, infeasible constraints, no invalid approval</w:t>
            </w:r>
          </w:p>
        </w:tc>
      </w:tr>
      <w:tr>
        <w:tc>
          <w:tcPr>
            <w:tcW w:type="dxa" w:w="3740"/>
          </w:tcPr>
          <w:p>
            <w:pPr>
              <w:spacing w:after="60" w:before="40"/>
            </w:pPr>
            <w:r>
              <w:rPr>
                <w:sz w:val="17"/>
              </w:rPr>
              <w:t>Portion calculator</w:t>
            </w:r>
          </w:p>
        </w:tc>
        <w:tc>
          <w:tcPr>
            <w:tcW w:type="dxa" w:w="3740"/>
          </w:tcPr>
          <w:p>
            <w:pPr>
              <w:spacing w:after="60" w:before="40"/>
            </w:pPr>
            <w:r>
              <w:rPr>
                <w:sz w:val="17"/>
              </w:rPr>
              <w:t>Energy ledger +ME +shares→grams/meals</w:t>
            </w:r>
          </w:p>
        </w:tc>
        <w:tc>
          <w:tcPr>
            <w:tcW w:type="dxa" w:w="3740"/>
          </w:tcPr>
          <w:p>
            <w:pPr>
              <w:spacing w:after="60" w:before="40"/>
            </w:pPr>
            <w:r>
              <w:rPr>
                <w:sz w:val="17"/>
              </w:rPr>
              <w:t>Known density/extras, resolution; no duplicates</w:t>
            </w:r>
          </w:p>
        </w:tc>
        <w:tc>
          <w:tcPr>
            <w:tcW w:type="dxa" w:w="3740"/>
          </w:tcPr>
          <w:p>
            <w:pPr>
              <w:spacing w:after="60" w:before="40"/>
            </w:pPr>
            <w:r>
              <w:rPr>
                <w:sz w:val="17"/>
              </w:rPr>
              <w:t>Sum conservation, rounding and mixed-food cases</w:t>
            </w:r>
          </w:p>
        </w:tc>
      </w:tr>
      <w:tr>
        <w:tc>
          <w:tcPr>
            <w:tcW w:type="dxa" w:w="3740"/>
          </w:tcPr>
          <w:p>
            <w:pPr>
              <w:spacing w:after="60" w:before="40"/>
            </w:pPr>
            <w:r>
              <w:rPr>
                <w:sz w:val="17"/>
              </w:rPr>
              <w:t>Substitution service</w:t>
            </w:r>
          </w:p>
        </w:tc>
        <w:tc>
          <w:tcPr>
            <w:tcW w:type="dxa" w:w="3740"/>
          </w:tcPr>
          <w:p>
            <w:pPr>
              <w:spacing w:after="60" w:before="40"/>
            </w:pPr>
            <w:r>
              <w:rPr>
                <w:sz w:val="17"/>
              </w:rPr>
              <w:t>Plan/item/replacement→new preview/version/review need</w:t>
            </w:r>
          </w:p>
        </w:tc>
        <w:tc>
          <w:tcPr>
            <w:tcW w:type="dxa" w:w="3740"/>
          </w:tcPr>
          <w:p>
            <w:pPr>
              <w:spacing w:after="60" w:before="40"/>
            </w:pPr>
            <w:r>
              <w:rPr>
                <w:sz w:val="17"/>
              </w:rPr>
              <w:t>Full pipeline rerun; no equal-gram shortcut</w:t>
            </w:r>
          </w:p>
        </w:tc>
        <w:tc>
          <w:tcPr>
            <w:tcW w:type="dxa" w:w="3740"/>
          </w:tcPr>
          <w:p>
            <w:pPr>
              <w:spacing w:after="60" w:before="40"/>
            </w:pPr>
            <w:r>
              <w:rPr>
                <w:sz w:val="17"/>
              </w:rPr>
              <w:t>Allergy, energy, nutrients, stale evidence</w:t>
            </w:r>
          </w:p>
        </w:tc>
      </w:tr>
      <w:tr>
        <w:tc>
          <w:tcPr>
            <w:tcW w:type="dxa" w:w="3740"/>
          </w:tcPr>
          <w:p>
            <w:pPr>
              <w:spacing w:after="60" w:before="40"/>
            </w:pPr>
            <w:r>
              <w:rPr>
                <w:sz w:val="17"/>
              </w:rPr>
              <w:t>Weight monitoring</w:t>
            </w:r>
          </w:p>
        </w:tc>
        <w:tc>
          <w:tcPr>
            <w:tcW w:type="dxa" w:w="3740"/>
          </w:tcPr>
          <w:p>
            <w:pPr>
              <w:spacing w:after="60" w:before="40"/>
            </w:pPr>
            <w:r>
              <w:rPr>
                <w:sz w:val="17"/>
              </w:rPr>
              <w:t>Dated measurements/intake→trend/reassessment flags</w:t>
            </w:r>
          </w:p>
        </w:tc>
        <w:tc>
          <w:tcPr>
            <w:tcW w:type="dxa" w:w="3740"/>
          </w:tcPr>
          <w:p>
            <w:pPr>
              <w:spacing w:after="60" w:before="40"/>
            </w:pPr>
            <w:r>
              <w:rPr>
                <w:sz w:val="17"/>
              </w:rPr>
              <w:t>Valid elapsed time/source; no diagnosis</w:t>
            </w:r>
          </w:p>
        </w:tc>
        <w:tc>
          <w:tcPr>
            <w:tcW w:type="dxa" w:w="3740"/>
          </w:tcPr>
          <w:p>
            <w:pPr>
              <w:spacing w:after="60" w:before="40"/>
            </w:pPr>
            <w:r>
              <w:rPr>
                <w:sz w:val="17"/>
              </w:rPr>
              <w:t>Duplicate dates, loss-rate calculation, outlier confirmation</w:t>
            </w:r>
          </w:p>
        </w:tc>
      </w:tr>
      <w:tr>
        <w:tc>
          <w:tcPr>
            <w:tcW w:type="dxa" w:w="3740"/>
          </w:tcPr>
          <w:p>
            <w:pPr>
              <w:spacing w:after="60" w:before="40"/>
            </w:pPr>
            <w:r>
              <w:rPr>
                <w:sz w:val="17"/>
              </w:rPr>
              <w:t>Veterinary warnings</w:t>
            </w:r>
          </w:p>
        </w:tc>
        <w:tc>
          <w:tcPr>
            <w:tcW w:type="dxa" w:w="3740"/>
          </w:tcPr>
          <w:p>
            <w:pPr>
              <w:spacing w:after="60" w:before="40"/>
            </w:pPr>
            <w:r>
              <w:rPr>
                <w:sz w:val="17"/>
              </w:rPr>
              <w:t>Reason codes/context→localized actions/referral</w:t>
            </w:r>
          </w:p>
        </w:tc>
        <w:tc>
          <w:tcPr>
            <w:tcW w:type="dxa" w:w="3740"/>
          </w:tcPr>
          <w:p>
            <w:pPr>
              <w:spacing w:after="60" w:before="40"/>
            </w:pPr>
            <w:r>
              <w:rPr>
                <w:sz w:val="17"/>
              </w:rPr>
              <w:t>Approved wording and severity; never override engine</w:t>
            </w:r>
          </w:p>
        </w:tc>
        <w:tc>
          <w:tcPr>
            <w:tcW w:type="dxa" w:w="3740"/>
          </w:tcPr>
          <w:p>
            <w:pPr>
              <w:spacing w:after="60" w:before="40"/>
            </w:pPr>
            <w:r>
              <w:rPr>
                <w:sz w:val="17"/>
              </w:rPr>
              <w:t>Emergency priority, recording access, no hidden blockers</w:t>
            </w:r>
          </w:p>
        </w:tc>
      </w:tr>
      <w:tr>
        <w:tc>
          <w:tcPr>
            <w:tcW w:type="dxa" w:w="3740"/>
          </w:tcPr>
          <w:p>
            <w:pPr>
              <w:spacing w:after="60" w:before="40"/>
            </w:pPr>
            <w:r>
              <w:rPr>
                <w:sz w:val="17"/>
              </w:rPr>
              <w:t>Calculation history</w:t>
            </w:r>
          </w:p>
        </w:tc>
        <w:tc>
          <w:tcPr>
            <w:tcW w:type="dxa" w:w="3740"/>
          </w:tcPr>
          <w:p>
            <w:pPr>
              <w:spacing w:after="60" w:before="40"/>
            </w:pPr>
            <w:r>
              <w:rPr>
                <w:sz w:val="17"/>
              </w:rPr>
              <w:t>Canonical snapshots/version IDs→audit/replay</w:t>
            </w:r>
          </w:p>
        </w:tc>
        <w:tc>
          <w:tcPr>
            <w:tcW w:type="dxa" w:w="3740"/>
          </w:tcPr>
          <w:p>
            <w:pPr>
              <w:spacing w:after="60" w:before="40"/>
            </w:pPr>
            <w:r>
              <w:rPr>
                <w:sz w:val="17"/>
              </w:rPr>
              <w:t>Immutable data, digest and server time</w:t>
            </w:r>
          </w:p>
        </w:tc>
        <w:tc>
          <w:tcPr>
            <w:tcW w:type="dxa" w:w="3740"/>
          </w:tcPr>
          <w:p>
            <w:pPr>
              <w:spacing w:after="60" w:before="40"/>
            </w:pPr>
            <w:r>
              <w:rPr>
                <w:sz w:val="17"/>
              </w:rPr>
              <w:t>Identical replay, update does not rewrite old results</w:t>
            </w:r>
          </w:p>
        </w:tc>
      </w:tr>
      <w:tr>
        <w:tc>
          <w:tcPr>
            <w:tcW w:type="dxa" w:w="3740"/>
          </w:tcPr>
          <w:p>
            <w:pPr>
              <w:spacing w:after="60" w:before="40"/>
            </w:pPr>
            <w:r>
              <w:rPr>
                <w:sz w:val="17"/>
              </w:rPr>
              <w:t>API orchestration</w:t>
            </w:r>
          </w:p>
        </w:tc>
        <w:tc>
          <w:tcPr>
            <w:tcW w:type="dxa" w:w="3740"/>
          </w:tcPr>
          <w:p>
            <w:pPr>
              <w:spacing w:after="60" w:before="40"/>
            </w:pPr>
            <w:r>
              <w:rPr>
                <w:sz w:val="17"/>
              </w:rPr>
              <w:t>Authenticated request→owner-scoped result/publish</w:t>
            </w:r>
          </w:p>
        </w:tc>
        <w:tc>
          <w:tcPr>
            <w:tcW w:type="dxa" w:w="3740"/>
          </w:tcPr>
          <w:p>
            <w:pPr>
              <w:spacing w:after="60" w:before="40"/>
            </w:pPr>
            <w:r>
              <w:rPr>
                <w:sz w:val="17"/>
              </w:rPr>
              <w:t>Main authority, repositories, idempotency/concurrency</w:t>
            </w:r>
          </w:p>
        </w:tc>
        <w:tc>
          <w:tcPr>
            <w:tcW w:type="dxa" w:w="3740"/>
          </w:tcPr>
          <w:p>
            <w:pPr>
              <w:spacing w:after="60" w:before="40"/>
            </w:pPr>
            <w:r>
              <w:rPr>
                <w:sz w:val="17"/>
              </w:rPr>
              <w:t>Authentication, isolation, conflicts and DB outages</w:t>
            </w:r>
          </w:p>
        </w:tc>
      </w:tr>
      <w:tr>
        <w:tc>
          <w:tcPr>
            <w:tcW w:type="dxa" w:w="3740"/>
          </w:tcPr>
          <w:p>
            <w:pPr>
              <w:spacing w:after="60" w:before="40"/>
            </w:pPr>
            <w:r>
              <w:rPr>
                <w:sz w:val="17"/>
              </w:rPr>
              <w:t>Explanation adapter</w:t>
            </w:r>
          </w:p>
        </w:tc>
        <w:tc>
          <w:tcPr>
            <w:tcW w:type="dxa" w:w="3740"/>
          </w:tcPr>
          <w:p>
            <w:pPr>
              <w:spacing w:after="60" w:before="40"/>
            </w:pPr>
            <w:r>
              <w:rPr>
                <w:sz w:val="17"/>
              </w:rPr>
              <w:t>Validated result/references→plain explanation</w:t>
            </w:r>
          </w:p>
        </w:tc>
        <w:tc>
          <w:tcPr>
            <w:tcW w:type="dxa" w:w="3740"/>
          </w:tcPr>
          <w:p>
            <w:pPr>
              <w:spacing w:after="60" w:before="40"/>
            </w:pPr>
            <w:r>
              <w:rPr>
                <w:sz w:val="17"/>
              </w:rPr>
              <w:t>Optional AI; source-grounded, quantities locked</w:t>
            </w:r>
          </w:p>
        </w:tc>
        <w:tc>
          <w:tcPr>
            <w:tcW w:type="dxa" w:w="3740"/>
          </w:tcPr>
          <w:p>
            <w:pPr>
              <w:spacing w:after="60" w:before="40"/>
            </w:pPr>
            <w:r>
              <w:rPr>
                <w:sz w:val="17"/>
              </w:rPr>
              <w:t>Hallucinated nutrient/override rejection, deterministic fallback</w:t>
            </w:r>
          </w:p>
        </w:tc>
      </w:tr>
    </w:tbl>
    <w:p>
      <w:pPr>
        <w:spacing w:after="0"/>
      </w:pPr>
    </w:p>
    <w:p>
      <w:pPr>
        <w:sectPr>
          <w:pgSz w:w="16834" w:h="11909" w:orient="landscape"/>
          <w:pgMar w:top="936" w:right="936" w:bottom="936" w:left="936" w:header="432" w:footer="432" w:gutter="0"/>
          <w:cols w:space="720"/>
          <w:docGrid w:linePitch="360"/>
        </w:sectPr>
      </w:pPr>
    </w:p>
    <w:p>
      <w:r>
        <w:t>Scientific clinical rules are not UI configuration toggles. Food catalogs cannot contain arbitrary formula code. Source selection, review scope and engine version belong to controlled release artifacts. Keep user-facing forms short, showing conditional details only when applicable; detailed calculations can be expanded without burying the result or safety action.</w:t>
      </w:r>
    </w:p>
    <w:p>
      <w:pPr>
        <w:pStyle w:val="Heading2"/>
      </w:pPr>
      <w:r>
        <w:t>18.2 Proposed endpoints</w:t>
      </w:r>
    </w:p>
    <w:p>
      <w:r>
        <w:t xml:space="preserve">Retain existing </w:t>
      </w:r>
      <w:r>
        <w:rPr>
          <w:rFonts w:ascii="Consolas" w:hAnsi="Consolas"/>
          <w:sz w:val="18"/>
        </w:rPr>
        <w:t>/api/v1/pets</w:t>
      </w:r>
      <w:r>
        <w:t xml:space="preserve">, </w:t>
      </w:r>
      <w:r>
        <w:rPr>
          <w:rFonts w:ascii="Consolas" w:hAnsi="Consolas"/>
          <w:sz w:val="18"/>
        </w:rPr>
        <w:t>/meal-plans</w:t>
      </w:r>
      <w:r>
        <w:t xml:space="preserve">, </w:t>
      </w:r>
      <w:r>
        <w:rPr>
          <w:rFonts w:ascii="Consolas" w:hAnsi="Consolas"/>
          <w:sz w:val="18"/>
        </w:rPr>
        <w:t>/nutrition-observations</w:t>
      </w:r>
      <w:r>
        <w:t xml:space="preserve"> compatibility until an intentional migration. The following are </w:t>
      </w:r>
      <w:r>
        <w:rPr>
          <w:b/>
        </w:rPr>
        <w:t>proposed</w:t>
      </w:r>
      <w:r>
        <w:t>, not claims that these routes already exist:</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Endpoint</w:t>
            </w:r>
          </w:p>
        </w:tc>
        <w:tc>
          <w:tcPr>
            <w:tcW w:type="dxa" w:w="7929"/>
            <w:shd w:fill="154F59"/>
          </w:tcPr>
          <w:p>
            <w:pPr>
              <w:spacing w:after="60" w:before="40"/>
            </w:pPr>
            <w:r>
              <w:rPr>
                <w:b/>
                <w:color w:val="FFFFFF"/>
                <w:sz w:val="19"/>
              </w:rPr>
              <w:t>Purpose and controls</w:t>
            </w:r>
          </w:p>
        </w:tc>
      </w:tr>
      <w:tr>
        <w:tc>
          <w:tcPr>
            <w:tcW w:type="dxa" w:w="2108"/>
          </w:tcPr>
          <w:p>
            <w:pPr>
              <w:spacing w:after="60" w:before="40"/>
            </w:pPr>
            <w:r>
              <w:rPr>
                <w:rFonts w:ascii="Consolas" w:hAnsi="Consolas"/>
                <w:sz w:val="19"/>
              </w:rPr>
              <w:t>GET /api/v1/nutrition/dogs/:id/profile</w:t>
            </w:r>
          </w:p>
        </w:tc>
        <w:tc>
          <w:tcPr>
            <w:tcW w:type="dxa" w:w="7929"/>
          </w:tcPr>
          <w:p>
            <w:pPr>
              <w:spacing w:after="60" w:before="40"/>
            </w:pPr>
            <w:r>
              <w:rPr>
                <w:sz w:val="19"/>
              </w:rPr>
              <w:t>Owner-scoped assessment, freshness and missing inputs</w:t>
            </w:r>
          </w:p>
        </w:tc>
      </w:tr>
      <w:tr>
        <w:tc>
          <w:tcPr>
            <w:tcW w:type="dxa" w:w="2108"/>
          </w:tcPr>
          <w:p>
            <w:pPr>
              <w:spacing w:after="60" w:before="40"/>
            </w:pPr>
            <w:r>
              <w:rPr>
                <w:rFonts w:ascii="Consolas" w:hAnsi="Consolas"/>
                <w:sz w:val="19"/>
              </w:rPr>
              <w:t>PATCH /api/v1/nutrition/dogs/:id/profile</w:t>
            </w:r>
          </w:p>
        </w:tc>
        <w:tc>
          <w:tcPr>
            <w:tcW w:type="dxa" w:w="7929"/>
          </w:tcPr>
          <w:p>
            <w:pPr>
              <w:spacing w:after="60" w:before="40"/>
            </w:pPr>
            <w:r>
              <w:rPr>
                <w:sz w:val="19"/>
              </w:rPr>
              <w:t xml:space="preserve">Typed dog fields, </w:t>
            </w:r>
            <w:r>
              <w:rPr>
                <w:rFonts w:ascii="Consolas" w:hAnsi="Consolas"/>
                <w:sz w:val="19"/>
              </w:rPr>
              <w:t>If-Match</w:t>
            </w:r>
            <w:r>
              <w:rPr>
                <w:sz w:val="19"/>
              </w:rPr>
              <w:t xml:space="preserve"> revision; reject incompatible species</w:t>
            </w:r>
          </w:p>
        </w:tc>
      </w:tr>
      <w:tr>
        <w:tc>
          <w:tcPr>
            <w:tcW w:type="dxa" w:w="2108"/>
          </w:tcPr>
          <w:p>
            <w:pPr>
              <w:spacing w:after="60" w:before="40"/>
            </w:pPr>
            <w:r>
              <w:rPr>
                <w:rFonts w:ascii="Consolas" w:hAnsi="Consolas"/>
                <w:sz w:val="19"/>
              </w:rPr>
              <w:t>POST /api/v1/nutrition/dogs/:id/measurements</w:t>
            </w:r>
          </w:p>
        </w:tc>
        <w:tc>
          <w:tcPr>
            <w:tcW w:type="dxa" w:w="7929"/>
          </w:tcPr>
          <w:p>
            <w:pPr>
              <w:spacing w:after="60" w:before="40"/>
            </w:pPr>
            <w:r>
              <w:rPr>
                <w:sz w:val="19"/>
              </w:rPr>
              <w:t>Dated weight/BCS/MCS, idempotency key</w:t>
            </w:r>
          </w:p>
        </w:tc>
      </w:tr>
      <w:tr>
        <w:tc>
          <w:tcPr>
            <w:tcW w:type="dxa" w:w="2108"/>
          </w:tcPr>
          <w:p>
            <w:pPr>
              <w:spacing w:after="60" w:before="40"/>
            </w:pPr>
            <w:r>
              <w:rPr>
                <w:rFonts w:ascii="Consolas" w:hAnsi="Consolas"/>
                <w:sz w:val="19"/>
              </w:rPr>
              <w:t>GET /api/v1/nutrition/foods?category=&amp;query=</w:t>
            </w:r>
          </w:p>
        </w:tc>
        <w:tc>
          <w:tcPr>
            <w:tcW w:type="dxa" w:w="7929"/>
          </w:tcPr>
          <w:p>
            <w:pPr>
              <w:spacing w:after="60" w:before="40"/>
            </w:pPr>
            <w:r>
              <w:rPr>
                <w:sz w:val="19"/>
              </w:rPr>
              <w:t>Published catalog identity/evidence only; paging and version</w:t>
            </w:r>
          </w:p>
        </w:tc>
      </w:tr>
      <w:tr>
        <w:tc>
          <w:tcPr>
            <w:tcW w:type="dxa" w:w="2108"/>
          </w:tcPr>
          <w:p>
            <w:pPr>
              <w:spacing w:after="60" w:before="40"/>
            </w:pPr>
            <w:r>
              <w:rPr>
                <w:rFonts w:ascii="Consolas" w:hAnsi="Consolas"/>
                <w:sz w:val="19"/>
              </w:rPr>
              <w:t>GET /api/v1/nutrition/foods/:id/versions/:version</w:t>
            </w:r>
          </w:p>
        </w:tc>
        <w:tc>
          <w:tcPr>
            <w:tcW w:type="dxa" w:w="7929"/>
          </w:tcPr>
          <w:p>
            <w:pPr>
              <w:spacing w:after="60" w:before="40"/>
            </w:pPr>
            <w:r>
              <w:rPr>
                <w:sz w:val="19"/>
              </w:rPr>
              <w:t>Exact typed composition/source/missing-data status</w:t>
            </w:r>
          </w:p>
        </w:tc>
      </w:tr>
      <w:tr>
        <w:tc>
          <w:tcPr>
            <w:tcW w:type="dxa" w:w="2108"/>
          </w:tcPr>
          <w:p>
            <w:pPr>
              <w:spacing w:after="60" w:before="40"/>
            </w:pPr>
            <w:r>
              <w:rPr>
                <w:rFonts w:ascii="Consolas" w:hAnsi="Consolas"/>
                <w:sz w:val="19"/>
              </w:rPr>
              <w:t>GET /api/v1/nutrition/standards/:version</w:t>
            </w:r>
          </w:p>
        </w:tc>
        <w:tc>
          <w:tcPr>
            <w:tcW w:type="dxa" w:w="7929"/>
          </w:tcPr>
          <w:p>
            <w:pPr>
              <w:spacing w:after="60" w:before="40"/>
            </w:pPr>
            <w:r>
              <w:rPr>
                <w:sz w:val="19"/>
              </w:rPr>
              <w:t>Approved population/basis/edition metadata and permitted rule detail</w:t>
            </w:r>
          </w:p>
        </w:tc>
      </w:tr>
      <w:tr>
        <w:tc>
          <w:tcPr>
            <w:tcW w:type="dxa" w:w="2108"/>
          </w:tcPr>
          <w:p>
            <w:pPr>
              <w:spacing w:after="60" w:before="40"/>
            </w:pPr>
            <w:r>
              <w:rPr>
                <w:rFonts w:ascii="Consolas" w:hAnsi="Consolas"/>
                <w:sz w:val="19"/>
              </w:rPr>
              <w:t>POST /api/v1/nutrition/plans/preview</w:t>
            </w:r>
          </w:p>
        </w:tc>
        <w:tc>
          <w:tcPr>
            <w:tcW w:type="dxa" w:w="7929"/>
          </w:tcPr>
          <w:p>
            <w:pPr>
              <w:spacing w:after="60" w:before="40"/>
            </w:pPr>
            <w:r>
              <w:rPr>
                <w:sz w:val="19"/>
              </w:rPr>
              <w:t>Complete deterministic preview; structured blockers, no mutation</w:t>
            </w:r>
          </w:p>
        </w:tc>
      </w:tr>
      <w:tr>
        <w:tc>
          <w:tcPr>
            <w:tcW w:type="dxa" w:w="2108"/>
          </w:tcPr>
          <w:p>
            <w:pPr>
              <w:spacing w:after="60" w:before="40"/>
            </w:pPr>
            <w:r>
              <w:rPr>
                <w:rFonts w:ascii="Consolas" w:hAnsi="Consolas"/>
                <w:sz w:val="19"/>
              </w:rPr>
              <w:t>POST /api/v1/nutrition/plans</w:t>
            </w:r>
          </w:p>
        </w:tc>
        <w:tc>
          <w:tcPr>
            <w:tcW w:type="dxa" w:w="7929"/>
          </w:tcPr>
          <w:p>
            <w:pPr>
              <w:spacing w:after="60" w:before="40"/>
            </w:pPr>
            <w:r>
              <w:rPr>
                <w:sz w:val="19"/>
              </w:rPr>
              <w:t>Recalculate server-side, digest/revision/idempotency checks, atomic save</w:t>
            </w:r>
          </w:p>
        </w:tc>
      </w:tr>
      <w:tr>
        <w:tc>
          <w:tcPr>
            <w:tcW w:type="dxa" w:w="2108"/>
          </w:tcPr>
          <w:p>
            <w:pPr>
              <w:spacing w:after="60" w:before="40"/>
            </w:pPr>
            <w:r>
              <w:rPr>
                <w:rFonts w:ascii="Consolas" w:hAnsi="Consolas"/>
                <w:sz w:val="19"/>
              </w:rPr>
              <w:t>GET /api/v1/nutrition/dogs/:id/plans</w:t>
            </w:r>
          </w:p>
        </w:tc>
        <w:tc>
          <w:tcPr>
            <w:tcW w:type="dxa" w:w="7929"/>
          </w:tcPr>
          <w:p>
            <w:pPr>
              <w:spacing w:after="60" w:before="40"/>
            </w:pPr>
            <w:r>
              <w:rPr>
                <w:sz w:val="19"/>
              </w:rPr>
              <w:t>Owner history and snapshots, no reinterpreting old foods</w:t>
            </w:r>
          </w:p>
        </w:tc>
      </w:tr>
      <w:tr>
        <w:tc>
          <w:tcPr>
            <w:tcW w:type="dxa" w:w="2108"/>
          </w:tcPr>
          <w:p>
            <w:pPr>
              <w:spacing w:after="60" w:before="40"/>
            </w:pPr>
            <w:r>
              <w:rPr>
                <w:rFonts w:ascii="Consolas" w:hAnsi="Consolas"/>
                <w:sz w:val="19"/>
              </w:rPr>
              <w:t>POST /api/v1/nutrition/plans/:id/substitutions/preview</w:t>
            </w:r>
          </w:p>
        </w:tc>
        <w:tc>
          <w:tcPr>
            <w:tcW w:type="dxa" w:w="7929"/>
          </w:tcPr>
          <w:p>
            <w:pPr>
              <w:spacing w:after="60" w:before="40"/>
            </w:pPr>
            <w:r>
              <w:rPr>
                <w:sz w:val="19"/>
              </w:rPr>
              <w:t>Full recalculation of replacement; review invalidation</w:t>
            </w:r>
          </w:p>
        </w:tc>
      </w:tr>
      <w:tr>
        <w:tc>
          <w:tcPr>
            <w:tcW w:type="dxa" w:w="2108"/>
          </w:tcPr>
          <w:p>
            <w:pPr>
              <w:spacing w:after="60" w:before="40"/>
            </w:pPr>
            <w:r>
              <w:rPr>
                <w:rFonts w:ascii="Consolas" w:hAnsi="Consolas"/>
                <w:sz w:val="19"/>
              </w:rPr>
              <w:t>POST /api/v1/nutrition/feeding-logs</w:t>
            </w:r>
          </w:p>
        </w:tc>
        <w:tc>
          <w:tcPr>
            <w:tcW w:type="dxa" w:w="7929"/>
          </w:tcPr>
          <w:p>
            <w:pPr>
              <w:spacing w:after="60" w:before="40"/>
            </w:pPr>
            <w:r>
              <w:rPr>
                <w:sz w:val="19"/>
              </w:rPr>
              <w:t>Offered/eaten intake and extras without double counting</w:t>
            </w:r>
          </w:p>
        </w:tc>
      </w:tr>
      <w:tr>
        <w:tc>
          <w:tcPr>
            <w:tcW w:type="dxa" w:w="2108"/>
          </w:tcPr>
          <w:p>
            <w:pPr>
              <w:spacing w:after="60" w:before="40"/>
            </w:pPr>
            <w:r>
              <w:rPr>
                <w:rFonts w:ascii="Consolas" w:hAnsi="Consolas"/>
                <w:sz w:val="19"/>
              </w:rPr>
              <w:t>POST /api/v1/nutrition/reviews</w:t>
            </w:r>
          </w:p>
        </w:tc>
        <w:tc>
          <w:tcPr>
            <w:tcW w:type="dxa" w:w="7929"/>
          </w:tcPr>
          <w:p>
            <w:pPr>
              <w:spacing w:after="60" w:before="40"/>
            </w:pPr>
            <w:r>
              <w:rPr>
                <w:sz w:val="19"/>
              </w:rPr>
              <w:t>Restricted authenticated qualified reviewer; no owner self-approval</w:t>
            </w:r>
          </w:p>
        </w:tc>
      </w:tr>
      <w:tr>
        <w:tc>
          <w:tcPr>
            <w:tcW w:type="dxa" w:w="2108"/>
          </w:tcPr>
          <w:p>
            <w:pPr>
              <w:spacing w:after="60" w:before="40"/>
            </w:pPr>
            <w:r>
              <w:rPr>
                <w:rFonts w:ascii="Consolas" w:hAnsi="Consolas"/>
                <w:sz w:val="19"/>
              </w:rPr>
              <w:t>GET /api/v1/nutrition/calculations/:id</w:t>
            </w:r>
          </w:p>
        </w:tc>
        <w:tc>
          <w:tcPr>
            <w:tcW w:type="dxa" w:w="7929"/>
          </w:tcPr>
          <w:p>
            <w:pPr>
              <w:spacing w:after="60" w:before="40"/>
            </w:pPr>
            <w:r>
              <w:rPr>
                <w:sz w:val="19"/>
              </w:rPr>
              <w:t>Owner/reviewer scoped evidence/replay trace</w:t>
            </w:r>
          </w:p>
        </w:tc>
      </w:tr>
    </w:tbl>
    <w:p>
      <w:pPr>
        <w:spacing w:after="0"/>
      </w:pPr>
    </w:p>
    <w:p>
      <w:r>
        <w:t>Access uses existing Vetify main-issued bearer sessions, server verification and current principal. A planner nutrition service does not accept passwords or create alternate accounts. Public catalog read policy can be separate from personal dog data. Admin imports require an allowlisted source and review; users cannot overwrite approved nutrient values.</w:t>
      </w:r>
    </w:p>
    <w:p>
      <w:pPr>
        <w:pStyle w:val="Heading2"/>
      </w:pPr>
      <w:r>
        <w:t>18.3 Example request and response</w:t>
      </w:r>
    </w:p>
    <w:p>
      <w:r>
        <w:t>Request: healthy 10 kg neutered adult, stored assessment confirming growth complete, BCS 5, stable, ordinary activity, no reported concern, fresh measurement; illustrative verified adult dry product 3700 kcal/kg, no extras. IDs below are illustrative MongoDB-compatible strings, not live account data.</w:t>
      </w:r>
    </w:p>
    <w:p>
      <w:pPr>
        <w:spacing w:after="0" w:line="240" w:lineRule="auto"/>
        <w:shd w:fill="F2F5F5"/>
      </w:pPr>
      <w:r>
        <w:rPr>
          <w:rFonts w:ascii="Consolas" w:hAnsi="Consolas"/>
          <w:sz w:val="17"/>
        </w:rPr>
        <w:t>{</w:t>
      </w:r>
    </w:p>
    <w:p>
      <w:pPr>
        <w:spacing w:after="0" w:line="240" w:lineRule="auto"/>
        <w:shd w:fill="F2F5F5"/>
      </w:pPr>
      <w:r>
        <w:rPr>
          <w:rFonts w:ascii="Consolas" w:hAnsi="Consolas"/>
          <w:sz w:val="17"/>
        </w:rPr>
        <w:t xml:space="preserve">  "dogId": "111111111111111111111111",</w:t>
      </w:r>
    </w:p>
    <w:p>
      <w:pPr>
        <w:spacing w:after="0" w:line="240" w:lineRule="auto"/>
        <w:shd w:fill="F2F5F5"/>
      </w:pPr>
      <w:r>
        <w:rPr>
          <w:rFonts w:ascii="Consolas" w:hAnsi="Consolas"/>
          <w:sz w:val="17"/>
        </w:rPr>
        <w:t xml:space="preserve">  "expectedProfileRevision": 7,</w:t>
      </w:r>
    </w:p>
    <w:p>
      <w:pPr>
        <w:spacing w:after="0" w:line="240" w:lineRule="auto"/>
        <w:shd w:fill="F2F5F5"/>
      </w:pPr>
      <w:r>
        <w:rPr>
          <w:rFonts w:ascii="Consolas" w:hAnsi="Consolas"/>
          <w:sz w:val="17"/>
        </w:rPr>
        <w:t xml:space="preserve">  "mode": "commercial_portion",</w:t>
      </w:r>
    </w:p>
    <w:p>
      <w:pPr>
        <w:spacing w:after="0" w:line="240" w:lineRule="auto"/>
        <w:shd w:fill="F2F5F5"/>
      </w:pPr>
      <w:r>
        <w:rPr>
          <w:rFonts w:ascii="Consolas" w:hAnsi="Consolas"/>
          <w:sz w:val="17"/>
        </w:rPr>
        <w:t xml:space="preserve">  "goal": "maintenance",</w:t>
      </w:r>
    </w:p>
    <w:p>
      <w:pPr>
        <w:spacing w:after="0" w:line="240" w:lineRule="auto"/>
        <w:shd w:fill="F2F5F5"/>
      </w:pPr>
      <w:r>
        <w:rPr>
          <w:rFonts w:ascii="Consolas" w:hAnsi="Consolas"/>
          <w:sz w:val="17"/>
        </w:rPr>
        <w:t xml:space="preserve">  "energyMethod": "aaha2021.neutered.ordinary.vetify-default-v1",</w:t>
      </w:r>
    </w:p>
    <w:p>
      <w:pPr>
        <w:spacing w:after="0" w:line="240" w:lineRule="auto"/>
        <w:shd w:fill="F2F5F5"/>
      </w:pPr>
      <w:r>
        <w:rPr>
          <w:rFonts w:ascii="Consolas" w:hAnsi="Consolas"/>
          <w:sz w:val="17"/>
        </w:rPr>
        <w:t xml:space="preserve">  "primaryFoods": [{ "foodVersionId": "222222222222222222222222", "energyShare": 1 }],</w:t>
      </w:r>
    </w:p>
    <w:p>
      <w:pPr>
        <w:spacing w:after="0" w:line="240" w:lineRule="auto"/>
        <w:shd w:fill="F2F5F5"/>
      </w:pPr>
      <w:r>
        <w:rPr>
          <w:rFonts w:ascii="Consolas" w:hAnsi="Consolas"/>
          <w:sz w:val="17"/>
        </w:rPr>
        <w:t xml:space="preserve">  "extras": [],</w:t>
      </w:r>
    </w:p>
    <w:p>
      <w:pPr>
        <w:spacing w:after="0" w:line="240" w:lineRule="auto"/>
        <w:shd w:fill="F2F5F5"/>
      </w:pPr>
      <w:r>
        <w:rPr>
          <w:rFonts w:ascii="Consolas" w:hAnsi="Consolas"/>
          <w:sz w:val="17"/>
        </w:rPr>
        <w:t xml:space="preserve">  "meals": [</w:t>
      </w:r>
    </w:p>
    <w:p>
      <w:pPr>
        <w:spacing w:after="0" w:line="240" w:lineRule="auto"/>
        <w:shd w:fill="F2F5F5"/>
      </w:pPr>
      <w:r>
        <w:rPr>
          <w:rFonts w:ascii="Consolas" w:hAnsi="Consolas"/>
          <w:sz w:val="17"/>
        </w:rPr>
        <w:t xml:space="preserve">    { "localTime": "07:00", "share": 0.5 },</w:t>
      </w:r>
    </w:p>
    <w:p>
      <w:pPr>
        <w:spacing w:after="0" w:line="240" w:lineRule="auto"/>
        <w:shd w:fill="F2F5F5"/>
      </w:pPr>
      <w:r>
        <w:rPr>
          <w:rFonts w:ascii="Consolas" w:hAnsi="Consolas"/>
          <w:sz w:val="17"/>
        </w:rPr>
        <w:t xml:space="preserve">    { "localTime": "18:00", "share": 0.5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"timezone": "Asia/Manila"</w:t>
      </w:r>
    </w:p>
    <w:p>
      <w:pPr>
        <w:spacing w:after="0" w:line="240" w:lineRule="auto"/>
        <w:shd w:fill="F2F5F5"/>
      </w:pPr>
      <w:r>
        <w:rPr>
          <w:rFonts w:ascii="Consolas" w:hAnsi="Consolas"/>
          <w:sz w:val="17"/>
        </w:rPr>
        <w:t>}</w:t>
      </w:r>
    </w:p>
    <w:p>
      <w:pPr>
        <w:spacing w:after="0" w:line="240" w:lineRule="auto"/>
        <w:shd w:fill="F2F5F5"/>
      </w:pPr>
      <w:r>
        <w:rPr>
          <w:rFonts w:ascii="Consolas" w:hAnsi="Consolas"/>
          <w:sz w:val="17"/>
        </w:rPr>
        <w:t>{</w:t>
      </w:r>
    </w:p>
    <w:p>
      <w:pPr>
        <w:spacing w:after="0" w:line="240" w:lineRule="auto"/>
        <w:shd w:fill="F2F5F5"/>
      </w:pPr>
      <w:r>
        <w:rPr>
          <w:rFonts w:ascii="Consolas" w:hAnsi="Consolas"/>
          <w:sz w:val="17"/>
        </w:rPr>
        <w:t xml:space="preserve">  "status": "eligible",</w:t>
      </w:r>
    </w:p>
    <w:p>
      <w:pPr>
        <w:spacing w:after="0" w:line="240" w:lineRule="auto"/>
        <w:shd w:fill="F2F5F5"/>
      </w:pPr>
      <w:r>
        <w:rPr>
          <w:rFonts w:ascii="Consolas" w:hAnsi="Consolas"/>
          <w:sz w:val="17"/>
        </w:rPr>
        <w:t xml:space="preserve">  "evidencePath": "commercial_label_supported",</w:t>
      </w:r>
    </w:p>
    <w:p>
      <w:pPr>
        <w:spacing w:after="0" w:line="240" w:lineRule="auto"/>
        <w:shd w:fill="F2F5F5"/>
      </w:pPr>
      <w:r>
        <w:rPr>
          <w:rFonts w:ascii="Consolas" w:hAnsi="Consolas"/>
          <w:sz w:val="17"/>
        </w:rPr>
        <w:t xml:space="preserve">  "nutrientAssessment": "not_independently_assessed",</w:t>
      </w:r>
    </w:p>
    <w:p>
      <w:pPr>
        <w:spacing w:after="0" w:line="240" w:lineRule="auto"/>
        <w:shd w:fill="F2F5F5"/>
      </w:pPr>
      <w:r>
        <w:rPr>
          <w:rFonts w:ascii="Consolas" w:hAnsi="Consolas"/>
          <w:sz w:val="17"/>
        </w:rPr>
        <w:t xml:space="preserve">  "energy": {</w:t>
      </w:r>
    </w:p>
    <w:p>
      <w:pPr>
        <w:spacing w:after="0" w:line="240" w:lineRule="auto"/>
        <w:shd w:fill="F2F5F5"/>
      </w:pPr>
      <w:r>
        <w:rPr>
          <w:rFonts w:ascii="Consolas" w:hAnsi="Consolas"/>
          <w:sz w:val="17"/>
        </w:rPr>
        <w:t xml:space="preserve">    "weightBasis": "current",</w:t>
      </w:r>
    </w:p>
    <w:p>
      <w:pPr>
        <w:spacing w:after="0" w:line="240" w:lineRule="auto"/>
        <w:shd w:fill="F2F5F5"/>
      </w:pPr>
      <w:r>
        <w:rPr>
          <w:rFonts w:ascii="Consolas" w:hAnsi="Consolas"/>
          <w:sz w:val="17"/>
        </w:rPr>
        <w:t xml:space="preserve">    "weightKg": 10,</w:t>
      </w:r>
    </w:p>
    <w:p>
      <w:pPr>
        <w:spacing w:after="0" w:line="240" w:lineRule="auto"/>
        <w:shd w:fill="F2F5F5"/>
      </w:pPr>
      <w:r>
        <w:rPr>
          <w:rFonts w:ascii="Consolas" w:hAnsi="Consolas"/>
          <w:sz w:val="17"/>
        </w:rPr>
        <w:t xml:space="preserve">    "rerKcal": 393.6389276,</w:t>
      </w:r>
    </w:p>
    <w:p>
      <w:pPr>
        <w:spacing w:after="0" w:line="240" w:lineRule="auto"/>
        <w:shd w:fill="F2F5F5"/>
      </w:pPr>
      <w:r>
        <w:rPr>
          <w:rFonts w:ascii="Consolas" w:hAnsi="Consolas"/>
          <w:sz w:val="17"/>
        </w:rPr>
        <w:t xml:space="preserve">    "factor": 1.4,</w:t>
      </w:r>
    </w:p>
    <w:p>
      <w:pPr>
        <w:spacing w:after="0" w:line="240" w:lineRule="auto"/>
        <w:shd w:fill="F2F5F5"/>
      </w:pPr>
      <w:r>
        <w:rPr>
          <w:rFonts w:ascii="Consolas" w:hAnsi="Consolas"/>
          <w:sz w:val="17"/>
        </w:rPr>
        <w:t xml:space="preserve">    "targetKcal": 551.0944987,</w:t>
      </w:r>
    </w:p>
    <w:p>
      <w:pPr>
        <w:spacing w:after="0" w:line="240" w:lineRule="auto"/>
        <w:shd w:fill="F2F5F5"/>
      </w:pPr>
      <w:r>
        <w:rPr>
          <w:rFonts w:ascii="Consolas" w:hAnsi="Consolas"/>
          <w:sz w:val="17"/>
        </w:rPr>
        <w:t xml:space="preserve">    "displayKcal": 551,</w:t>
      </w:r>
    </w:p>
    <w:p>
      <w:pPr>
        <w:spacing w:after="0" w:line="240" w:lineRule="auto"/>
        <w:shd w:fill="F2F5F5"/>
      </w:pPr>
      <w:r>
        <w:rPr>
          <w:rFonts w:ascii="Consolas" w:hAnsi="Consolas"/>
          <w:sz w:val="17"/>
        </w:rPr>
        <w:t xml:space="preserve">    "actualRoundedRationKcal": 550.93</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"nutrientReference": {</w:t>
      </w:r>
    </w:p>
    <w:p>
      <w:pPr>
        <w:spacing w:after="0" w:line="240" w:lineRule="auto"/>
        <w:shd w:fill="F2F5F5"/>
      </w:pPr>
      <w:r>
        <w:rPr>
          <w:rFonts w:ascii="Consolas" w:hAnsi="Consolas"/>
          <w:sz w:val="17"/>
        </w:rPr>
        <w:t xml:space="preserve">    "standard": "FEDIAF-2025",</w:t>
      </w:r>
    </w:p>
    <w:p>
      <w:pPr>
        <w:spacing w:after="0" w:line="240" w:lineRule="auto"/>
        <w:shd w:fill="F2F5F5"/>
      </w:pPr>
      <w:r>
        <w:rPr>
          <w:rFonts w:ascii="Consolas" w:hAnsi="Consolas"/>
          <w:sz w:val="17"/>
        </w:rPr>
        <w:t xml:space="preserve">    "profile": "adult-95",</w:t>
      </w:r>
    </w:p>
    <w:p>
      <w:pPr>
        <w:spacing w:after="0" w:line="240" w:lineRule="auto"/>
        <w:shd w:fill="F2F5F5"/>
      </w:pPr>
      <w:r>
        <w:rPr>
          <w:rFonts w:ascii="Consolas" w:hAnsi="Consolas"/>
          <w:sz w:val="17"/>
        </w:rPr>
        <w:t xml:space="preserve">    "role": "comparison_reference"</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"items": [{ "foodVersionId": "222222222222222222222222", "dailyGrams": 148.9 }],</w:t>
      </w:r>
    </w:p>
    <w:p>
      <w:pPr>
        <w:spacing w:after="0" w:line="240" w:lineRule="auto"/>
        <w:shd w:fill="F2F5F5"/>
      </w:pPr>
      <w:r>
        <w:rPr>
          <w:rFonts w:ascii="Consolas" w:hAnsi="Consolas"/>
          <w:sz w:val="17"/>
        </w:rPr>
        <w:t xml:space="preserve">  "meals": [</w:t>
      </w:r>
    </w:p>
    <w:p>
      <w:pPr>
        <w:spacing w:after="0" w:line="240" w:lineRule="auto"/>
        <w:shd w:fill="F2F5F5"/>
      </w:pPr>
      <w:r>
        <w:rPr>
          <w:rFonts w:ascii="Consolas" w:hAnsi="Consolas"/>
          <w:sz w:val="17"/>
        </w:rPr>
        <w:t xml:space="preserve">    { "localTime": "07:00", "grams": 74.4 },</w:t>
      </w:r>
    </w:p>
    <w:p>
      <w:pPr>
        <w:spacing w:after="0" w:line="240" w:lineRule="auto"/>
        <w:shd w:fill="F2F5F5"/>
      </w:pPr>
      <w:r>
        <w:rPr>
          <w:rFonts w:ascii="Consolas" w:hAnsi="Consolas"/>
          <w:sz w:val="17"/>
        </w:rPr>
        <w:t xml:space="preserve">    { "localTime": "18:00", "grams": 74.5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"blockers": [],</w:t>
      </w:r>
    </w:p>
    <w:p>
      <w:pPr>
        <w:spacing w:after="0" w:line="240" w:lineRule="auto"/>
        <w:shd w:fill="F2F5F5"/>
      </w:pPr>
      <w:r>
        <w:rPr>
          <w:rFonts w:ascii="Consolas" w:hAnsi="Consolas"/>
          <w:sz w:val="17"/>
        </w:rPr>
        <w:t xml:space="preserve">  "warnings":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"code": "INITIAL_ENERGY_ESTIMATE",</w:t>
      </w:r>
    </w:p>
    <w:p>
      <w:pPr>
        <w:spacing w:after="0" w:line="240" w:lineRule="auto"/>
        <w:shd w:fill="F2F5F5"/>
      </w:pPr>
      <w:r>
        <w:rPr>
          <w:rFonts w:ascii="Consolas" w:hAnsi="Consolas"/>
          <w:sz w:val="17"/>
        </w:rPr>
        <w:t xml:space="preserve">      "message": "Review weight and body condition as you use this amount."</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"engineVersion": "dog-nutrition-proposed-v1",</w:t>
      </w:r>
    </w:p>
    <w:p>
      <w:pPr>
        <w:spacing w:after="0" w:line="240" w:lineRule="auto"/>
        <w:shd w:fill="F2F5F5"/>
      </w:pPr>
      <w:r>
        <w:rPr>
          <w:rFonts w:ascii="Consolas" w:hAnsi="Consolas"/>
          <w:sz w:val="17"/>
        </w:rPr>
        <w:t xml:space="preserve">  "previewDigest": "server-generated-sha256",</w:t>
      </w:r>
    </w:p>
    <w:p>
      <w:pPr>
        <w:spacing w:after="0" w:line="240" w:lineRule="auto"/>
        <w:shd w:fill="F2F5F5"/>
      </w:pPr>
      <w:r>
        <w:rPr>
          <w:rFonts w:ascii="Consolas" w:hAnsi="Consolas"/>
          <w:sz w:val="17"/>
        </w:rPr>
        <w:t xml:space="preserve">  "requiresServerRecalculationOnSave": true</w:t>
      </w:r>
    </w:p>
    <w:p>
      <w:pPr>
        <w:spacing w:after="0" w:line="240" w:lineRule="auto"/>
        <w:shd w:fill="F2F5F5"/>
      </w:pPr>
      <w:r>
        <w:rPr>
          <w:rFonts w:ascii="Consolas" w:hAnsi="Consolas"/>
          <w:sz w:val="17"/>
        </w:rPr>
        <w:t>}</w:t>
      </w:r>
    </w:p>
    <w:p>
      <w:r>
        <w:t xml:space="preserve">This response is a design example assuming release gates are satisfied. </w:t>
      </w:r>
      <w:r>
        <w:rPr>
          <w:rFonts w:ascii="Consolas" w:hAnsi="Consolas"/>
          <w:sz w:val="18"/>
        </w:rPr>
        <w:t>nutrientReference</w:t>
      </w:r>
      <w:r>
        <w:t xml:space="preserve"> is not a statement that missing food nutrients were verified against FEDIAF. A saved plan retains the source/profile snapshot, actual full precision and rounded quantities. A bad homemade ration can instead return:</w:t>
      </w:r>
    </w:p>
    <w:p>
      <w:pPr>
        <w:spacing w:after="0" w:line="240" w:lineRule="auto"/>
        <w:shd w:fill="F2F5F5"/>
      </w:pPr>
      <w:r>
        <w:rPr>
          <w:rFonts w:ascii="Consolas" w:hAnsi="Consolas"/>
          <w:sz w:val="17"/>
        </w:rPr>
        <w:t>{</w:t>
      </w:r>
    </w:p>
    <w:p>
      <w:pPr>
        <w:spacing w:after="0" w:line="240" w:lineRule="auto"/>
        <w:shd w:fill="F2F5F5"/>
      </w:pPr>
      <w:r>
        <w:rPr>
          <w:rFonts w:ascii="Consolas" w:hAnsi="Consolas"/>
          <w:sz w:val="17"/>
        </w:rPr>
        <w:t xml:space="preserve">  "status": "failed",</w:t>
      </w:r>
    </w:p>
    <w:p>
      <w:pPr>
        <w:spacing w:after="0" w:line="240" w:lineRule="auto"/>
        <w:shd w:fill="F2F5F5"/>
      </w:pPr>
      <w:r>
        <w:rPr>
          <w:rFonts w:ascii="Consolas" w:hAnsi="Consolas"/>
          <w:sz w:val="17"/>
        </w:rPr>
        <w:t xml:space="preserve">  "recommendedPortions": null,</w:t>
      </w:r>
    </w:p>
    <w:p>
      <w:pPr>
        <w:spacing w:after="0" w:line="240" w:lineRule="auto"/>
        <w:shd w:fill="F2F5F5"/>
      </w:pPr>
      <w:r>
        <w:rPr>
          <w:rFonts w:ascii="Consolas" w:hAnsi="Consolas"/>
          <w:sz w:val="17"/>
        </w:rPr>
        <w:t xml:space="preserve">  "nutrientAssessment": "fail",</w:t>
      </w:r>
    </w:p>
    <w:p>
      <w:pPr>
        <w:spacing w:after="0" w:line="240" w:lineRule="auto"/>
        <w:shd w:fill="F2F5F5"/>
      </w:pPr>
      <w:r>
        <w:rPr>
          <w:rFonts w:ascii="Consolas" w:hAnsi="Consolas"/>
          <w:sz w:val="17"/>
        </w:rPr>
        <w:t xml:space="preserve">  "blockers":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"code": "NUTRIENT_MIN_FAILED",</w:t>
      </w:r>
    </w:p>
    <w:p>
      <w:pPr>
        <w:spacing w:after="0" w:line="240" w:lineRule="auto"/>
        <w:shd w:fill="F2F5F5"/>
      </w:pPr>
      <w:r>
        <w:rPr>
          <w:rFonts w:ascii="Consolas" w:hAnsi="Consolas"/>
          <w:sz w:val="17"/>
        </w:rPr>
        <w:t xml:space="preserve">      "field": "calcium",</w:t>
      </w:r>
    </w:p>
    <w:p>
      <w:pPr>
        <w:spacing w:after="0" w:line="240" w:lineRule="auto"/>
        <w:shd w:fill="F2F5F5"/>
      </w:pPr>
      <w:r>
        <w:rPr>
          <w:rFonts w:ascii="Consolas" w:hAnsi="Consolas"/>
          <w:sz w:val="17"/>
        </w:rPr>
        <w:t xml:space="preserve">      "message": "This recipe does not meet the selected calcium requirement.",</w:t>
      </w:r>
    </w:p>
    <w:p>
      <w:pPr>
        <w:spacing w:after="0" w:line="240" w:lineRule="auto"/>
        <w:shd w:fill="F2F5F5"/>
      </w:pPr>
      <w:r>
        <w:rPr>
          <w:rFonts w:ascii="Consolas" w:hAnsi="Consolas"/>
          <w:sz w:val="17"/>
        </w:rPr>
        <w:t xml:space="preserve">      "sourceRuleId": "FEDIAF2025-adult95-calcium-min",</w:t>
      </w:r>
    </w:p>
    <w:p>
      <w:pPr>
        <w:spacing w:after="0" w:line="240" w:lineRule="auto"/>
        <w:shd w:fill="F2F5F5"/>
      </w:pPr>
      <w:r>
        <w:rPr>
          <w:rFonts w:ascii="Consolas" w:hAnsi="Consolas"/>
          <w:sz w:val="17"/>
        </w:rPr>
        <w:t xml:space="preserve">      "observed": { "value": 0.2, "unit": "g/1000kcal" },</w:t>
      </w:r>
    </w:p>
    <w:p>
      <w:pPr>
        <w:spacing w:after="0" w:line="240" w:lineRule="auto"/>
        <w:shd w:fill="F2F5F5"/>
      </w:pPr>
      <w:r>
        <w:rPr>
          <w:rFonts w:ascii="Consolas" w:hAnsi="Consolas"/>
          <w:sz w:val="17"/>
        </w:rPr>
        <w:t xml:space="preserve">      "required": { "value": 1.45, "unit": "g/1000kcal"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w:t>
      </w:r>
    </w:p>
    <w:p>
      <w:pPr>
        <w:spacing w:after="0" w:line="240" w:lineRule="auto"/>
        <w:shd w:fill="F2F5F5"/>
      </w:pPr>
      <w:r>
        <w:rPr>
          <w:rFonts w:ascii="Consolas" w:hAnsi="Consolas"/>
          <w:sz w:val="17"/>
        </w:rPr>
        <w:t xml:space="preserve">  "nextActions": ["record_existing_intake", "request_veterinary_formulation_review"]</w:t>
      </w:r>
    </w:p>
    <w:p>
      <w:pPr>
        <w:spacing w:after="0" w:line="240" w:lineRule="auto"/>
        <w:shd w:fill="F2F5F5"/>
      </w:pPr>
      <w:r>
        <w:rPr>
          <w:rFonts w:ascii="Consolas" w:hAnsi="Consolas"/>
          <w:sz w:val="17"/>
        </w:rPr>
        <w:t>}</w:t>
      </w:r>
    </w:p>
    <w:p>
      <w:r>
        <w:t xml:space="preserve">Preview can return HTTP 200 with domain status </w:t>
      </w:r>
      <w:r>
        <w:rPr>
          <w:rFonts w:ascii="Consolas" w:hAnsi="Consolas"/>
          <w:sz w:val="18"/>
        </w:rPr>
        <w:t>blocked</w:t>
      </w:r>
      <w:r>
        <w:t xml:space="preserve">, </w:t>
      </w:r>
      <w:r>
        <w:rPr>
          <w:rFonts w:ascii="Consolas" w:hAnsi="Consolas"/>
          <w:sz w:val="18"/>
        </w:rPr>
        <w:t>failed</w:t>
      </w:r>
      <w:r>
        <w:t xml:space="preserve"> or </w:t>
      </w:r>
      <w:r>
        <w:rPr>
          <w:rFonts w:ascii="Consolas" w:hAnsi="Consolas"/>
          <w:sz w:val="18"/>
        </w:rPr>
        <w:t>indeterminate</w:t>
      </w:r>
      <w:r>
        <w:t>, because the evaluation itself succeeded. Publishing a noneligible calculated plan returns 422 with the same codes. Use 400 for malformed fields/units,401 for no valid session,403 for a disallowed reviewer action,404 for a dog outside the caller's visible ownership,409 for stale revision/digest or conflicting idempotency body, and 503 for dependency/data service outage. Never return zeros or false “healthy” results when MongoDB/auth verification fails. Cache only versioned catalog data and previously saved read-only plans offline; no new server-verified approval while dependencies are unavailable.</w:t>
      </w:r>
    </w:p>
    <w:p>
      <w:bookmarkStart w:id="19" w:name="section_19"/>
      <w:pPr>
        <w:pStyle w:val="Heading1"/>
      </w:pPr>
      <w:r>
        <w:t>19. Implementation Roadmap</w:t>
      </w:r>
      <w:bookmarkEnd w:id="19"/>
    </w:p>
    <w:p>
      <w:r>
        <w:t>These phases are dependencies and release gates, not a promise that all clinical features should be enabled. Each phase must produce reviewable artifacts before implementation proceeds to dependent work.</w:t>
      </w:r>
    </w:p>
    <w:p>
      <w:pPr>
        <w:pStyle w:val="Heading2"/>
      </w:pPr>
      <w:r>
        <w:t>Phase 1: Research validation and source selection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Veterinary reviewer checks correction table, supported population, energy/profile selection and all imported numeric rows/footnotes; confirm current editions and licensing</w:t>
            </w:r>
          </w:p>
        </w:tc>
      </w:tr>
      <w:tr>
        <w:tc>
          <w:tcPr>
            <w:tcW w:type="dxa" w:w="2108"/>
          </w:tcPr>
          <w:p>
            <w:pPr>
              <w:spacing w:after="60" w:before="40"/>
            </w:pPr>
            <w:r>
              <w:rPr>
                <w:sz w:val="19"/>
              </w:rPr>
              <w:t>Dependencies/data</w:t>
            </w:r>
          </w:p>
        </w:tc>
        <w:tc>
          <w:tcPr>
            <w:tcW w:type="dxa" w:w="7929"/>
          </w:tcPr>
          <w:p>
            <w:pPr>
              <w:spacing w:after="60" w:before="40"/>
            </w:pPr>
            <w:r>
              <w:rPr>
                <w:sz w:val="19"/>
              </w:rPr>
              <w:t>This blueprint, original guide, official FEDIAF/AAHA/WSAVA sources, current licensed AAFCO if required; qualified reviewer</w:t>
            </w:r>
          </w:p>
        </w:tc>
      </w:tr>
      <w:tr>
        <w:tc>
          <w:tcPr>
            <w:tcW w:type="dxa" w:w="2108"/>
          </w:tcPr>
          <w:p>
            <w:pPr>
              <w:spacing w:after="60" w:before="40"/>
            </w:pPr>
            <w:r>
              <w:rPr>
                <w:sz w:val="19"/>
              </w:rPr>
              <w:t>Outputs</w:t>
            </w:r>
          </w:p>
        </w:tc>
        <w:tc>
          <w:tcPr>
            <w:tcW w:type="dxa" w:w="7929"/>
          </w:tcPr>
          <w:p>
            <w:pPr>
              <w:spacing w:after="60" w:before="40"/>
            </w:pPr>
            <w:r>
              <w:rPr>
                <w:sz w:val="19"/>
              </w:rPr>
              <w:t>Signed decision register; approved rule-package specification; rights/access record; unsupported-feature list</w:t>
            </w:r>
          </w:p>
        </w:tc>
      </w:tr>
      <w:tr>
        <w:tc>
          <w:tcPr>
            <w:tcW w:type="dxa" w:w="2108"/>
          </w:tcPr>
          <w:p>
            <w:pPr>
              <w:spacing w:after="60" w:before="40"/>
            </w:pPr>
            <w:r>
              <w:rPr>
                <w:sz w:val="19"/>
              </w:rPr>
              <w:t>Risks</w:t>
            </w:r>
          </w:p>
        </w:tc>
        <w:tc>
          <w:tcPr>
            <w:tcW w:type="dxa" w:w="7929"/>
          </w:tcPr>
          <w:p>
            <w:pPr>
              <w:spacing w:after="60" w:before="40"/>
            </w:pPr>
            <w:r>
              <w:rPr>
                <w:sz w:val="19"/>
              </w:rPr>
              <w:t>Edition mismatch, copied rounded tables, unlicensed dataset, clinical assumptions treated as facts</w:t>
            </w:r>
          </w:p>
        </w:tc>
      </w:tr>
      <w:tr>
        <w:tc>
          <w:tcPr>
            <w:tcW w:type="dxa" w:w="2108"/>
          </w:tcPr>
          <w:p>
            <w:pPr>
              <w:spacing w:after="60" w:before="40"/>
            </w:pPr>
            <w:r>
              <w:rPr>
                <w:sz w:val="19"/>
              </w:rPr>
              <w:t>Tests</w:t>
            </w:r>
          </w:p>
        </w:tc>
        <w:tc>
          <w:tcPr>
            <w:tcW w:type="dxa" w:w="7929"/>
          </w:tcPr>
          <w:p>
            <w:pPr>
              <w:spacing w:after="60" w:before="40"/>
            </w:pPr>
            <w:r>
              <w:rPr>
                <w:sz w:val="19"/>
              </w:rPr>
              <w:t>Independent double-entry nutrient table comparison; unit/basis audit; verify source/footnote locators and conflicting guidance</w:t>
            </w:r>
          </w:p>
        </w:tc>
      </w:tr>
      <w:tr>
        <w:tc>
          <w:tcPr>
            <w:tcW w:type="dxa" w:w="2108"/>
          </w:tcPr>
          <w:p>
            <w:pPr>
              <w:spacing w:after="60" w:before="40"/>
            </w:pPr>
            <w:r>
              <w:rPr>
                <w:sz w:val="19"/>
              </w:rPr>
              <w:t>Completion</w:t>
            </w:r>
          </w:p>
        </w:tc>
        <w:tc>
          <w:tcPr>
            <w:tcW w:type="dxa" w:w="7929"/>
          </w:tcPr>
          <w:p>
            <w:pPr>
              <w:spacing w:after="60" w:before="40"/>
            </w:pPr>
            <w:r>
              <w:rPr>
                <w:sz w:val="19"/>
              </w:rPr>
              <w:t>Reviewer-approved supported scope and numeric package; unresolved branches disabled; source permissions documented</w:t>
            </w:r>
          </w:p>
        </w:tc>
      </w:tr>
    </w:tbl>
    <w:p>
      <w:pPr>
        <w:spacing w:after="0"/>
      </w:pPr>
    </w:p>
    <w:p>
      <w:pPr>
        <w:pStyle w:val="Heading2"/>
      </w:pPr>
      <w:r>
        <w:t>Phase 2: Dog profile and nutritional database design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Finalize dog input schemas, BCS 1–9, dated measurements, typed composition and source/version model; define current Mongo mapping and owner isolation</w:t>
            </w:r>
          </w:p>
        </w:tc>
      </w:tr>
      <w:tr>
        <w:tc>
          <w:tcPr>
            <w:tcW w:type="dxa" w:w="2108"/>
          </w:tcPr>
          <w:p>
            <w:pPr>
              <w:spacing w:after="60" w:before="40"/>
            </w:pPr>
            <w:r>
              <w:rPr>
                <w:sz w:val="19"/>
              </w:rPr>
              <w:t>Dependencies/data</w:t>
            </w:r>
          </w:p>
        </w:tc>
        <w:tc>
          <w:tcPr>
            <w:tcW w:type="dxa" w:w="7929"/>
          </w:tcPr>
          <w:p>
            <w:pPr>
              <w:spacing w:after="60" w:before="40"/>
            </w:pPr>
            <w:r>
              <w:rPr>
                <w:sz w:val="19"/>
              </w:rPr>
              <w:t>Phase 1; real profile/food label examples; current model/index inventory; permitted source access</w:t>
            </w:r>
          </w:p>
        </w:tc>
      </w:tr>
      <w:tr>
        <w:tc>
          <w:tcPr>
            <w:tcW w:type="dxa" w:w="2108"/>
          </w:tcPr>
          <w:p>
            <w:pPr>
              <w:spacing w:after="60" w:before="40"/>
            </w:pPr>
            <w:r>
              <w:rPr>
                <w:sz w:val="19"/>
              </w:rPr>
              <w:t>Outputs</w:t>
            </w:r>
          </w:p>
        </w:tc>
        <w:tc>
          <w:tcPr>
            <w:tcW w:type="dxa" w:w="7929"/>
          </w:tcPr>
          <w:p>
            <w:pPr>
              <w:spacing w:after="60" w:before="40"/>
            </w:pPr>
            <w:r>
              <w:rPr>
                <w:sz w:val="19"/>
              </w:rPr>
              <w:t>Reviewed schemas/index plan, migration/compatibility plan, initial quarantined food catalog and exact ingredient identities</w:t>
            </w:r>
          </w:p>
        </w:tc>
      </w:tr>
      <w:tr>
        <w:tc>
          <w:tcPr>
            <w:tcW w:type="dxa" w:w="2108"/>
          </w:tcPr>
          <w:p>
            <w:pPr>
              <w:spacing w:after="60" w:before="40"/>
            </w:pPr>
            <w:r>
              <w:rPr>
                <w:sz w:val="19"/>
              </w:rPr>
              <w:t>Risks</w:t>
            </w:r>
          </w:p>
        </w:tc>
        <w:tc>
          <w:tcPr>
            <w:tcW w:type="dxa" w:w="7929"/>
          </w:tcPr>
          <w:p>
            <w:pPr>
              <w:spacing w:after="60" w:before="40"/>
            </w:pPr>
            <w:r>
              <w:rPr>
                <w:sz w:val="19"/>
              </w:rPr>
              <w:t>Non-dog record misclassification, unknown→false/zero, raw/cooked mismatch, duplicated accounts</w:t>
            </w:r>
          </w:p>
        </w:tc>
      </w:tr>
      <w:tr>
        <w:tc>
          <w:tcPr>
            <w:tcW w:type="dxa" w:w="2108"/>
          </w:tcPr>
          <w:p>
            <w:pPr>
              <w:spacing w:after="60" w:before="40"/>
            </w:pPr>
            <w:r>
              <w:rPr>
                <w:sz w:val="19"/>
              </w:rPr>
              <w:t>Tests</w:t>
            </w:r>
          </w:p>
        </w:tc>
        <w:tc>
          <w:tcPr>
            <w:tcW w:type="dxa" w:w="7929"/>
          </w:tcPr>
          <w:p>
            <w:pPr>
              <w:spacing w:after="60" w:before="40"/>
            </w:pPr>
            <w:r>
              <w:rPr>
                <w:sz w:val="19"/>
              </w:rPr>
              <w:t>Schema invalid inputs, owner separation, source states and version immutability; migration dry-run on copies</w:t>
            </w:r>
          </w:p>
        </w:tc>
      </w:tr>
      <w:tr>
        <w:tc>
          <w:tcPr>
            <w:tcW w:type="dxa" w:w="2108"/>
          </w:tcPr>
          <w:p>
            <w:pPr>
              <w:spacing w:after="60" w:before="40"/>
            </w:pPr>
            <w:r>
              <w:rPr>
                <w:sz w:val="19"/>
              </w:rPr>
              <w:t>Completion</w:t>
            </w:r>
          </w:p>
        </w:tc>
        <w:tc>
          <w:tcPr>
            <w:tcW w:type="dxa" w:w="7929"/>
          </w:tcPr>
          <w:p>
            <w:pPr>
              <w:spacing w:after="60" w:before="40"/>
            </w:pPr>
            <w:r>
              <w:rPr>
                <w:sz w:val="19"/>
              </w:rPr>
              <w:t>Every mandatory/conditional field and unknown state represented; no planner auth duplication; rollback policy approved</w:t>
            </w:r>
          </w:p>
        </w:tc>
      </w:tr>
    </w:tbl>
    <w:p>
      <w:pPr>
        <w:spacing w:after="0"/>
      </w:pPr>
    </w:p>
    <w:p>
      <w:pPr>
        <w:pStyle w:val="Heading2"/>
      </w:pPr>
      <w:r>
        <w:t>Phase 3: Energy calculation and portion engine</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Implement pure RER and one-method selection, commercial ME conversion, extras ledger, portions and rounding; retain manual recording</w:t>
            </w:r>
          </w:p>
        </w:tc>
      </w:tr>
      <w:tr>
        <w:tc>
          <w:tcPr>
            <w:tcW w:type="dxa" w:w="2108"/>
          </w:tcPr>
          <w:p>
            <w:pPr>
              <w:spacing w:after="60" w:before="40"/>
            </w:pPr>
            <w:r>
              <w:rPr>
                <w:sz w:val="19"/>
              </w:rPr>
              <w:t>Dependencies/data</w:t>
            </w:r>
          </w:p>
        </w:tc>
        <w:tc>
          <w:tcPr>
            <w:tcW w:type="dxa" w:w="7929"/>
          </w:tcPr>
          <w:p>
            <w:pPr>
              <w:spacing w:after="60" w:before="40"/>
            </w:pPr>
            <w:r>
              <w:rPr>
                <w:sz w:val="19"/>
              </w:rPr>
              <w:t>Phases 1–2; vetted adult method defaults; verified complete adult label fixtures</w:t>
            </w:r>
          </w:p>
        </w:tc>
      </w:tr>
      <w:tr>
        <w:tc>
          <w:tcPr>
            <w:tcW w:type="dxa" w:w="2108"/>
          </w:tcPr>
          <w:p>
            <w:pPr>
              <w:spacing w:after="60" w:before="40"/>
            </w:pPr>
            <w:r>
              <w:rPr>
                <w:sz w:val="19"/>
              </w:rPr>
              <w:t>Outputs</w:t>
            </w:r>
          </w:p>
        </w:tc>
        <w:tc>
          <w:tcPr>
            <w:tcW w:type="dxa" w:w="7929"/>
          </w:tcPr>
          <w:p>
            <w:pPr>
              <w:spacing w:after="60" w:before="40"/>
            </w:pPr>
            <w:r>
              <w:rPr>
                <w:sz w:val="19"/>
              </w:rPr>
              <w:t>Deterministic adult maintenance preview with basis/explanation, structured blockers and independently derived golden results</w:t>
            </w:r>
          </w:p>
        </w:tc>
      </w:tr>
      <w:tr>
        <w:tc>
          <w:tcPr>
            <w:tcW w:type="dxa" w:w="2108"/>
          </w:tcPr>
          <w:p>
            <w:pPr>
              <w:spacing w:after="60" w:before="40"/>
            </w:pPr>
            <w:r>
              <w:rPr>
                <w:sz w:val="19"/>
              </w:rPr>
              <w:t>Risks</w:t>
            </w:r>
          </w:p>
        </w:tc>
        <w:tc>
          <w:tcPr>
            <w:tcW w:type="dxa" w:w="7929"/>
          </w:tcPr>
          <w:p>
            <w:pPr>
              <w:spacing w:after="60" w:before="40"/>
            </w:pPr>
            <w:r>
              <w:rPr>
                <w:sz w:val="19"/>
              </w:rPr>
              <w:t>Factor stacking, pounds/kg confusion, rounding early, unknown/duplicate extras, stale weight</w:t>
            </w:r>
          </w:p>
        </w:tc>
      </w:tr>
      <w:tr>
        <w:tc>
          <w:tcPr>
            <w:tcW w:type="dxa" w:w="2108"/>
          </w:tcPr>
          <w:p>
            <w:pPr>
              <w:spacing w:after="60" w:before="40"/>
            </w:pPr>
            <w:r>
              <w:rPr>
                <w:sz w:val="19"/>
              </w:rPr>
              <w:t>Tests</w:t>
            </w:r>
          </w:p>
        </w:tc>
        <w:tc>
          <w:tcPr>
            <w:tcW w:type="dxa" w:w="7929"/>
          </w:tcPr>
          <w:p>
            <w:pPr>
              <w:spacing w:after="60" w:before="40"/>
            </w:pPr>
            <w:r>
              <w:rPr>
                <w:sz w:val="19"/>
              </w:rPr>
              <w:t>§20 energy/portion/conversion cases; sum invariants; recorded mode cannot masquerade as recommendation</w:t>
            </w:r>
          </w:p>
        </w:tc>
      </w:tr>
      <w:tr>
        <w:tc>
          <w:tcPr>
            <w:tcW w:type="dxa" w:w="2108"/>
          </w:tcPr>
          <w:p>
            <w:pPr>
              <w:spacing w:after="60" w:before="40"/>
            </w:pPr>
            <w:r>
              <w:rPr>
                <w:sz w:val="19"/>
              </w:rPr>
              <w:t>Completion</w:t>
            </w:r>
          </w:p>
        </w:tc>
        <w:tc>
          <w:tcPr>
            <w:tcW w:type="dxa" w:w="7929"/>
          </w:tcPr>
          <w:p>
            <w:pPr>
              <w:spacing w:after="60" w:before="40"/>
            </w:pPr>
            <w:r>
              <w:rPr>
                <w:sz w:val="19"/>
              </w:rPr>
              <w:t>All numerical oracles pass; adults-only commercial scope enforced; no premature puppy/therapeutic enablement</w:t>
            </w:r>
          </w:p>
        </w:tc>
      </w:tr>
    </w:tbl>
    <w:p>
      <w:pPr>
        <w:spacing w:after="0"/>
      </w:pPr>
    </w:p>
    <w:p>
      <w:pPr>
        <w:pStyle w:val="Heading2"/>
      </w:pPr>
      <w:r>
        <w:t>Phase 4: Nutrient calculation and adequacy validation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Implement typed nutrient totals/intervals, exact population requirements, paired-AA/ratio checks, nutritional/legal maxima and unknown propagation</w:t>
            </w:r>
          </w:p>
        </w:tc>
      </w:tr>
      <w:tr>
        <w:tc>
          <w:tcPr>
            <w:tcW w:type="dxa" w:w="2108"/>
          </w:tcPr>
          <w:p>
            <w:pPr>
              <w:spacing w:after="60" w:before="40"/>
            </w:pPr>
            <w:r>
              <w:rPr>
                <w:sz w:val="19"/>
              </w:rPr>
              <w:t>Dependencies/data</w:t>
            </w:r>
          </w:p>
        </w:tc>
        <w:tc>
          <w:tcPr>
            <w:tcW w:type="dxa" w:w="7929"/>
          </w:tcPr>
          <w:p>
            <w:pPr>
              <w:spacing w:after="60" w:before="40"/>
            </w:pPr>
            <w:r>
              <w:rPr>
                <w:sz w:val="19"/>
              </w:rPr>
              <w:t>Approved complete rule package; source/form/preparation-aware food data; reviewed profile mapping</w:t>
            </w:r>
          </w:p>
        </w:tc>
      </w:tr>
      <w:tr>
        <w:tc>
          <w:tcPr>
            <w:tcW w:type="dxa" w:w="2108"/>
          </w:tcPr>
          <w:p>
            <w:pPr>
              <w:spacing w:after="60" w:before="40"/>
            </w:pPr>
            <w:r>
              <w:rPr>
                <w:sz w:val="19"/>
              </w:rPr>
              <w:t>Outputs</w:t>
            </w:r>
          </w:p>
        </w:tc>
        <w:tc>
          <w:tcPr>
            <w:tcW w:type="dxa" w:w="7929"/>
          </w:tcPr>
          <w:p>
            <w:pPr>
              <w:spacing w:after="60" w:before="40"/>
            </w:pPr>
            <w:r>
              <w:rPr>
                <w:sz w:val="19"/>
              </w:rPr>
              <w:t>Per-rule results and overall FAIL/INDETERMINATE/PASS assessment for reviewers; distinct label-supported evidence path</w:t>
            </w:r>
          </w:p>
        </w:tc>
      </w:tr>
      <w:tr>
        <w:tc>
          <w:tcPr>
            <w:tcW w:type="dxa" w:w="2108"/>
          </w:tcPr>
          <w:p>
            <w:pPr>
              <w:spacing w:after="60" w:before="40"/>
            </w:pPr>
            <w:r>
              <w:rPr>
                <w:sz w:val="19"/>
              </w:rPr>
              <w:t>Risks</w:t>
            </w:r>
          </w:p>
        </w:tc>
        <w:tc>
          <w:tcPr>
            <w:tcW w:type="dxa" w:w="7929"/>
          </w:tcPr>
          <w:p>
            <w:pPr>
              <w:spacing w:after="60" w:before="40"/>
            </w:pPr>
            <w:r>
              <w:rPr>
                <w:sz w:val="19"/>
              </w:rPr>
              <w:t>Mixing standards, using guarantees as exact values, counting unsuitable mineral forms, unknown max interpreted as safe</w:t>
            </w:r>
          </w:p>
        </w:tc>
      </w:tr>
      <w:tr>
        <w:tc>
          <w:tcPr>
            <w:tcW w:type="dxa" w:w="2108"/>
          </w:tcPr>
          <w:p>
            <w:pPr>
              <w:spacing w:after="60" w:before="40"/>
            </w:pPr>
            <w:r>
              <w:rPr>
                <w:sz w:val="19"/>
              </w:rPr>
              <w:t>Tests</w:t>
            </w:r>
          </w:p>
        </w:tc>
        <w:tc>
          <w:tcPr>
            <w:tcW w:type="dxa" w:w="7929"/>
          </w:tcPr>
          <w:p>
            <w:pPr>
              <w:spacing w:after="60" w:before="40"/>
            </w:pPr>
            <w:r>
              <w:rPr>
                <w:sz w:val="19"/>
              </w:rPr>
              <w:t>All rows/footnotes, wet/dry selenium, calcium branches, min/max boundaries, low-energy-domain rejection</w:t>
            </w:r>
          </w:p>
        </w:tc>
      </w:tr>
      <w:tr>
        <w:tc>
          <w:tcPr>
            <w:tcW w:type="dxa" w:w="2108"/>
          </w:tcPr>
          <w:p>
            <w:pPr>
              <w:spacing w:after="60" w:before="40"/>
            </w:pPr>
            <w:r>
              <w:rPr>
                <w:sz w:val="19"/>
              </w:rPr>
              <w:t>Completion</w:t>
            </w:r>
          </w:p>
        </w:tc>
        <w:tc>
          <w:tcPr>
            <w:tcW w:type="dxa" w:w="7929"/>
          </w:tcPr>
          <w:p>
            <w:pPr>
              <w:spacing w:after="60" w:before="40"/>
            </w:pPr>
            <w:r>
              <w:rPr>
                <w:sz w:val="19"/>
              </w:rPr>
              <w:t>Independent veterinary/numeric review of imported package; no completeness claim without all evidence/review gates</w:t>
            </w:r>
          </w:p>
        </w:tc>
      </w:tr>
    </w:tbl>
    <w:p>
      <w:pPr>
        <w:spacing w:after="0"/>
      </w:pPr>
    </w:p>
    <w:p>
      <w:pPr>
        <w:pStyle w:val="Heading2"/>
      </w:pPr>
      <w:r>
        <w:t>Phase 5: Safety, ingredient filtering and substitution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Canonical hazard/allergen graph, local aliases, handling restrictions, recall overrides and full substitution recalculation</w:t>
            </w:r>
          </w:p>
        </w:tc>
      </w:tr>
      <w:tr>
        <w:tc>
          <w:tcPr>
            <w:tcW w:type="dxa" w:w="2108"/>
          </w:tcPr>
          <w:p>
            <w:pPr>
              <w:spacing w:after="60" w:before="40"/>
            </w:pPr>
            <w:r>
              <w:rPr>
                <w:sz w:val="19"/>
              </w:rPr>
              <w:t>Dependencies/data</w:t>
            </w:r>
          </w:p>
        </w:tc>
        <w:tc>
          <w:tcPr>
            <w:tcW w:type="dxa" w:w="7929"/>
          </w:tcPr>
          <w:p>
            <w:pPr>
              <w:spacing w:after="60" w:before="40"/>
            </w:pPr>
            <w:r>
              <w:rPr>
                <w:sz w:val="19"/>
              </w:rPr>
              <w:t>Phases 2–4; primary toxicology sources; exact compound-product ingredient data</w:t>
            </w:r>
          </w:p>
        </w:tc>
      </w:tr>
      <w:tr>
        <w:tc>
          <w:tcPr>
            <w:tcW w:type="dxa" w:w="2108"/>
          </w:tcPr>
          <w:p>
            <w:pPr>
              <w:spacing w:after="60" w:before="40"/>
            </w:pPr>
            <w:r>
              <w:rPr>
                <w:sz w:val="19"/>
              </w:rPr>
              <w:t>Outputs</w:t>
            </w:r>
          </w:p>
        </w:tc>
        <w:tc>
          <w:tcPr>
            <w:tcW w:type="dxa" w:w="7929"/>
          </w:tcPr>
          <w:p>
            <w:pPr>
              <w:spacing w:after="60" w:before="40"/>
            </w:pPr>
            <w:r>
              <w:rPr>
                <w:sz w:val="19"/>
              </w:rPr>
              <w:t>Versioned safety rules, referral messages, safe eligibility filter and substitution preview</w:t>
            </w:r>
          </w:p>
        </w:tc>
      </w:tr>
      <w:tr>
        <w:tc>
          <w:tcPr>
            <w:tcW w:type="dxa" w:w="2108"/>
          </w:tcPr>
          <w:p>
            <w:pPr>
              <w:spacing w:after="60" w:before="40"/>
            </w:pPr>
            <w:r>
              <w:rPr>
                <w:sz w:val="19"/>
              </w:rPr>
              <w:t>Risks</w:t>
            </w:r>
          </w:p>
        </w:tc>
        <w:tc>
          <w:tcPr>
            <w:tcW w:type="dxa" w:w="7929"/>
          </w:tcPr>
          <w:p>
            <w:pPr>
              <w:spacing w:after="60" w:before="40"/>
            </w:pPr>
            <w:r>
              <w:rPr>
                <w:sz w:val="19"/>
              </w:rPr>
              <w:t>Substring false matches, hidden powders/seasoning, treating cooking as toxin removal, equal-calorie nutrient assumptions</w:t>
            </w:r>
          </w:p>
        </w:tc>
      </w:tr>
      <w:tr>
        <w:tc>
          <w:tcPr>
            <w:tcW w:type="dxa" w:w="2108"/>
          </w:tcPr>
          <w:p>
            <w:pPr>
              <w:spacing w:after="60" w:before="40"/>
            </w:pPr>
            <w:r>
              <w:rPr>
                <w:sz w:val="19"/>
              </w:rPr>
              <w:t>Tests</w:t>
            </w:r>
          </w:p>
        </w:tc>
        <w:tc>
          <w:tcPr>
            <w:tcW w:type="dxa" w:w="7929"/>
          </w:tcPr>
          <w:p>
            <w:pPr>
              <w:spacing w:after="60" w:before="40"/>
            </w:pPr>
            <w:r>
              <w:rPr>
                <w:sz w:val="19"/>
              </w:rPr>
              <w:t>Hazard aliases, subingredient cycles, unknown dish, recalled product, allergen contamination and recipe review invalidation</w:t>
            </w:r>
          </w:p>
        </w:tc>
      </w:tr>
      <w:tr>
        <w:tc>
          <w:tcPr>
            <w:tcW w:type="dxa" w:w="2108"/>
          </w:tcPr>
          <w:p>
            <w:pPr>
              <w:spacing w:after="60" w:before="40"/>
            </w:pPr>
            <w:r>
              <w:rPr>
                <w:sz w:val="19"/>
              </w:rPr>
              <w:t>Completion</w:t>
            </w:r>
          </w:p>
        </w:tc>
        <w:tc>
          <w:tcPr>
            <w:tcW w:type="dxa" w:w="7929"/>
          </w:tcPr>
          <w:p>
            <w:pPr>
              <w:spacing w:after="60" w:before="40"/>
            </w:pPr>
            <w:r>
              <w:rPr>
                <w:sz w:val="19"/>
              </w:rPr>
              <w:t>Known hazards block every path; unresolved safety data prevents approval; no universal exposure-dose reassurance</w:t>
            </w:r>
          </w:p>
        </w:tc>
      </w:tr>
    </w:tbl>
    <w:p>
      <w:pPr>
        <w:spacing w:after="0"/>
      </w:pPr>
    </w:p>
    <w:p>
      <w:pPr>
        <w:pStyle w:val="Heading2"/>
      </w:pPr>
      <w:r>
        <w:t>Phase 6: Meal generation and UI integration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Add concise conditional dog forms, commercial portions, meal/extras display, monitoring/logging, preview/save and accessible explanations</w:t>
            </w:r>
          </w:p>
        </w:tc>
      </w:tr>
      <w:tr>
        <w:tc>
          <w:tcPr>
            <w:tcW w:type="dxa" w:w="2108"/>
          </w:tcPr>
          <w:p>
            <w:pPr>
              <w:spacing w:after="60" w:before="40"/>
            </w:pPr>
            <w:r>
              <w:rPr>
                <w:sz w:val="19"/>
              </w:rPr>
              <w:t>Dependencies/data</w:t>
            </w:r>
          </w:p>
        </w:tc>
        <w:tc>
          <w:tcPr>
            <w:tcW w:type="dxa" w:w="7929"/>
          </w:tcPr>
          <w:p>
            <w:pPr>
              <w:spacing w:after="60" w:before="40"/>
            </w:pPr>
            <w:r>
              <w:rPr>
                <w:sz w:val="19"/>
              </w:rPr>
              <w:t>Phases 3–5; actual authenticated API; approved source text/UI safety wording</w:t>
            </w:r>
          </w:p>
        </w:tc>
      </w:tr>
      <w:tr>
        <w:tc>
          <w:tcPr>
            <w:tcW w:type="dxa" w:w="2108"/>
          </w:tcPr>
          <w:p>
            <w:pPr>
              <w:spacing w:after="60" w:before="40"/>
            </w:pPr>
            <w:r>
              <w:rPr>
                <w:sz w:val="19"/>
              </w:rPr>
              <w:t>Outputs</w:t>
            </w:r>
          </w:p>
        </w:tc>
        <w:tc>
          <w:tcPr>
            <w:tcW w:type="dxa" w:w="7929"/>
          </w:tcPr>
          <w:p>
            <w:pPr>
              <w:spacing w:after="60" w:before="40"/>
            </w:pPr>
            <w:r>
              <w:rPr>
                <w:sz w:val="19"/>
              </w:rPr>
              <w:t>Mobile dog workflow using shared Vetify account, owner-scoped APIs, snapshot history and conflict-safe publication</w:t>
            </w:r>
          </w:p>
        </w:tc>
      </w:tr>
      <w:tr>
        <w:tc>
          <w:tcPr>
            <w:tcW w:type="dxa" w:w="2108"/>
          </w:tcPr>
          <w:p>
            <w:pPr>
              <w:spacing w:after="60" w:before="40"/>
            </w:pPr>
            <w:r>
              <w:rPr>
                <w:sz w:val="19"/>
              </w:rPr>
              <w:t>Risks</w:t>
            </w:r>
          </w:p>
        </w:tc>
        <w:tc>
          <w:tcPr>
            <w:tcW w:type="dxa" w:w="7929"/>
          </w:tcPr>
          <w:p>
            <w:pPr>
              <w:spacing w:after="60" w:before="40"/>
            </w:pPr>
            <w:r>
              <w:rPr>
                <w:sz w:val="19"/>
              </w:rPr>
              <w:t>UI hides blockers, stale preview saves, offline approval, unit confusion and too many mandatory clinical fields</w:t>
            </w:r>
          </w:p>
        </w:tc>
      </w:tr>
      <w:tr>
        <w:tc>
          <w:tcPr>
            <w:tcW w:type="dxa" w:w="2108"/>
          </w:tcPr>
          <w:p>
            <w:pPr>
              <w:spacing w:after="60" w:before="40"/>
            </w:pPr>
            <w:r>
              <w:rPr>
                <w:sz w:val="19"/>
              </w:rPr>
              <w:t>Tests</w:t>
            </w:r>
          </w:p>
        </w:tc>
        <w:tc>
          <w:tcPr>
            <w:tcW w:type="dxa" w:w="7929"/>
          </w:tcPr>
          <w:p>
            <w:pPr>
              <w:spacing w:after="60" w:before="40"/>
            </w:pPr>
            <w:r>
              <w:rPr>
                <w:sz w:val="19"/>
              </w:rPr>
              <w:t>Android/iOS layout/accessibility, empty/unknown states, actual meal sums, server recalculation, auth outage and concurrent save</w:t>
            </w:r>
          </w:p>
        </w:tc>
      </w:tr>
      <w:tr>
        <w:tc>
          <w:tcPr>
            <w:tcW w:type="dxa" w:w="2108"/>
          </w:tcPr>
          <w:p>
            <w:pPr>
              <w:spacing w:after="60" w:before="40"/>
            </w:pPr>
            <w:r>
              <w:rPr>
                <w:sz w:val="19"/>
              </w:rPr>
              <w:t>Completion</w:t>
            </w:r>
          </w:p>
        </w:tc>
        <w:tc>
          <w:tcPr>
            <w:tcW w:type="dxa" w:w="7929"/>
          </w:tcPr>
          <w:p>
            <w:pPr>
              <w:spacing w:after="60" w:before="40"/>
            </w:pPr>
            <w:r>
              <w:rPr>
                <w:sz w:val="19"/>
              </w:rPr>
              <w:t>Safe MVP: apparently healthy, growth-complete adult, stable BCS 4–5, ordinary activity, exact suitable complete commercial food and known extras; recording available for blocked cases</w:t>
            </w:r>
          </w:p>
        </w:tc>
      </w:tr>
    </w:tbl>
    <w:p>
      <w:pPr>
        <w:spacing w:after="0"/>
      </w:pPr>
    </w:p>
    <w:p>
      <w:pPr>
        <w:pStyle w:val="Heading2"/>
      </w:pPr>
      <w:r>
        <w:t>Phase 7: Automated testing, veterinary review and validation</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Execute independent numerical fixtures, API/system tests and reviewer case set; compare calculations with external/manual checks; conduct a controlled usability review</w:t>
            </w:r>
          </w:p>
        </w:tc>
      </w:tr>
      <w:tr>
        <w:tc>
          <w:tcPr>
            <w:tcW w:type="dxa" w:w="2108"/>
          </w:tcPr>
          <w:p>
            <w:pPr>
              <w:spacing w:after="60" w:before="40"/>
            </w:pPr>
            <w:r>
              <w:rPr>
                <w:sz w:val="19"/>
              </w:rPr>
              <w:t>Dependencies/data</w:t>
            </w:r>
          </w:p>
        </w:tc>
        <w:tc>
          <w:tcPr>
            <w:tcW w:type="dxa" w:w="7929"/>
          </w:tcPr>
          <w:p>
            <w:pPr>
              <w:spacing w:after="60" w:before="40"/>
            </w:pPr>
            <w:r>
              <w:rPr>
                <w:sz w:val="19"/>
              </w:rPr>
              <w:t>Phases 1–6; independent veterinary case/label fixtures and consented deidentified observations</w:t>
            </w:r>
          </w:p>
        </w:tc>
      </w:tr>
      <w:tr>
        <w:tc>
          <w:tcPr>
            <w:tcW w:type="dxa" w:w="2108"/>
          </w:tcPr>
          <w:p>
            <w:pPr>
              <w:spacing w:after="60" w:before="40"/>
            </w:pPr>
            <w:r>
              <w:rPr>
                <w:sz w:val="19"/>
              </w:rPr>
              <w:t>Outputs</w:t>
            </w:r>
          </w:p>
        </w:tc>
        <w:tc>
          <w:tcPr>
            <w:tcW w:type="dxa" w:w="7929"/>
          </w:tcPr>
          <w:p>
            <w:pPr>
              <w:spacing w:after="60" w:before="40"/>
            </w:pPr>
            <w:r>
              <w:rPr>
                <w:sz w:val="19"/>
              </w:rPr>
              <w:t>Versioned validation report, discrepancy resolutions, signed release-scope review and regression suite</w:t>
            </w:r>
          </w:p>
        </w:tc>
      </w:tr>
      <w:tr>
        <w:tc>
          <w:tcPr>
            <w:tcW w:type="dxa" w:w="2108"/>
          </w:tcPr>
          <w:p>
            <w:pPr>
              <w:spacing w:after="60" w:before="40"/>
            </w:pPr>
            <w:r>
              <w:rPr>
                <w:sz w:val="19"/>
              </w:rPr>
              <w:t>Risks</w:t>
            </w:r>
          </w:p>
        </w:tc>
        <w:tc>
          <w:tcPr>
            <w:tcW w:type="dxa" w:w="7929"/>
          </w:tcPr>
          <w:p>
            <w:pPr>
              <w:spacing w:after="60" w:before="40"/>
            </w:pPr>
            <w:r>
              <w:rPr>
                <w:sz w:val="19"/>
              </w:rPr>
              <w:t>Testing expected values with the same engine, confusing arithmetic validity with clinical outcomes, unreviewed algorithm expansion</w:t>
            </w:r>
          </w:p>
        </w:tc>
      </w:tr>
      <w:tr>
        <w:tc>
          <w:tcPr>
            <w:tcW w:type="dxa" w:w="2108"/>
          </w:tcPr>
          <w:p>
            <w:pPr>
              <w:spacing w:after="60" w:before="40"/>
            </w:pPr>
            <w:r>
              <w:rPr>
                <w:sz w:val="19"/>
              </w:rPr>
              <w:t>Tests</w:t>
            </w:r>
          </w:p>
        </w:tc>
        <w:tc>
          <w:tcPr>
            <w:tcW w:type="dxa" w:w="7929"/>
          </w:tcPr>
          <w:p>
            <w:pPr>
              <w:spacing w:after="60" w:before="40"/>
            </w:pPr>
            <w:r>
              <w:rPr>
                <w:sz w:val="19"/>
              </w:rPr>
              <w:t>All §20 cases plus malformed units, access isolation, source changes, idempotency, DB failure and UI warnings</w:t>
            </w:r>
          </w:p>
        </w:tc>
      </w:tr>
      <w:tr>
        <w:tc>
          <w:tcPr>
            <w:tcW w:type="dxa" w:w="2108"/>
          </w:tcPr>
          <w:p>
            <w:pPr>
              <w:spacing w:after="60" w:before="40"/>
            </w:pPr>
            <w:r>
              <w:rPr>
                <w:sz w:val="19"/>
              </w:rPr>
              <w:t>Completion</w:t>
            </w:r>
          </w:p>
        </w:tc>
        <w:tc>
          <w:tcPr>
            <w:tcW w:type="dxa" w:w="7929"/>
          </w:tcPr>
          <w:p>
            <w:pPr>
              <w:spacing w:after="60" w:before="40"/>
            </w:pPr>
            <w:r>
              <w:rPr>
                <w:sz w:val="19"/>
              </w:rPr>
              <w:t>No unresolved critical safety discrepancies; reviewer accepts exact supported scope; automated tests cannot replace clinical sign-off</w:t>
            </w:r>
          </w:p>
        </w:tc>
      </w:tr>
    </w:tbl>
    <w:p>
      <w:pPr>
        <w:spacing w:after="0"/>
      </w:pPr>
    </w:p>
    <w:p>
      <w:pPr>
        <w:pStyle w:val="Heading2"/>
      </w:pPr>
      <w:r>
        <w:t>Phase 8: Monitoring, updates and production readiness</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Item</w:t>
            </w:r>
          </w:p>
        </w:tc>
        <w:tc>
          <w:tcPr>
            <w:tcW w:type="dxa" w:w="7929"/>
            <w:shd w:fill="154F59"/>
          </w:tcPr>
          <w:p>
            <w:pPr>
              <w:spacing w:after="60" w:before="40"/>
            </w:pPr>
            <w:r>
              <w:rPr>
                <w:b/>
                <w:color w:val="FFFFFF"/>
                <w:sz w:val="19"/>
              </w:rPr>
              <w:t>Plan</w:t>
            </w:r>
          </w:p>
        </w:tc>
      </w:tr>
      <w:tr>
        <w:tc>
          <w:tcPr>
            <w:tcW w:type="dxa" w:w="2108"/>
          </w:tcPr>
          <w:p>
            <w:pPr>
              <w:spacing w:after="60" w:before="40"/>
            </w:pPr>
            <w:r>
              <w:rPr>
                <w:sz w:val="19"/>
              </w:rPr>
              <w:t>Objective/tasks</w:t>
            </w:r>
          </w:p>
        </w:tc>
        <w:tc>
          <w:tcPr>
            <w:tcW w:type="dxa" w:w="7929"/>
          </w:tcPr>
          <w:p>
            <w:pPr>
              <w:spacing w:after="60" w:before="40"/>
            </w:pPr>
            <w:r>
              <w:rPr>
                <w:sz w:val="19"/>
              </w:rPr>
              <w:t>Operational recall/source updates, stale-plan reassessment, observability, backups/recovery, catalog/review version rollout and incident handling</w:t>
            </w:r>
          </w:p>
        </w:tc>
      </w:tr>
      <w:tr>
        <w:tc>
          <w:tcPr>
            <w:tcW w:type="dxa" w:w="2108"/>
          </w:tcPr>
          <w:p>
            <w:pPr>
              <w:spacing w:after="60" w:before="40"/>
            </w:pPr>
            <w:r>
              <w:rPr>
                <w:sz w:val="19"/>
              </w:rPr>
              <w:t>Dependencies/data</w:t>
            </w:r>
          </w:p>
        </w:tc>
        <w:tc>
          <w:tcPr>
            <w:tcW w:type="dxa" w:w="7929"/>
          </w:tcPr>
          <w:p>
            <w:pPr>
              <w:spacing w:after="60" w:before="40"/>
            </w:pPr>
            <w:r>
              <w:rPr>
                <w:sz w:val="19"/>
              </w:rPr>
              <w:t>Phase 7; source/license renewal, hosting/deployment configuration, main-account availability and tested database transaction strategy</w:t>
            </w:r>
          </w:p>
        </w:tc>
      </w:tr>
      <w:tr>
        <w:tc>
          <w:tcPr>
            <w:tcW w:type="dxa" w:w="2108"/>
          </w:tcPr>
          <w:p>
            <w:pPr>
              <w:spacing w:after="60" w:before="40"/>
            </w:pPr>
            <w:r>
              <w:rPr>
                <w:sz w:val="19"/>
              </w:rPr>
              <w:t>Outputs</w:t>
            </w:r>
          </w:p>
        </w:tc>
        <w:tc>
          <w:tcPr>
            <w:tcW w:type="dxa" w:w="7929"/>
          </w:tcPr>
          <w:p>
            <w:pPr>
              <w:spacing w:after="60" w:before="40"/>
            </w:pPr>
            <w:r>
              <w:rPr>
                <w:sz w:val="19"/>
              </w:rPr>
              <w:t>Production readiness report, alert/review schedules, recovery/rollback runbook and support/referral wording</w:t>
            </w:r>
          </w:p>
        </w:tc>
      </w:tr>
      <w:tr>
        <w:tc>
          <w:tcPr>
            <w:tcW w:type="dxa" w:w="2108"/>
          </w:tcPr>
          <w:p>
            <w:pPr>
              <w:spacing w:after="60" w:before="40"/>
            </w:pPr>
            <w:r>
              <w:rPr>
                <w:sz w:val="19"/>
              </w:rPr>
              <w:t>Risks</w:t>
            </w:r>
          </w:p>
        </w:tc>
        <w:tc>
          <w:tcPr>
            <w:tcW w:type="dxa" w:w="7929"/>
          </w:tcPr>
          <w:p>
            <w:pPr>
              <w:spacing w:after="60" w:before="40"/>
            </w:pPr>
            <w:r>
              <w:rPr>
                <w:sz w:val="19"/>
              </w:rPr>
              <w:t>Outdated product/rules, failing dependencies masked as normal, loss of historical source evidence, food alert not reaching active plans</w:t>
            </w:r>
          </w:p>
        </w:tc>
      </w:tr>
      <w:tr>
        <w:tc>
          <w:tcPr>
            <w:tcW w:type="dxa" w:w="2108"/>
          </w:tcPr>
          <w:p>
            <w:pPr>
              <w:spacing w:after="60" w:before="40"/>
            </w:pPr>
            <w:r>
              <w:rPr>
                <w:sz w:val="19"/>
              </w:rPr>
              <w:t>Tests</w:t>
            </w:r>
          </w:p>
        </w:tc>
        <w:tc>
          <w:tcPr>
            <w:tcW w:type="dxa" w:w="7929"/>
          </w:tcPr>
          <w:p>
            <w:pPr>
              <w:spacing w:after="60" w:before="40"/>
            </w:pPr>
            <w:r>
              <w:rPr>
                <w:sz w:val="19"/>
              </w:rPr>
              <w:t>Restore/replay, active recall invalidation, source-update diff, account/auth failure, interrupted plan publication, feature rollback</w:t>
            </w:r>
          </w:p>
        </w:tc>
      </w:tr>
      <w:tr>
        <w:tc>
          <w:tcPr>
            <w:tcW w:type="dxa" w:w="2108"/>
          </w:tcPr>
          <w:p>
            <w:pPr>
              <w:spacing w:after="60" w:before="40"/>
            </w:pPr>
            <w:r>
              <w:rPr>
                <w:sz w:val="19"/>
              </w:rPr>
              <w:t>Completion</w:t>
            </w:r>
          </w:p>
        </w:tc>
        <w:tc>
          <w:tcPr>
            <w:tcW w:type="dxa" w:w="7929"/>
          </w:tcPr>
          <w:p>
            <w:pPr>
              <w:spacing w:after="60" w:before="40"/>
            </w:pPr>
            <w:r>
              <w:rPr>
                <w:sz w:val="19"/>
              </w:rPr>
              <w:t>Tested recovery, scoped monitoring and signed release; advanced population/formulation features remain off until their own validation gates pass</w:t>
            </w:r>
          </w:p>
        </w:tc>
      </w:tr>
    </w:tbl>
    <w:p>
      <w:pPr>
        <w:spacing w:after="0"/>
      </w:pPr>
    </w:p>
    <w:p>
      <w:r>
        <w:rPr>
          <w:b/>
        </w:rPr>
        <w:t>Disabled until separately validated:</w:t>
      </w:r>
      <w:r>
        <w:t xml:space="preserve"> neonatal dosing, automatic puppy/growth completion, reproductive prescriptions, work/high-demand estimates, loss/gain prescriptions, disease recipes, elimination-diet selection, homemade solver, unrestricted supplements and raw recommendations. A research formula appearing in this document does not activate a feature.</w:t>
      </w:r>
    </w:p>
    <w:p>
      <w:bookmarkStart w:id="20" w:name="section_20"/>
      <w:pPr>
        <w:pStyle w:val="Heading1"/>
      </w:pPr>
      <w:r>
        <w:t>20. Testing and Validation</w:t>
      </w:r>
      <w:bookmarkEnd w:id="20"/>
    </w:p>
    <w:p>
      <w:pPr>
        <w:pStyle w:val="Heading2"/>
      </w:pPr>
      <w:r>
        <w:t>20.1 Independent oracles and fixture rules</w:t>
      </w:r>
    </w:p>
    <w:p>
      <w:r>
        <w:t xml:space="preserve">Use independently computed constants, source-table double-entry and reviewer-approved fixture diets. The research calculations used Python Decimal at 50-digit precision with repeated square roots; they did not call the repository's calculation engine. Unit-test expected values should be stored constants plus a documented derivation, not generated by the implementation under test. Formula tolerances: propose absolute </w:t>
      </w:r>
      <w:r>
        <w:rPr>
          <w:rFonts w:ascii="Consolas" w:hAnsi="Consolas"/>
          <w:sz w:val="18"/>
        </w:rPr>
        <w:t>1e-6</w:t>
      </w:r>
      <w:r>
        <w:t xml:space="preserve"> kcal/g for golden numerical comparisons where output precision permits; use exact decimal rules for displayed amounts and schema checks. Verify a different implementation/manual calculation for release.</w:t>
      </w:r>
    </w:p>
    <w:p>
      <w:r>
        <w:t xml:space="preserve">Below, numerical adequacy fixtures are </w:t>
      </w:r>
      <w:r>
        <w:rPr>
          <w:b/>
        </w:rPr>
        <w:t>synthetic test data</w:t>
      </w:r>
      <w:r>
        <w:t>, not edible recipes or approved diets. Unless specified, all other applicable nutrient rows are exact and safely satisfy the selected reference; thus one altered row isolates a meaningful failure. This prevents tests from accidentally failing for an unrelated missing nutrient. The method and evidence path are explicit.</w:t>
      </w:r>
    </w:p>
    <w:p>
      <w:pPr>
        <w:pStyle w:val="Heading2"/>
      </w:pPr>
      <w:r>
        <w:t>20.2 Unit and domain test vectors</w:t>
      </w:r>
    </w:p>
    <w:p>
      <w:pPr>
        <w:sectPr>
          <w:pgSz w:w="11909" w:h="16834"/>
          <w:pgMar w:top="936" w:right="936" w:bottom="936" w:left="936" w:header="432" w:footer="432" w:gutter="0"/>
          <w:cols w:space="720"/>
          <w:docGrid w:linePitch="360"/>
        </w:sectPr>
      </w:pPr>
    </w:p>
    <w:tbl>
      <w:tblPr>
        <w:tblStyle w:val="TableGrid"/>
        <w:tblW w:type="auto" w:w="0"/>
        <w:tblLayout w:type="fixed"/>
        <w:tblLook w:firstColumn="1" w:firstRow="1" w:lastColumn="0" w:lastRow="0" w:noHBand="0" w:noVBand="1" w:val="04A0"/>
      </w:tblPr>
      <w:tblGrid>
        <w:gridCol w:w="3740"/>
        <w:gridCol w:w="3740"/>
        <w:gridCol w:w="3740"/>
        <w:gridCol w:w="3740"/>
      </w:tblGrid>
      <w:tr>
        <w:trPr>
          <w:tblHeader w:val="true"/>
        </w:trPr>
        <w:tc>
          <w:tcPr>
            <w:tcW w:type="dxa" w:w="3740"/>
            <w:shd w:fill="154F59"/>
          </w:tcPr>
          <w:p>
            <w:pPr>
              <w:spacing w:after="60" w:before="40"/>
            </w:pPr>
            <w:r>
              <w:rPr>
                <w:b/>
                <w:color w:val="FFFFFF"/>
                <w:sz w:val="17"/>
              </w:rPr>
              <w:t>ID</w:t>
            </w:r>
          </w:p>
        </w:tc>
        <w:tc>
          <w:tcPr>
            <w:tcW w:type="dxa" w:w="3740"/>
            <w:shd w:fill="154F59"/>
          </w:tcPr>
          <w:p>
            <w:pPr>
              <w:spacing w:after="60" w:before="40"/>
            </w:pPr>
            <w:r>
              <w:rPr>
                <w:b/>
                <w:color w:val="FFFFFF"/>
                <w:sz w:val="17"/>
              </w:rPr>
              <w:t>Inputs</w:t>
            </w:r>
          </w:p>
        </w:tc>
        <w:tc>
          <w:tcPr>
            <w:tcW w:type="dxa" w:w="3740"/>
            <w:shd w:fill="154F59"/>
          </w:tcPr>
          <w:p>
            <w:pPr>
              <w:spacing w:after="60" w:before="40"/>
            </w:pPr>
            <w:r>
              <w:rPr>
                <w:b/>
                <w:color w:val="FFFFFF"/>
                <w:sz w:val="17"/>
              </w:rPr>
              <w:t>Expected output and independent steps</w:t>
            </w:r>
          </w:p>
        </w:tc>
        <w:tc>
          <w:tcPr>
            <w:tcW w:type="dxa" w:w="3740"/>
            <w:shd w:fill="154F59"/>
          </w:tcPr>
          <w:p>
            <w:pPr>
              <w:spacing w:after="60" w:before="40"/>
            </w:pPr>
            <w:r>
              <w:rPr>
                <w:b/>
                <w:color w:val="FFFFFF"/>
                <w:sz w:val="17"/>
              </w:rPr>
              <w:t>Why</w:t>
            </w:r>
          </w:p>
        </w:tc>
      </w:tr>
      <w:tr>
        <w:tc>
          <w:tcPr>
            <w:tcW w:type="dxa" w:w="3740"/>
          </w:tcPr>
          <w:p>
            <w:pPr>
              <w:spacing w:after="60" w:before="40"/>
            </w:pPr>
            <w:r>
              <w:rPr>
                <w:sz w:val="17"/>
              </w:rPr>
              <w:t>E01</w:t>
            </w:r>
          </w:p>
        </w:tc>
        <w:tc>
          <w:tcPr>
            <w:tcW w:type="dxa" w:w="3740"/>
          </w:tcPr>
          <w:p>
            <w:pPr>
              <w:spacing w:after="60" w:before="40"/>
            </w:pPr>
            <w:r>
              <w:rPr>
                <w:sz w:val="17"/>
              </w:rPr>
              <w:t>W10 kg</w:t>
            </w:r>
          </w:p>
        </w:tc>
        <w:tc>
          <w:tcPr>
            <w:tcW w:type="dxa" w:w="3740"/>
          </w:tcPr>
          <w:p>
            <w:pPr>
              <w:spacing w:after="60" w:before="40"/>
            </w:pPr>
            <w:r>
              <w:rPr>
                <w:sz w:val="17"/>
              </w:rPr>
              <w:t xml:space="preserve">RER 393.6389276; </w:t>
            </w:r>
            <w:r>
              <w:rPr>
                <w:rFonts w:ascii="Consolas" w:hAnsi="Consolas"/>
                <w:sz w:val="17"/>
              </w:rPr>
              <w:t>70×sqrt(10)×sqrt(sqrt(10))</w:t>
            </w:r>
          </w:p>
        </w:tc>
        <w:tc>
          <w:tcPr>
            <w:tcW w:type="dxa" w:w="3740"/>
          </w:tcPr>
          <w:p>
            <w:pPr>
              <w:spacing w:after="60" w:before="40"/>
            </w:pPr>
            <w:r>
              <w:rPr>
                <w:sz w:val="17"/>
              </w:rPr>
              <w:t>Fractional exponent identity; 394 is display only</w:t>
            </w:r>
          </w:p>
        </w:tc>
      </w:tr>
      <w:tr>
        <w:tc>
          <w:tcPr>
            <w:tcW w:type="dxa" w:w="3740"/>
          </w:tcPr>
          <w:p>
            <w:pPr>
              <w:spacing w:after="60" w:before="40"/>
            </w:pPr>
            <w:r>
              <w:rPr>
                <w:sz w:val="17"/>
              </w:rPr>
              <w:t>E02</w:t>
            </w:r>
          </w:p>
        </w:tc>
        <w:tc>
          <w:tcPr>
            <w:tcW w:type="dxa" w:w="3740"/>
          </w:tcPr>
          <w:p>
            <w:pPr>
              <w:spacing w:after="60" w:before="40"/>
            </w:pPr>
            <w:r>
              <w:rPr>
                <w:sz w:val="17"/>
              </w:rPr>
              <w:t>W4, age 3 mo, growing, AAHA</w:t>
            </w:r>
          </w:p>
        </w:tc>
        <w:tc>
          <w:tcPr>
            <w:tcW w:type="dxa" w:w="3740"/>
          </w:tcPr>
          <w:p>
            <w:pPr>
              <w:spacing w:after="60" w:before="40"/>
            </w:pPr>
            <w:r>
              <w:rPr>
                <w:sz w:val="17"/>
              </w:rPr>
              <w:t>RER 197.9898987; ×3=593.9696962 kcal</w:t>
            </w:r>
          </w:p>
        </w:tc>
        <w:tc>
          <w:tcPr>
            <w:tcW w:type="dxa" w:w="3740"/>
          </w:tcPr>
          <w:p>
            <w:pPr>
              <w:spacing w:after="60" w:before="40"/>
            </w:pPr>
            <w:r>
              <w:rPr>
                <w:sz w:val="17"/>
              </w:rPr>
              <w:t>Younger growing estimate</w:t>
            </w:r>
          </w:p>
        </w:tc>
      </w:tr>
      <w:tr>
        <w:tc>
          <w:tcPr>
            <w:tcW w:type="dxa" w:w="3740"/>
          </w:tcPr>
          <w:p>
            <w:pPr>
              <w:spacing w:after="60" w:before="40"/>
            </w:pPr>
            <w:r>
              <w:rPr>
                <w:sz w:val="17"/>
              </w:rPr>
              <w:t>E03</w:t>
            </w:r>
          </w:p>
        </w:tc>
        <w:tc>
          <w:tcPr>
            <w:tcW w:type="dxa" w:w="3740"/>
          </w:tcPr>
          <w:p>
            <w:pPr>
              <w:spacing w:after="60" w:before="40"/>
            </w:pPr>
            <w:r>
              <w:rPr>
                <w:sz w:val="17"/>
              </w:rPr>
              <w:t>W8, age 8 mo, growing, AAHA</w:t>
            </w:r>
          </w:p>
        </w:tc>
        <w:tc>
          <w:tcPr>
            <w:tcW w:type="dxa" w:w="3740"/>
          </w:tcPr>
          <w:p>
            <w:pPr>
              <w:spacing w:after="60" w:before="40"/>
            </w:pPr>
            <w:r>
              <w:rPr>
                <w:sz w:val="17"/>
              </w:rPr>
              <w:t>RER 332.9779922; ×2=665.9559844 kcal</w:t>
            </w:r>
          </w:p>
        </w:tc>
        <w:tc>
          <w:tcPr>
            <w:tcW w:type="dxa" w:w="3740"/>
          </w:tcPr>
          <w:p>
            <w:pPr>
              <w:spacing w:after="60" w:before="40"/>
            </w:pPr>
            <w:r>
              <w:rPr>
                <w:sz w:val="17"/>
              </w:rPr>
              <w:t>Older growing estimate</w:t>
            </w:r>
          </w:p>
        </w:tc>
      </w:tr>
      <w:tr>
        <w:tc>
          <w:tcPr>
            <w:tcW w:type="dxa" w:w="3740"/>
          </w:tcPr>
          <w:p>
            <w:pPr>
              <w:spacing w:after="60" w:before="40"/>
            </w:pPr>
            <w:r>
              <w:rPr>
                <w:sz w:val="17"/>
              </w:rPr>
              <w:t>E04</w:t>
            </w:r>
          </w:p>
        </w:tc>
        <w:tc>
          <w:tcPr>
            <w:tcW w:type="dxa" w:w="3740"/>
          </w:tcPr>
          <w:p>
            <w:pPr>
              <w:spacing w:after="60" w:before="40"/>
            </w:pPr>
            <w:r>
              <w:rPr>
                <w:sz w:val="17"/>
              </w:rPr>
              <w:t>W10, neutered ordinary, default 1.4</w:t>
            </w:r>
          </w:p>
        </w:tc>
        <w:tc>
          <w:tcPr>
            <w:tcW w:type="dxa" w:w="3740"/>
          </w:tcPr>
          <w:p>
            <w:pPr>
              <w:spacing w:after="60" w:before="40"/>
            </w:pPr>
            <w:r>
              <w:rPr>
                <w:sz w:val="17"/>
              </w:rPr>
              <w:t>551.0944987 kcal; no extra modifier</w:t>
            </w:r>
          </w:p>
        </w:tc>
        <w:tc>
          <w:tcPr>
            <w:tcW w:type="dxa" w:w="3740"/>
          </w:tcPr>
          <w:p>
            <w:pPr>
              <w:spacing w:after="60" w:before="40"/>
            </w:pPr>
            <w:r>
              <w:rPr>
                <w:sz w:val="17"/>
              </w:rPr>
              <w:t>Published range plus explicit product default</w:t>
            </w:r>
          </w:p>
        </w:tc>
      </w:tr>
      <w:tr>
        <w:tc>
          <w:tcPr>
            <w:tcW w:type="dxa" w:w="3740"/>
          </w:tcPr>
          <w:p>
            <w:pPr>
              <w:spacing w:after="60" w:before="40"/>
            </w:pPr>
            <w:r>
              <w:rPr>
                <w:sz w:val="17"/>
              </w:rPr>
              <w:t>E05</w:t>
            </w:r>
          </w:p>
        </w:tc>
        <w:tc>
          <w:tcPr>
            <w:tcW w:type="dxa" w:w="3740"/>
          </w:tcPr>
          <w:p>
            <w:pPr>
              <w:spacing w:after="60" w:before="40"/>
            </w:pPr>
            <w:r>
              <w:rPr>
                <w:sz w:val="17"/>
              </w:rPr>
              <w:t>W10, intact ordinary, default 1.6</w:t>
            </w:r>
          </w:p>
        </w:tc>
        <w:tc>
          <w:tcPr>
            <w:tcW w:type="dxa" w:w="3740"/>
          </w:tcPr>
          <w:p>
            <w:pPr>
              <w:spacing w:after="60" w:before="40"/>
            </w:pPr>
            <w:r>
              <w:rPr>
                <w:sz w:val="17"/>
              </w:rPr>
              <w:t>629.8222842 kcal</w:t>
            </w:r>
          </w:p>
        </w:tc>
        <w:tc>
          <w:tcPr>
            <w:tcW w:type="dxa" w:w="3740"/>
          </w:tcPr>
          <w:p>
            <w:pPr>
              <w:spacing w:after="60" w:before="40"/>
            </w:pPr>
            <w:r>
              <w:rPr>
                <w:sz w:val="17"/>
              </w:rPr>
              <w:t>Method identifies chosen lower-end starting value</w:t>
            </w:r>
          </w:p>
        </w:tc>
      </w:tr>
      <w:tr>
        <w:tc>
          <w:tcPr>
            <w:tcW w:type="dxa" w:w="3740"/>
          </w:tcPr>
          <w:p>
            <w:pPr>
              <w:spacing w:after="60" w:before="40"/>
            </w:pPr>
            <w:r>
              <w:rPr>
                <w:sz w:val="17"/>
              </w:rPr>
              <w:t>E06</w:t>
            </w:r>
          </w:p>
        </w:tc>
        <w:tc>
          <w:tcPr>
            <w:tcW w:type="dxa" w:w="3740"/>
          </w:tcPr>
          <w:p>
            <w:pPr>
              <w:spacing w:after="60" w:before="40"/>
            </w:pPr>
            <w:r>
              <w:rPr>
                <w:sz w:val="17"/>
              </w:rPr>
              <w:t>W25, light-work method 2, neutered</w:t>
            </w:r>
          </w:p>
        </w:tc>
        <w:tc>
          <w:tcPr>
            <w:tcW w:type="dxa" w:w="3740"/>
          </w:tcPr>
          <w:p>
            <w:pPr>
              <w:spacing w:after="60" w:before="40"/>
            </w:pPr>
            <w:r>
              <w:rPr>
                <w:sz w:val="17"/>
              </w:rPr>
              <w:t xml:space="preserve">1565.2475842 kcal, </w:t>
            </w:r>
            <w:r>
              <w:rPr>
                <w:b/>
                <w:sz w:val="17"/>
              </w:rPr>
              <w:t>not</w:t>
            </w:r>
            <w:r>
              <w:rPr>
                <w:sz w:val="17"/>
              </w:rPr>
              <w:t xml:space="preserve"> 2504.3961348</w:t>
            </w:r>
          </w:p>
        </w:tc>
        <w:tc>
          <w:tcPr>
            <w:tcW w:type="dxa" w:w="3740"/>
          </w:tcPr>
          <w:p>
            <w:pPr>
              <w:spacing w:after="60" w:before="40"/>
            </w:pPr>
            <w:r>
              <w:rPr>
                <w:sz w:val="17"/>
              </w:rPr>
              <w:t>One context method replaces adult modifier</w:t>
            </w:r>
          </w:p>
        </w:tc>
      </w:tr>
      <w:tr>
        <w:tc>
          <w:tcPr>
            <w:tcW w:type="dxa" w:w="3740"/>
          </w:tcPr>
          <w:p>
            <w:pPr>
              <w:spacing w:after="60" w:before="40"/>
            </w:pPr>
            <w:r>
              <w:rPr>
                <w:sz w:val="17"/>
              </w:rPr>
              <w:t>E07</w:t>
            </w:r>
          </w:p>
        </w:tc>
        <w:tc>
          <w:tcPr>
            <w:tcW w:type="dxa" w:w="3740"/>
          </w:tcPr>
          <w:p>
            <w:pPr>
              <w:spacing w:after="60" w:before="40"/>
            </w:pPr>
            <w:r>
              <w:rPr>
                <w:sz w:val="17"/>
              </w:rPr>
              <w:t>Current 25, clinician ideal 20, loss 1</w:t>
            </w:r>
          </w:p>
        </w:tc>
        <w:tc>
          <w:tcPr>
            <w:tcW w:type="dxa" w:w="3740"/>
          </w:tcPr>
          <w:p>
            <w:pPr>
              <w:spacing w:after="60" w:before="40"/>
            </w:pPr>
            <w:r>
              <w:rPr>
                <w:sz w:val="17"/>
              </w:rPr>
              <w:t>RER basis 20→662.0191263 kcal</w:t>
            </w:r>
          </w:p>
        </w:tc>
        <w:tc>
          <w:tcPr>
            <w:tcW w:type="dxa" w:w="3740"/>
          </w:tcPr>
          <w:p>
            <w:pPr>
              <w:spacing w:after="60" w:before="40"/>
            </w:pPr>
            <w:r>
              <w:rPr>
                <w:sz w:val="17"/>
              </w:rPr>
              <w:t>Uses verified ideal mass, not current mass</w:t>
            </w:r>
          </w:p>
        </w:tc>
      </w:tr>
      <w:tr>
        <w:tc>
          <w:tcPr>
            <w:tcW w:type="dxa" w:w="3740"/>
          </w:tcPr>
          <w:p>
            <w:pPr>
              <w:spacing w:after="60" w:before="40"/>
            </w:pPr>
            <w:r>
              <w:rPr>
                <w:sz w:val="17"/>
              </w:rPr>
              <w:t>E08</w:t>
            </w:r>
          </w:p>
        </w:tc>
        <w:tc>
          <w:tcPr>
            <w:tcW w:type="dxa" w:w="3740"/>
          </w:tcPr>
          <w:p>
            <w:pPr>
              <w:spacing w:after="60" w:before="40"/>
            </w:pPr>
            <w:r>
              <w:rPr>
                <w:sz w:val="17"/>
              </w:rPr>
              <w:t>Loss goal, missing/unverified ideal mass</w:t>
            </w:r>
          </w:p>
        </w:tc>
        <w:tc>
          <w:tcPr>
            <w:tcW w:type="dxa" w:w="3740"/>
          </w:tcPr>
          <w:p>
            <w:pPr>
              <w:spacing w:after="60" w:before="40"/>
            </w:pPr>
            <w:r>
              <w:rPr>
                <w:rFonts w:ascii="Consolas" w:hAnsi="Consolas"/>
                <w:sz w:val="17"/>
              </w:rPr>
              <w:t>IDEAL_WEIGHT_REQUIRED</w:t>
            </w:r>
            <w:r>
              <w:rPr>
                <w:sz w:val="17"/>
              </w:rPr>
              <w:t>; no target</w:t>
            </w:r>
          </w:p>
        </w:tc>
        <w:tc>
          <w:tcPr>
            <w:tcW w:type="dxa" w:w="3740"/>
          </w:tcPr>
          <w:p>
            <w:pPr>
              <w:spacing w:after="60" w:before="40"/>
            </w:pPr>
            <w:r>
              <w:rPr>
                <w:sz w:val="17"/>
              </w:rPr>
              <w:t>No inferred breed/BCS weight</w:t>
            </w:r>
          </w:p>
        </w:tc>
      </w:tr>
      <w:tr>
        <w:tc>
          <w:tcPr>
            <w:tcW w:type="dxa" w:w="3740"/>
          </w:tcPr>
          <w:p>
            <w:pPr>
              <w:spacing w:after="60" w:before="40"/>
            </w:pPr>
            <w:r>
              <w:rPr>
                <w:sz w:val="17"/>
              </w:rPr>
              <w:t>E09</w:t>
            </w:r>
          </w:p>
        </w:tc>
        <w:tc>
          <w:tcPr>
            <w:tcW w:type="dxa" w:w="3740"/>
          </w:tcPr>
          <w:p>
            <w:pPr>
              <w:spacing w:after="60" w:before="40"/>
            </w:pPr>
            <w:r>
              <w:rPr>
                <w:sz w:val="17"/>
              </w:rPr>
              <w:t>Senior W10, otherwise E04 profile</w:t>
            </w:r>
          </w:p>
        </w:tc>
        <w:tc>
          <w:tcPr>
            <w:tcW w:type="dxa" w:w="3740"/>
          </w:tcPr>
          <w:p>
            <w:pPr>
              <w:spacing w:after="60" w:before="40"/>
            </w:pPr>
            <w:r>
              <w:rPr>
                <w:sz w:val="17"/>
              </w:rPr>
              <w:t>Same 551.0944987 kcal, no age multiplier</w:t>
            </w:r>
          </w:p>
        </w:tc>
        <w:tc>
          <w:tcPr>
            <w:tcW w:type="dxa" w:w="3740"/>
          </w:tcPr>
          <w:p>
            <w:pPr>
              <w:spacing w:after="60" w:before="40"/>
            </w:pPr>
            <w:r>
              <w:rPr>
                <w:sz w:val="17"/>
              </w:rPr>
              <w:t>Age alone does not prescribe decrease</w:t>
            </w:r>
          </w:p>
        </w:tc>
      </w:tr>
      <w:tr>
        <w:tc>
          <w:tcPr>
            <w:tcW w:type="dxa" w:w="3740"/>
          </w:tcPr>
          <w:p>
            <w:pPr>
              <w:spacing w:after="60" w:before="40"/>
            </w:pPr>
            <w:r>
              <w:rPr>
                <w:sz w:val="17"/>
              </w:rPr>
              <w:t>E10</w:t>
            </w:r>
          </w:p>
        </w:tc>
        <w:tc>
          <w:tcPr>
            <w:tcW w:type="dxa" w:w="3740"/>
          </w:tcPr>
          <w:p>
            <w:pPr>
              <w:spacing w:after="60" w:before="40"/>
            </w:pPr>
            <w:r>
              <w:rPr>
                <w:sz w:val="17"/>
              </w:rPr>
              <w:t>Pregnant intact +AAHA last 21 day method 3</w:t>
            </w:r>
          </w:p>
        </w:tc>
        <w:tc>
          <w:tcPr>
            <w:tcW w:type="dxa" w:w="3740"/>
          </w:tcPr>
          <w:p>
            <w:pPr>
              <w:spacing w:after="60" w:before="40"/>
            </w:pPr>
            <w:r>
              <w:rPr>
                <w:sz w:val="17"/>
              </w:rPr>
              <w:t>Exactly 3×RER if supervised; reject attempted additional intact factor</w:t>
            </w:r>
          </w:p>
        </w:tc>
        <w:tc>
          <w:tcPr>
            <w:tcW w:type="dxa" w:w="3740"/>
          </w:tcPr>
          <w:p>
            <w:pPr>
              <w:spacing w:after="60" w:before="40"/>
            </w:pPr>
            <w:r>
              <w:rPr>
                <w:sz w:val="17"/>
              </w:rPr>
              <w:t>Reproduction precedence</w:t>
            </w:r>
          </w:p>
        </w:tc>
      </w:tr>
      <w:tr>
        <w:tc>
          <w:tcPr>
            <w:tcW w:type="dxa" w:w="3740"/>
          </w:tcPr>
          <w:p>
            <w:pPr>
              <w:spacing w:after="60" w:before="40"/>
            </w:pPr>
            <w:r>
              <w:rPr>
                <w:sz w:val="17"/>
              </w:rPr>
              <w:t>E11</w:t>
            </w:r>
          </w:p>
        </w:tc>
        <w:tc>
          <w:tcPr>
            <w:tcW w:type="dxa" w:w="3740"/>
          </w:tcPr>
          <w:p>
            <w:pPr>
              <w:spacing w:after="60" w:before="40"/>
            </w:pPr>
            <w:r>
              <w:rPr>
                <w:sz w:val="17"/>
              </w:rPr>
              <w:t>W10, n4, lactation week 3, L1.1</w:t>
            </w:r>
          </w:p>
        </w:tc>
        <w:tc>
          <w:tcPr>
            <w:tcW w:type="dxa" w:w="3740"/>
          </w:tcPr>
          <w:p>
            <w:pPr>
              <w:spacing w:after="60" w:before="40"/>
            </w:pPr>
            <w:r>
              <w:rPr>
                <w:sz w:val="17"/>
              </w:rPr>
              <w:t xml:space="preserve">1871.3949215 kcal; </w:t>
            </w:r>
            <w:r>
              <w:rPr>
                <w:rFonts w:ascii="Consolas" w:hAnsi="Consolas"/>
                <w:sz w:val="17"/>
              </w:rPr>
              <w:t>145×5.62341325+1056</w:t>
            </w:r>
          </w:p>
        </w:tc>
        <w:tc>
          <w:tcPr>
            <w:tcW w:type="dxa" w:w="3740"/>
          </w:tcPr>
          <w:p>
            <w:pPr>
              <w:spacing w:after="60" w:before="40"/>
            </w:pPr>
            <w:r>
              <w:rPr>
                <w:sz w:val="17"/>
              </w:rPr>
              <w:t>Valid FEDIAF domain</w:t>
            </w:r>
          </w:p>
        </w:tc>
      </w:tr>
      <w:tr>
        <w:tc>
          <w:tcPr>
            <w:tcW w:type="dxa" w:w="3740"/>
          </w:tcPr>
          <w:p>
            <w:pPr>
              <w:spacing w:after="60" w:before="40"/>
            </w:pPr>
            <w:r>
              <w:rPr>
                <w:sz w:val="17"/>
              </w:rPr>
              <w:t>E12</w:t>
            </w:r>
          </w:p>
        </w:tc>
        <w:tc>
          <w:tcPr>
            <w:tcW w:type="dxa" w:w="3740"/>
          </w:tcPr>
          <w:p>
            <w:pPr>
              <w:spacing w:after="60" w:before="40"/>
            </w:pPr>
            <w:r>
              <w:rPr>
                <w:sz w:val="17"/>
              </w:rPr>
              <w:t>W10, n5, week 3</w:t>
            </w:r>
          </w:p>
        </w:tc>
        <w:tc>
          <w:tcPr>
            <w:tcW w:type="dxa" w:w="3740"/>
          </w:tcPr>
          <w:p>
            <w:pPr>
              <w:spacing w:after="60" w:before="40"/>
            </w:pPr>
            <w:r>
              <w:rPr>
                <w:rFonts w:ascii="Consolas" w:hAnsi="Consolas"/>
                <w:sz w:val="17"/>
              </w:rPr>
              <w:t>145×10^.75+(96+12)×10×1.1=2003.3949215kcal</w:t>
            </w:r>
          </w:p>
        </w:tc>
        <w:tc>
          <w:tcPr>
            <w:tcW w:type="dxa" w:w="3740"/>
          </w:tcPr>
          <w:p>
            <w:pPr>
              <w:spacing w:after="60" w:before="40"/>
            </w:pPr>
            <w:r>
              <w:rPr>
                <w:sz w:val="17"/>
              </w:rPr>
              <w:t>Corrected n−4 second branch</w:t>
            </w:r>
          </w:p>
        </w:tc>
      </w:tr>
      <w:tr>
        <w:tc>
          <w:tcPr>
            <w:tcW w:type="dxa" w:w="3740"/>
          </w:tcPr>
          <w:p>
            <w:pPr>
              <w:spacing w:after="60" w:before="40"/>
            </w:pPr>
            <w:r>
              <w:rPr>
                <w:sz w:val="17"/>
              </w:rPr>
              <w:t>E13</w:t>
            </w:r>
          </w:p>
        </w:tc>
        <w:tc>
          <w:tcPr>
            <w:tcW w:type="dxa" w:w="3740"/>
          </w:tcPr>
          <w:p>
            <w:pPr>
              <w:spacing w:after="60" w:before="40"/>
            </w:pPr>
            <w:r>
              <w:rPr>
                <w:sz w:val="17"/>
              </w:rPr>
              <w:t>Lactation n 0/n9 or week 5</w:t>
            </w:r>
          </w:p>
        </w:tc>
        <w:tc>
          <w:tcPr>
            <w:tcW w:type="dxa" w:w="3740"/>
          </w:tcPr>
          <w:p>
            <w:pPr>
              <w:spacing w:after="60" w:before="40"/>
            </w:pPr>
            <w:r>
              <w:rPr>
                <w:rFonts w:ascii="Consolas" w:hAnsi="Consolas"/>
                <w:sz w:val="17"/>
              </w:rPr>
              <w:t>METHOD_OUT_OF_DOMAIN</w:t>
            </w:r>
          </w:p>
        </w:tc>
        <w:tc>
          <w:tcPr>
            <w:tcW w:type="dxa" w:w="3740"/>
          </w:tcPr>
          <w:p>
            <w:pPr>
              <w:spacing w:after="60" w:before="40"/>
            </w:pPr>
            <w:r>
              <w:rPr>
                <w:sz w:val="17"/>
              </w:rPr>
              <w:t>No unsupported extrapolation/clamping</w:t>
            </w:r>
          </w:p>
        </w:tc>
      </w:tr>
      <w:tr>
        <w:tc>
          <w:tcPr>
            <w:tcW w:type="dxa" w:w="3740"/>
          </w:tcPr>
          <w:p>
            <w:pPr>
              <w:spacing w:after="60" w:before="40"/>
            </w:pPr>
            <w:r>
              <w:rPr>
                <w:sz w:val="17"/>
              </w:rPr>
              <w:t>E14</w:t>
            </w:r>
          </w:p>
        </w:tc>
        <w:tc>
          <w:tcPr>
            <w:tcW w:type="dxa" w:w="3740"/>
          </w:tcPr>
          <w:p>
            <w:pPr>
              <w:spacing w:after="60" w:before="40"/>
            </w:pPr>
            <w:r>
              <w:rPr>
                <w:sz w:val="17"/>
              </w:rPr>
              <w:t>Growth W4, A12, FEDIAF</w:t>
            </w:r>
          </w:p>
        </w:tc>
        <w:tc>
          <w:tcPr>
            <w:tcW w:type="dxa" w:w="3740"/>
          </w:tcPr>
          <w:p>
            <w:pPr>
              <w:spacing w:after="60" w:before="40"/>
            </w:pPr>
            <w:r>
              <w:rPr>
                <w:sz w:val="17"/>
              </w:rPr>
              <w:t xml:space="preserve">591.4241118 kcal; </w:t>
            </w:r>
            <w:r>
              <w:rPr>
                <w:rFonts w:ascii="Consolas" w:hAnsi="Consolas"/>
                <w:sz w:val="17"/>
              </w:rPr>
              <w:t>(254.1−45)×4^.75</w:t>
            </w:r>
          </w:p>
        </w:tc>
        <w:tc>
          <w:tcPr>
            <w:tcW w:type="dxa" w:w="3740"/>
          </w:tcPr>
          <w:p>
            <w:pPr>
              <w:spacing w:after="60" w:before="40"/>
            </w:pPr>
            <w:r>
              <w:rPr>
                <w:sz w:val="17"/>
              </w:rPr>
              <w:t>Different named growth method, not AAHA average</w:t>
            </w:r>
          </w:p>
        </w:tc>
      </w:tr>
      <w:tr>
        <w:tc>
          <w:tcPr>
            <w:tcW w:type="dxa" w:w="3740"/>
          </w:tcPr>
          <w:p>
            <w:pPr>
              <w:spacing w:after="60" w:before="40"/>
            </w:pPr>
            <w:r>
              <w:rPr>
                <w:sz w:val="17"/>
              </w:rPr>
              <w:t>E15</w:t>
            </w:r>
          </w:p>
        </w:tc>
        <w:tc>
          <w:tcPr>
            <w:tcW w:type="dxa" w:w="3740"/>
          </w:tcPr>
          <w:p>
            <w:pPr>
              <w:spacing w:after="60" w:before="40"/>
            </w:pPr>
            <w:r>
              <w:rPr>
                <w:sz w:val="17"/>
              </w:rPr>
              <w:t>Growth W8, A12, FEDIAF</w:t>
            </w:r>
          </w:p>
        </w:tc>
        <w:tc>
          <w:tcPr>
            <w:tcW w:type="dxa" w:w="3740"/>
          </w:tcPr>
          <w:p>
            <w:pPr>
              <w:spacing w:after="60" w:before="40"/>
            </w:pPr>
            <w:r>
              <w:rPr>
                <w:sz w:val="17"/>
              </w:rPr>
              <w:t xml:space="preserve">780.5955503 kcal; </w:t>
            </w:r>
            <w:r>
              <w:rPr>
                <w:rFonts w:ascii="Consolas" w:hAnsi="Consolas"/>
                <w:sz w:val="17"/>
              </w:rPr>
              <w:t>(254.1−90)×8^.75</w:t>
            </w:r>
          </w:p>
        </w:tc>
        <w:tc>
          <w:tcPr>
            <w:tcW w:type="dxa" w:w="3740"/>
          </w:tcPr>
          <w:p>
            <w:pPr>
              <w:spacing w:after="60" w:before="40"/>
            </w:pPr>
            <w:r>
              <w:rPr>
                <w:sz w:val="17"/>
              </w:rPr>
              <w:t>Older puppy formula independently evaluated</w:t>
            </w:r>
          </w:p>
        </w:tc>
      </w:tr>
      <w:tr>
        <w:tc>
          <w:tcPr>
            <w:tcW w:type="dxa" w:w="3740"/>
          </w:tcPr>
          <w:p>
            <w:pPr>
              <w:spacing w:after="60" w:before="40"/>
            </w:pPr>
            <w:r>
              <w:rPr>
                <w:sz w:val="17"/>
              </w:rPr>
              <w:t>E16</w:t>
            </w:r>
          </w:p>
        </w:tc>
        <w:tc>
          <w:tcPr>
            <w:tcW w:type="dxa" w:w="3740"/>
          </w:tcPr>
          <w:p>
            <w:pPr>
              <w:spacing w:after="60" w:before="40"/>
            </w:pPr>
            <w:r>
              <w:rPr>
                <w:sz w:val="17"/>
              </w:rPr>
              <w:t>FEDIAF growth age 13 mo or A unknown/W&gt;A</w:t>
            </w:r>
          </w:p>
        </w:tc>
        <w:tc>
          <w:tcPr>
            <w:tcW w:type="dxa" w:w="3740"/>
          </w:tcPr>
          <w:p>
            <w:pPr>
              <w:spacing w:after="60" w:before="40"/>
            </w:pPr>
            <w:r>
              <w:rPr>
                <w:rFonts w:ascii="Consolas" w:hAnsi="Consolas"/>
                <w:sz w:val="17"/>
              </w:rPr>
              <w:t>METHOD_OUT_OF_DOMAIN</w:t>
            </w:r>
          </w:p>
        </w:tc>
        <w:tc>
          <w:tcPr>
            <w:tcW w:type="dxa" w:w="3740"/>
          </w:tcPr>
          <w:p>
            <w:pPr>
              <w:spacing w:after="60" w:before="40"/>
            </w:pPr>
            <w:r>
              <w:rPr>
                <w:sz w:val="17"/>
              </w:rPr>
              <w:t>Size/age/uncertainty domain enforced</w:t>
            </w:r>
          </w:p>
        </w:tc>
      </w:tr>
      <w:tr>
        <w:tc>
          <w:tcPr>
            <w:tcW w:type="dxa" w:w="3740"/>
          </w:tcPr>
          <w:p>
            <w:pPr>
              <w:spacing w:after="60" w:before="40"/>
            </w:pPr>
            <w:r>
              <w:rPr>
                <w:sz w:val="17"/>
              </w:rPr>
              <w:t>E17</w:t>
            </w:r>
          </w:p>
        </w:tc>
        <w:tc>
          <w:tcPr>
            <w:tcW w:type="dxa" w:w="3740"/>
          </w:tcPr>
          <w:p>
            <w:pPr>
              <w:spacing w:after="60" w:before="40"/>
            </w:pPr>
            <w:r>
              <w:rPr>
                <w:sz w:val="17"/>
              </w:rPr>
              <w:t>Weight 0,−1, NaN, infinity or unit lb supplied to kg field</w:t>
            </w:r>
          </w:p>
        </w:tc>
        <w:tc>
          <w:tcPr>
            <w:tcW w:type="dxa" w:w="3740"/>
          </w:tcPr>
          <w:p>
            <w:pPr>
              <w:spacing w:after="60" w:before="40"/>
            </w:pPr>
            <w:r>
              <w:rPr>
                <w:sz w:val="17"/>
              </w:rPr>
              <w:t>Validation failure, no numeric result</w:t>
            </w:r>
          </w:p>
        </w:tc>
        <w:tc>
          <w:tcPr>
            <w:tcW w:type="dxa" w:w="3740"/>
          </w:tcPr>
          <w:p>
            <w:pPr>
              <w:spacing w:after="60" w:before="40"/>
            </w:pPr>
            <w:r>
              <w:rPr>
                <w:sz w:val="17"/>
              </w:rPr>
              <w:t>No invalid-power or unit leak</w:t>
            </w:r>
          </w:p>
        </w:tc>
      </w:tr>
      <w:tr>
        <w:tc>
          <w:tcPr>
            <w:tcW w:type="dxa" w:w="3740"/>
          </w:tcPr>
          <w:p>
            <w:pPr>
              <w:spacing w:after="60" w:before="40"/>
            </w:pPr>
            <w:r>
              <w:rPr>
                <w:sz w:val="17"/>
              </w:rPr>
              <w:t>E18</w:t>
            </w:r>
          </w:p>
        </w:tc>
        <w:tc>
          <w:tcPr>
            <w:tcW w:type="dxa" w:w="3740"/>
          </w:tcPr>
          <w:p>
            <w:pPr>
              <w:spacing w:after="60" w:before="40"/>
            </w:pPr>
            <w:r>
              <w:rPr>
                <w:sz w:val="17"/>
              </w:rPr>
              <w:t>Guide breeds W2.5 and W 6, factor 1.6</w:t>
            </w:r>
          </w:p>
        </w:tc>
        <w:tc>
          <w:tcPr>
            <w:tcW w:type="dxa" w:w="3740"/>
          </w:tcPr>
          <w:p>
            <w:pPr>
              <w:spacing w:after="60" w:before="40"/>
            </w:pPr>
            <w:r>
              <w:rPr>
                <w:sz w:val="17"/>
              </w:rPr>
              <w:t>222.6758041 and 429.3697661 kcal</w:t>
            </w:r>
          </w:p>
        </w:tc>
        <w:tc>
          <w:tcPr>
            <w:tcW w:type="dxa" w:w="3740"/>
          </w:tcPr>
          <w:p>
            <w:pPr>
              <w:spacing w:after="60" w:before="40"/>
            </w:pPr>
            <w:r>
              <w:rPr>
                <w:sz w:val="17"/>
              </w:rPr>
              <w:t>Guide approximate 220/430 consistent, no ideal-weight inference</w:t>
            </w:r>
          </w:p>
        </w:tc>
      </w:tr>
      <w:tr>
        <w:tc>
          <w:tcPr>
            <w:tcW w:type="dxa" w:w="3740"/>
          </w:tcPr>
          <w:p>
            <w:pPr>
              <w:spacing w:after="60" w:before="40"/>
            </w:pPr>
            <w:r>
              <w:rPr>
                <w:sz w:val="17"/>
              </w:rPr>
              <w:t>U01</w:t>
            </w:r>
          </w:p>
        </w:tc>
        <w:tc>
          <w:tcPr>
            <w:tcW w:type="dxa" w:w="3740"/>
          </w:tcPr>
          <w:p>
            <w:pPr>
              <w:spacing w:after="60" w:before="40"/>
            </w:pPr>
            <w:r>
              <w:rPr>
                <w:sz w:val="17"/>
              </w:rPr>
              <w:t>Protein 25% AF, moisture 10%</w:t>
            </w:r>
          </w:p>
        </w:tc>
        <w:tc>
          <w:tcPr>
            <w:tcW w:type="dxa" w:w="3740"/>
          </w:tcPr>
          <w:p>
            <w:pPr>
              <w:spacing w:after="60" w:before="40"/>
            </w:pPr>
            <w:r>
              <w:rPr>
                <w:sz w:val="17"/>
              </w:rPr>
              <w:t xml:space="preserve">DM 90%; protein 27.7777778% DM; </w:t>
            </w:r>
            <w:r>
              <w:rPr>
                <w:rFonts w:ascii="Consolas" w:hAnsi="Consolas"/>
                <w:sz w:val="17"/>
              </w:rPr>
              <w:t>25/.9</w:t>
            </w:r>
          </w:p>
        </w:tc>
        <w:tc>
          <w:tcPr>
            <w:tcW w:type="dxa" w:w="3740"/>
          </w:tcPr>
          <w:p>
            <w:pPr>
              <w:spacing w:after="60" w:before="40"/>
            </w:pPr>
            <w:r>
              <w:rPr>
                <w:sz w:val="17"/>
              </w:rPr>
              <w:t>Prevent 100-fold error</w:t>
            </w:r>
          </w:p>
        </w:tc>
      </w:tr>
      <w:tr>
        <w:tc>
          <w:tcPr>
            <w:tcW w:type="dxa" w:w="3740"/>
          </w:tcPr>
          <w:p>
            <w:pPr>
              <w:spacing w:after="60" w:before="40"/>
            </w:pPr>
            <w:r>
              <w:rPr>
                <w:sz w:val="17"/>
              </w:rPr>
              <w:t>U02</w:t>
            </w:r>
          </w:p>
        </w:tc>
        <w:tc>
          <w:tcPr>
            <w:tcW w:type="dxa" w:w="3740"/>
          </w:tcPr>
          <w:p>
            <w:pPr>
              <w:spacing w:after="60" w:before="40"/>
            </w:pPr>
            <w:r>
              <w:rPr>
                <w:sz w:val="17"/>
              </w:rPr>
              <w:t>Protein 10% AF, moisture 75%</w:t>
            </w:r>
          </w:p>
        </w:tc>
        <w:tc>
          <w:tcPr>
            <w:tcW w:type="dxa" w:w="3740"/>
          </w:tcPr>
          <w:p>
            <w:pPr>
              <w:spacing w:after="60" w:before="40"/>
            </w:pPr>
            <w:r>
              <w:rPr>
                <w:sz w:val="17"/>
              </w:rPr>
              <w:t xml:space="preserve">Protein 40% DM; </w:t>
            </w:r>
            <w:r>
              <w:rPr>
                <w:rFonts w:ascii="Consolas" w:hAnsi="Consolas"/>
                <w:sz w:val="17"/>
              </w:rPr>
              <w:t>10/.25</w:t>
            </w:r>
          </w:p>
        </w:tc>
        <w:tc>
          <w:tcPr>
            <w:tcW w:type="dxa" w:w="3740"/>
          </w:tcPr>
          <w:p>
            <w:pPr>
              <w:spacing w:after="60" w:before="40"/>
            </w:pPr>
            <w:r>
              <w:rPr>
                <w:sz w:val="17"/>
              </w:rPr>
              <w:t>Wet-versus-dry basis</w:t>
            </w:r>
          </w:p>
        </w:tc>
      </w:tr>
      <w:tr>
        <w:tc>
          <w:tcPr>
            <w:tcW w:type="dxa" w:w="3740"/>
          </w:tcPr>
          <w:p>
            <w:pPr>
              <w:spacing w:after="60" w:before="40"/>
            </w:pPr>
            <w:r>
              <w:rPr>
                <w:sz w:val="17"/>
              </w:rPr>
              <w:t>U03</w:t>
            </w:r>
          </w:p>
        </w:tc>
        <w:tc>
          <w:tcPr>
            <w:tcW w:type="dxa" w:w="3740"/>
          </w:tcPr>
          <w:p>
            <w:pPr>
              <w:spacing w:after="60" w:before="40"/>
            </w:pPr>
            <w:r>
              <w:rPr>
                <w:sz w:val="17"/>
              </w:rPr>
              <w:t>Moisture 100/unknown</w:t>
            </w:r>
          </w:p>
        </w:tc>
        <w:tc>
          <w:tcPr>
            <w:tcW w:type="dxa" w:w="3740"/>
          </w:tcPr>
          <w:p>
            <w:pPr>
              <w:spacing w:after="60" w:before="40"/>
            </w:pPr>
            <w:r>
              <w:rPr>
                <w:sz w:val="17"/>
              </w:rPr>
              <w:t>Zero-DM invalid conversion/unknown, not division by zero or invented 90%</w:t>
            </w:r>
          </w:p>
        </w:tc>
        <w:tc>
          <w:tcPr>
            <w:tcW w:type="dxa" w:w="3740"/>
          </w:tcPr>
          <w:p>
            <w:pPr>
              <w:spacing w:after="60" w:before="40"/>
            </w:pPr>
            <w:r>
              <w:rPr>
                <w:sz w:val="17"/>
              </w:rPr>
              <w:t>Missing/impossible basis</w:t>
            </w:r>
          </w:p>
        </w:tc>
      </w:tr>
      <w:tr>
        <w:tc>
          <w:tcPr>
            <w:tcW w:type="dxa" w:w="3740"/>
          </w:tcPr>
          <w:p>
            <w:pPr>
              <w:spacing w:after="60" w:before="40"/>
            </w:pPr>
            <w:r>
              <w:rPr>
                <w:sz w:val="17"/>
              </w:rPr>
              <w:t>U04</w:t>
            </w:r>
          </w:p>
        </w:tc>
        <w:tc>
          <w:tcPr>
            <w:tcW w:type="dxa" w:w="3740"/>
          </w:tcPr>
          <w:p>
            <w:pPr>
              <w:spacing w:after="60" w:before="40"/>
            </w:pPr>
            <w:r>
              <w:rPr>
                <w:sz w:val="17"/>
              </w:rPr>
              <w:t>Protein 25 g/100 g, ME 370 kcal/100 g</w:t>
            </w:r>
          </w:p>
        </w:tc>
        <w:tc>
          <w:tcPr>
            <w:tcW w:type="dxa" w:w="3740"/>
          </w:tcPr>
          <w:p>
            <w:pPr>
              <w:spacing w:after="60" w:before="40"/>
            </w:pPr>
            <w:r>
              <w:rPr>
                <w:sz w:val="17"/>
              </w:rPr>
              <w:t>67.5675676 g/1000 kcal</w:t>
            </w:r>
          </w:p>
        </w:tc>
        <w:tc>
          <w:tcPr>
            <w:tcW w:type="dxa" w:w="3740"/>
          </w:tcPr>
          <w:p>
            <w:pPr>
              <w:spacing w:after="60" w:before="40"/>
            </w:pPr>
            <w:r>
              <w:rPr>
                <w:rFonts w:ascii="Consolas" w:hAnsi="Consolas"/>
                <w:sz w:val="17"/>
              </w:rPr>
              <w:t>25×1000/370</w:t>
            </w:r>
          </w:p>
        </w:tc>
      </w:tr>
      <w:tr>
        <w:tc>
          <w:tcPr>
            <w:tcW w:type="dxa" w:w="3740"/>
          </w:tcPr>
          <w:p>
            <w:pPr>
              <w:spacing w:after="60" w:before="40"/>
            </w:pPr>
            <w:r>
              <w:rPr>
                <w:sz w:val="17"/>
              </w:rPr>
              <w:t>U05</w:t>
            </w:r>
          </w:p>
        </w:tc>
        <w:tc>
          <w:tcPr>
            <w:tcW w:type="dxa" w:w="3740"/>
          </w:tcPr>
          <w:p>
            <w:pPr>
              <w:spacing w:after="60" w:before="40"/>
            </w:pPr>
            <w:r>
              <w:rPr>
                <w:sz w:val="17"/>
              </w:rPr>
              <w:t>Protein 45 g/1000, E629.8222842</w:t>
            </w:r>
          </w:p>
        </w:tc>
        <w:tc>
          <w:tcPr>
            <w:tcW w:type="dxa" w:w="3740"/>
          </w:tcPr>
          <w:p>
            <w:pPr>
              <w:spacing w:after="60" w:before="40"/>
            </w:pPr>
            <w:r>
              <w:rPr>
                <w:sz w:val="17"/>
              </w:rPr>
              <w:t>28.3420028 g/day</w:t>
            </w:r>
          </w:p>
        </w:tc>
        <w:tc>
          <w:tcPr>
            <w:tcW w:type="dxa" w:w="3740"/>
          </w:tcPr>
          <w:p>
            <w:pPr>
              <w:spacing w:after="60" w:before="40"/>
            </w:pPr>
            <w:r>
              <w:rPr>
                <w:rFonts w:ascii="Consolas" w:hAnsi="Consolas"/>
                <w:sz w:val="17"/>
              </w:rPr>
              <w:t>45×E/1000</w:t>
            </w:r>
          </w:p>
        </w:tc>
      </w:tr>
      <w:tr>
        <w:tc>
          <w:tcPr>
            <w:tcW w:type="dxa" w:w="3740"/>
          </w:tcPr>
          <w:p>
            <w:pPr>
              <w:spacing w:after="60" w:before="40"/>
            </w:pPr>
            <w:r>
              <w:rPr>
                <w:sz w:val="17"/>
              </w:rPr>
              <w:t>U06</w:t>
            </w:r>
          </w:p>
        </w:tc>
        <w:tc>
          <w:tcPr>
            <w:tcW w:type="dxa" w:w="3740"/>
          </w:tcPr>
          <w:p>
            <w:pPr>
              <w:spacing w:after="60" w:before="40"/>
            </w:pPr>
            <w:r>
              <w:rPr>
                <w:sz w:val="17"/>
              </w:rPr>
              <w:t>Fat 13.75 g/1000, same E</w:t>
            </w:r>
          </w:p>
        </w:tc>
        <w:tc>
          <w:tcPr>
            <w:tcW w:type="dxa" w:w="3740"/>
          </w:tcPr>
          <w:p>
            <w:pPr>
              <w:spacing w:after="60" w:before="40"/>
            </w:pPr>
            <w:r>
              <w:rPr>
                <w:sz w:val="17"/>
              </w:rPr>
              <w:t>8.6600564 g/day</w:t>
            </w:r>
          </w:p>
        </w:tc>
        <w:tc>
          <w:tcPr>
            <w:tcW w:type="dxa" w:w="3740"/>
          </w:tcPr>
          <w:p>
            <w:pPr>
              <w:spacing w:after="60" w:before="40"/>
            </w:pPr>
            <w:r>
              <w:rPr>
                <w:sz w:val="17"/>
              </w:rPr>
              <w:t>Correct gram concentration; no percent/day confusion</w:t>
            </w:r>
          </w:p>
        </w:tc>
      </w:tr>
      <w:tr>
        <w:tc>
          <w:tcPr>
            <w:tcW w:type="dxa" w:w="3740"/>
          </w:tcPr>
          <w:p>
            <w:pPr>
              <w:spacing w:after="60" w:before="40"/>
            </w:pPr>
            <w:r>
              <w:rPr>
                <w:sz w:val="17"/>
              </w:rPr>
              <w:t>U07</w:t>
            </w:r>
          </w:p>
        </w:tc>
        <w:tc>
          <w:tcPr>
            <w:tcW w:type="dxa" w:w="3740"/>
          </w:tcPr>
          <w:p>
            <w:pPr>
              <w:spacing w:after="60" w:before="40"/>
            </w:pPr>
            <w:r>
              <w:rPr>
                <w:sz w:val="17"/>
              </w:rPr>
              <w:t>Selenium 0.1 mg</w:t>
            </w:r>
          </w:p>
        </w:tc>
        <w:tc>
          <w:tcPr>
            <w:tcW w:type="dxa" w:w="3740"/>
          </w:tcPr>
          <w:p>
            <w:pPr>
              <w:spacing w:after="60" w:before="40"/>
            </w:pPr>
            <w:r>
              <w:rPr>
                <w:sz w:val="17"/>
              </w:rPr>
              <w:t>100 µg</w:t>
            </w:r>
          </w:p>
        </w:tc>
        <w:tc>
          <w:tcPr>
            <w:tcW w:type="dxa" w:w="3740"/>
          </w:tcPr>
          <w:p>
            <w:pPr>
              <w:spacing w:after="60" w:before="40"/>
            </w:pPr>
            <w:r>
              <w:rPr>
                <w:sz w:val="17"/>
              </w:rPr>
              <w:t>Unit multiplier 1000</w:t>
            </w:r>
          </w:p>
        </w:tc>
      </w:tr>
      <w:tr>
        <w:tc>
          <w:tcPr>
            <w:tcW w:type="dxa" w:w="3740"/>
          </w:tcPr>
          <w:p>
            <w:pPr>
              <w:spacing w:after="60" w:before="40"/>
            </w:pPr>
            <w:r>
              <w:rPr>
                <w:sz w:val="17"/>
              </w:rPr>
              <w:t>U08</w:t>
            </w:r>
          </w:p>
        </w:tc>
        <w:tc>
          <w:tcPr>
            <w:tcW w:type="dxa" w:w="3740"/>
          </w:tcPr>
          <w:p>
            <w:pPr>
              <w:spacing w:after="60" w:before="40"/>
            </w:pPr>
            <w:r>
              <w:rPr>
                <w:sz w:val="17"/>
              </w:rPr>
              <w:t>Nutrient IU with unknown chemical form</w:t>
            </w:r>
          </w:p>
        </w:tc>
        <w:tc>
          <w:tcPr>
            <w:tcW w:type="dxa" w:w="3740"/>
          </w:tcPr>
          <w:p>
            <w:pPr>
              <w:spacing w:after="60" w:before="40"/>
            </w:pPr>
            <w:r>
              <w:rPr>
                <w:rFonts w:ascii="Consolas" w:hAnsi="Consolas"/>
                <w:sz w:val="17"/>
              </w:rPr>
              <w:t>INVALID_UNIT_CONVERSION</w:t>
            </w:r>
            <w:r>
              <w:rPr>
                <w:sz w:val="17"/>
              </w:rPr>
              <w:t>/unknown</w:t>
            </w:r>
          </w:p>
        </w:tc>
        <w:tc>
          <w:tcPr>
            <w:tcW w:type="dxa" w:w="3740"/>
          </w:tcPr>
          <w:p>
            <w:pPr>
              <w:spacing w:after="60" w:before="40"/>
            </w:pPr>
            <w:r>
              <w:rPr>
                <w:sz w:val="17"/>
              </w:rPr>
              <w:t>IU conversion is not generic mass conversion</w:t>
            </w:r>
          </w:p>
        </w:tc>
      </w:tr>
      <w:tr>
        <w:tc>
          <w:tcPr>
            <w:tcW w:type="dxa" w:w="3740"/>
          </w:tcPr>
          <w:p>
            <w:pPr>
              <w:spacing w:after="60" w:before="40"/>
            </w:pPr>
            <w:r>
              <w:rPr>
                <w:sz w:val="17"/>
              </w:rPr>
              <w:t>U09</w:t>
            </w:r>
          </w:p>
        </w:tc>
        <w:tc>
          <w:tcPr>
            <w:tcW w:type="dxa" w:w="3740"/>
          </w:tcPr>
          <w:p>
            <w:pPr>
              <w:spacing w:after="60" w:before="40"/>
            </w:pPr>
            <w:r>
              <w:rPr>
                <w:sz w:val="17"/>
              </w:rPr>
              <w:t>Exact protein 25% AF, grams 170.222239</w:t>
            </w:r>
          </w:p>
        </w:tc>
        <w:tc>
          <w:tcPr>
            <w:tcW w:type="dxa" w:w="3740"/>
          </w:tcPr>
          <w:p>
            <w:pPr>
              <w:spacing w:after="60" w:before="40"/>
            </w:pPr>
            <w:r>
              <w:rPr>
                <w:sz w:val="17"/>
              </w:rPr>
              <w:t>42.5555598 g/day</w:t>
            </w:r>
          </w:p>
        </w:tc>
        <w:tc>
          <w:tcPr>
            <w:tcW w:type="dxa" w:w="3740"/>
          </w:tcPr>
          <w:p>
            <w:pPr>
              <w:spacing w:after="60" w:before="40"/>
            </w:pPr>
            <w:r>
              <w:rPr>
                <w:sz w:val="17"/>
              </w:rPr>
              <w:t>Food grams×fraction; minimum guarantee becomes lower bound instead</w:t>
            </w:r>
          </w:p>
        </w:tc>
      </w:tr>
      <w:tr>
        <w:tc>
          <w:tcPr>
            <w:tcW w:type="dxa" w:w="3740"/>
          </w:tcPr>
          <w:p>
            <w:pPr>
              <w:spacing w:after="60" w:before="40"/>
            </w:pPr>
            <w:r>
              <w:rPr>
                <w:sz w:val="17"/>
              </w:rPr>
              <w:t>P01</w:t>
            </w:r>
          </w:p>
        </w:tc>
        <w:tc>
          <w:tcPr>
            <w:tcW w:type="dxa" w:w="3740"/>
          </w:tcPr>
          <w:p>
            <w:pPr>
              <w:spacing w:after="60" w:before="40"/>
            </w:pPr>
            <w:r>
              <w:rPr>
                <w:sz w:val="17"/>
              </w:rPr>
              <w:t>E629.8222842, ME 3700 kcal/kg</w:t>
            </w:r>
          </w:p>
        </w:tc>
        <w:tc>
          <w:tcPr>
            <w:tcW w:type="dxa" w:w="3740"/>
          </w:tcPr>
          <w:p>
            <w:pPr>
              <w:spacing w:after="60" w:before="40"/>
            </w:pPr>
            <w:r>
              <w:rPr>
                <w:sz w:val="17"/>
              </w:rPr>
              <w:t>170.222239 g→170.2 g/day</w:t>
            </w:r>
          </w:p>
        </w:tc>
        <w:tc>
          <w:tcPr>
            <w:tcW w:type="dxa" w:w="3740"/>
          </w:tcPr>
          <w:p>
            <w:pPr>
              <w:spacing w:after="60" w:before="40"/>
            </w:pPr>
            <w:r>
              <w:rPr>
                <w:sz w:val="17"/>
              </w:rPr>
              <w:t>Exact density 3.7 kcal/g</w:t>
            </w:r>
          </w:p>
        </w:tc>
      </w:tr>
      <w:tr>
        <w:tc>
          <w:tcPr>
            <w:tcW w:type="dxa" w:w="3740"/>
          </w:tcPr>
          <w:p>
            <w:pPr>
              <w:spacing w:after="60" w:before="40"/>
            </w:pPr>
            <w:r>
              <w:rPr>
                <w:sz w:val="17"/>
              </w:rPr>
              <w:t>P02</w:t>
            </w:r>
          </w:p>
        </w:tc>
        <w:tc>
          <w:tcPr>
            <w:tcW w:type="dxa" w:w="3740"/>
          </w:tcPr>
          <w:p>
            <w:pPr>
              <w:spacing w:after="60" w:before="40"/>
            </w:pPr>
            <w:r>
              <w:rPr>
                <w:sz w:val="17"/>
              </w:rPr>
              <w:t>Same E, 360 kcal/400 g can</w:t>
            </w:r>
          </w:p>
        </w:tc>
        <w:tc>
          <w:tcPr>
            <w:tcW w:type="dxa" w:w="3740"/>
          </w:tcPr>
          <w:p>
            <w:pPr>
              <w:spacing w:after="60" w:before="40"/>
            </w:pPr>
            <w:r>
              <w:rPr>
                <w:sz w:val="17"/>
              </w:rPr>
              <w:t>699.802538 g→699.8 g</w:t>
            </w:r>
          </w:p>
        </w:tc>
        <w:tc>
          <w:tcPr>
            <w:tcW w:type="dxa" w:w="3740"/>
          </w:tcPr>
          <w:p>
            <w:pPr>
              <w:spacing w:after="60" w:before="40"/>
            </w:pPr>
            <w:r>
              <w:rPr>
                <w:sz w:val="17"/>
              </w:rPr>
              <w:t>Density 0.9 kcal/g, not 3700</w:t>
            </w:r>
          </w:p>
        </w:tc>
      </w:tr>
      <w:tr>
        <w:tc>
          <w:tcPr>
            <w:tcW w:type="dxa" w:w="3740"/>
          </w:tcPr>
          <w:p>
            <w:pPr>
              <w:spacing w:after="60" w:before="40"/>
            </w:pPr>
            <w:r>
              <w:rPr>
                <w:sz w:val="17"/>
              </w:rPr>
              <w:t>P03</w:t>
            </w:r>
          </w:p>
        </w:tc>
        <w:tc>
          <w:tcPr>
            <w:tcW w:type="dxa" w:w="3740"/>
          </w:tcPr>
          <w:p>
            <w:pPr>
              <w:spacing w:after="60" w:before="40"/>
            </w:pPr>
            <w:r>
              <w:rPr>
                <w:sz w:val="17"/>
              </w:rPr>
              <w:t>Same E, extras 10%</w:t>
            </w:r>
          </w:p>
        </w:tc>
        <w:tc>
          <w:tcPr>
            <w:tcW w:type="dxa" w:w="3740"/>
          </w:tcPr>
          <w:p>
            <w:pPr>
              <w:spacing w:after="60" w:before="40"/>
            </w:pPr>
            <w:r>
              <w:rPr>
                <w:sz w:val="17"/>
              </w:rPr>
              <w:t>Extras 62.9822284; primary 566.8400558; dry 153.2000151 g→153.2 g</w:t>
            </w:r>
          </w:p>
        </w:tc>
        <w:tc>
          <w:tcPr>
            <w:tcW w:type="dxa" w:w="3740"/>
          </w:tcPr>
          <w:p>
            <w:pPr>
              <w:spacing w:after="60" w:before="40"/>
            </w:pPr>
            <w:r>
              <w:rPr>
                <w:sz w:val="17"/>
              </w:rPr>
              <w:t>Extras deducted once</w:t>
            </w:r>
          </w:p>
        </w:tc>
      </w:tr>
      <w:tr>
        <w:tc>
          <w:tcPr>
            <w:tcW w:type="dxa" w:w="3740"/>
          </w:tcPr>
          <w:p>
            <w:pPr>
              <w:spacing w:after="60" w:before="40"/>
            </w:pPr>
            <w:r>
              <w:rPr>
                <w:sz w:val="17"/>
              </w:rPr>
              <w:t>P04</w:t>
            </w:r>
          </w:p>
        </w:tc>
        <w:tc>
          <w:tcPr>
            <w:tcW w:type="dxa" w:w="3740"/>
          </w:tcPr>
          <w:p>
            <w:pPr>
              <w:spacing w:after="60" w:before="40"/>
            </w:pPr>
            <w:r>
              <w:rPr>
                <w:sz w:val="17"/>
              </w:rPr>
              <w:t>Same E, extras 40,60/40 primary</w:t>
            </w:r>
          </w:p>
        </w:tc>
        <w:tc>
          <w:tcPr>
            <w:tcW w:type="dxa" w:w="3740"/>
          </w:tcPr>
          <w:p>
            <w:pPr>
              <w:spacing w:after="60" w:before="40"/>
            </w:pPr>
            <w:r>
              <w:rPr>
                <w:sz w:val="17"/>
              </w:rPr>
              <w:t>Dry 95.6468569 g; wet 262.1432374 g</w:t>
            </w:r>
          </w:p>
        </w:tc>
        <w:tc>
          <w:tcPr>
            <w:tcW w:type="dxa" w:w="3740"/>
          </w:tcPr>
          <w:p>
            <w:pPr>
              <w:spacing w:after="60" w:before="40"/>
            </w:pPr>
            <w:r>
              <w:rPr>
                <w:sz w:val="17"/>
              </w:rPr>
              <w:t>Fractions multiply primary energy, not mixed gram total</w:t>
            </w:r>
          </w:p>
        </w:tc>
      </w:tr>
      <w:tr>
        <w:tc>
          <w:tcPr>
            <w:tcW w:type="dxa" w:w="3740"/>
          </w:tcPr>
          <w:p>
            <w:pPr>
              <w:spacing w:after="60" w:before="40"/>
            </w:pPr>
            <w:r>
              <w:rPr>
                <w:sz w:val="17"/>
              </w:rPr>
              <w:t>P05</w:t>
            </w:r>
          </w:p>
        </w:tc>
        <w:tc>
          <w:tcPr>
            <w:tcW w:type="dxa" w:w="3740"/>
          </w:tcPr>
          <w:p>
            <w:pPr>
              <w:spacing w:after="60" w:before="40"/>
            </w:pPr>
            <w:r>
              <w:rPr>
                <w:sz w:val="17"/>
              </w:rPr>
              <w:t>Extras 10.0001% or unknown</w:t>
            </w:r>
          </w:p>
        </w:tc>
        <w:tc>
          <w:tcPr>
            <w:tcW w:type="dxa" w:w="3740"/>
          </w:tcPr>
          <w:p>
            <w:pPr>
              <w:spacing w:after="60" w:before="40"/>
            </w:pPr>
            <w:r>
              <w:rPr>
                <w:sz w:val="17"/>
              </w:rPr>
              <w:t>Budget failure/</w:t>
            </w:r>
            <w:r>
              <w:rPr>
                <w:rFonts w:ascii="Consolas" w:hAnsi="Consolas"/>
                <w:sz w:val="17"/>
              </w:rPr>
              <w:t>EXTRAS_ENERGY_UNKNOWN</w:t>
            </w:r>
            <w:r>
              <w:rPr>
                <w:sz w:val="17"/>
              </w:rPr>
              <w:t xml:space="preserve"> respectively</w:t>
            </w:r>
          </w:p>
        </w:tc>
        <w:tc>
          <w:tcPr>
            <w:tcW w:type="dxa" w:w="3740"/>
          </w:tcPr>
          <w:p>
            <w:pPr>
              <w:spacing w:after="60" w:before="40"/>
            </w:pPr>
            <w:r>
              <w:rPr>
                <w:sz w:val="17"/>
              </w:rPr>
              <w:t>Threshold and unknown state separate</w:t>
            </w:r>
          </w:p>
        </w:tc>
      </w:tr>
      <w:tr>
        <w:tc>
          <w:tcPr>
            <w:tcW w:type="dxa" w:w="3740"/>
          </w:tcPr>
          <w:p>
            <w:pPr>
              <w:spacing w:after="60" w:before="40"/>
            </w:pPr>
            <w:r>
              <w:rPr>
                <w:sz w:val="17"/>
              </w:rPr>
              <w:t>P06</w:t>
            </w:r>
          </w:p>
        </w:tc>
        <w:tc>
          <w:tcPr>
            <w:tcW w:type="dxa" w:w="3740"/>
          </w:tcPr>
          <w:p>
            <w:pPr>
              <w:spacing w:after="60" w:before="40"/>
            </w:pPr>
            <w:r>
              <w:rPr>
                <w:sz w:val="17"/>
              </w:rPr>
              <w:t>Two ledger entries with same item ID</w:t>
            </w:r>
          </w:p>
        </w:tc>
        <w:tc>
          <w:tcPr>
            <w:tcW w:type="dxa" w:w="3740"/>
          </w:tcPr>
          <w:p>
            <w:pPr>
              <w:spacing w:after="60" w:before="40"/>
            </w:pPr>
            <w:r>
              <w:rPr>
                <w:rFonts w:ascii="Consolas" w:hAnsi="Consolas"/>
                <w:sz w:val="17"/>
              </w:rPr>
              <w:t>DUPLICATE_LEDGER_ITEM</w:t>
            </w:r>
            <w:r>
              <w:rPr>
                <w:sz w:val="17"/>
              </w:rPr>
              <w:t>, no allocation</w:t>
            </w:r>
          </w:p>
        </w:tc>
        <w:tc>
          <w:tcPr>
            <w:tcW w:type="dxa" w:w="3740"/>
          </w:tcPr>
          <w:p>
            <w:pPr>
              <w:spacing w:after="60" w:before="40"/>
            </w:pPr>
            <w:r>
              <w:rPr>
                <w:sz w:val="17"/>
              </w:rPr>
              <w:t>Prevent duplicate topper/supplement energy</w:t>
            </w:r>
          </w:p>
        </w:tc>
      </w:tr>
      <w:tr>
        <w:tc>
          <w:tcPr>
            <w:tcW w:type="dxa" w:w="3740"/>
          </w:tcPr>
          <w:p>
            <w:pPr>
              <w:spacing w:after="60" w:before="40"/>
            </w:pPr>
            <w:r>
              <w:rPr>
                <w:sz w:val="17"/>
              </w:rPr>
              <w:t>P07</w:t>
            </w:r>
          </w:p>
        </w:tc>
        <w:tc>
          <w:tcPr>
            <w:tcW w:type="dxa" w:w="3740"/>
          </w:tcPr>
          <w:p>
            <w:pPr>
              <w:spacing w:after="60" w:before="40"/>
            </w:pPr>
            <w:r>
              <w:rPr>
                <w:sz w:val="17"/>
              </w:rPr>
              <w:t>E551.0944987, dry 3.7, two equal meals</w:t>
            </w:r>
          </w:p>
        </w:tc>
        <w:tc>
          <w:tcPr>
            <w:tcW w:type="dxa" w:w="3740"/>
          </w:tcPr>
          <w:p>
            <w:pPr>
              <w:spacing w:after="60" w:before="40"/>
            </w:pPr>
            <w:r>
              <w:rPr>
                <w:sz w:val="17"/>
              </w:rPr>
              <w:t>Daily 148.9 g;74.4/74.5; actual 550.93 kcal</w:t>
            </w:r>
          </w:p>
        </w:tc>
        <w:tc>
          <w:tcPr>
            <w:tcW w:type="dxa" w:w="3740"/>
          </w:tcPr>
          <w:p>
            <w:pPr>
              <w:spacing w:after="60" w:before="40"/>
            </w:pPr>
            <w:r>
              <w:rPr>
                <w:sz w:val="17"/>
              </w:rPr>
              <w:t>Half-up daily then deterministic remainder, sum preserved</w:t>
            </w:r>
          </w:p>
        </w:tc>
      </w:tr>
      <w:tr>
        <w:tc>
          <w:tcPr>
            <w:tcW w:type="dxa" w:w="3740"/>
          </w:tcPr>
          <w:p>
            <w:pPr>
              <w:spacing w:after="60" w:before="40"/>
            </w:pPr>
            <w:r>
              <w:rPr>
                <w:sz w:val="17"/>
              </w:rPr>
              <w:t>P08</w:t>
            </w:r>
          </w:p>
        </w:tc>
        <w:tc>
          <w:tcPr>
            <w:tcW w:type="dxa" w:w="3740"/>
          </w:tcPr>
          <w:p>
            <w:pPr>
              <w:spacing w:after="60" w:before="40"/>
            </w:pPr>
            <w:r>
              <w:rPr>
                <w:sz w:val="17"/>
              </w:rPr>
              <w:t>E1871.3949215, density 4, four meals</w:t>
            </w:r>
          </w:p>
        </w:tc>
        <w:tc>
          <w:tcPr>
            <w:tcW w:type="dxa" w:w="3740"/>
          </w:tcPr>
          <w:p>
            <w:pPr>
              <w:spacing w:after="60" w:before="40"/>
            </w:pPr>
            <w:r>
              <w:rPr>
                <w:sz w:val="17"/>
              </w:rPr>
              <w:t>Total 467.8 g;116.9/116.9/116.9/117.1</w:t>
            </w:r>
          </w:p>
        </w:tc>
        <w:tc>
          <w:tcPr>
            <w:tcW w:type="dxa" w:w="3740"/>
          </w:tcPr>
          <w:p>
            <w:pPr>
              <w:spacing w:after="60" w:before="40"/>
            </w:pPr>
            <w:r>
              <w:rPr>
                <w:sz w:val="17"/>
              </w:rPr>
              <w:t>Floor first shares then exact residual</w:t>
            </w:r>
          </w:p>
        </w:tc>
      </w:tr>
      <w:tr>
        <w:tc>
          <w:tcPr>
            <w:tcW w:type="dxa" w:w="3740"/>
          </w:tcPr>
          <w:p>
            <w:pPr>
              <w:spacing w:after="60" w:before="40"/>
            </w:pPr>
            <w:r>
              <w:rPr>
                <w:sz w:val="17"/>
              </w:rPr>
              <w:t>P09</w:t>
            </w:r>
          </w:p>
        </w:tc>
        <w:tc>
          <w:tcPr>
            <w:tcW w:type="dxa" w:w="3740"/>
          </w:tcPr>
          <w:p>
            <w:pPr>
              <w:spacing w:after="60" w:before="40"/>
            </w:pPr>
            <w:r>
              <w:rPr>
                <w:sz w:val="17"/>
              </w:rPr>
              <w:t>ME 0/negative/unknown; fractions sum 0.9</w:t>
            </w:r>
          </w:p>
        </w:tc>
        <w:tc>
          <w:tcPr>
            <w:tcW w:type="dxa" w:w="3740"/>
          </w:tcPr>
          <w:p>
            <w:pPr>
              <w:spacing w:after="60" w:before="40"/>
            </w:pPr>
            <w:r>
              <w:rPr>
                <w:sz w:val="17"/>
              </w:rPr>
              <w:t>Validation block, no infinite grams or silent renormalization</w:t>
            </w:r>
          </w:p>
        </w:tc>
        <w:tc>
          <w:tcPr>
            <w:tcW w:type="dxa" w:w="3740"/>
          </w:tcPr>
          <w:p>
            <w:pPr>
              <w:spacing w:after="60" w:before="40"/>
            </w:pPr>
            <w:r>
              <w:rPr>
                <w:sz w:val="17"/>
              </w:rPr>
              <w:t>Exact input contract</w:t>
            </w:r>
          </w:p>
        </w:tc>
      </w:tr>
      <w:tr>
        <w:tc>
          <w:tcPr>
            <w:tcW w:type="dxa" w:w="3740"/>
          </w:tcPr>
          <w:p>
            <w:pPr>
              <w:spacing w:after="60" w:before="40"/>
            </w:pPr>
            <w:r>
              <w:rPr>
                <w:sz w:val="17"/>
              </w:rPr>
              <w:t>P10</w:t>
            </w:r>
          </w:p>
        </w:tc>
        <w:tc>
          <w:tcPr>
            <w:tcW w:type="dxa" w:w="3740"/>
          </w:tcPr>
          <w:p>
            <w:pPr>
              <w:spacing w:after="60" w:before="40"/>
            </w:pPr>
            <w:r>
              <w:rPr>
                <w:sz w:val="17"/>
              </w:rPr>
              <w:t>Purchase 500 g, edible fraction 0.8, yield 0.75</w:t>
            </w:r>
          </w:p>
        </w:tc>
        <w:tc>
          <w:tcPr>
            <w:tcW w:type="dxa" w:w="3740"/>
          </w:tcPr>
          <w:p>
            <w:pPr>
              <w:spacing w:after="60" w:before="40"/>
            </w:pPr>
            <w:r>
              <w:rPr>
                <w:sz w:val="17"/>
              </w:rPr>
              <w:t>Cooked 300 g; desired 150→raw edible 200, purchase 250</w:t>
            </w:r>
          </w:p>
        </w:tc>
        <w:tc>
          <w:tcPr>
            <w:tcW w:type="dxa" w:w="3740"/>
          </w:tcPr>
          <w:p>
            <w:pPr>
              <w:spacing w:after="60" w:before="40"/>
            </w:pPr>
            <w:r>
              <w:rPr>
                <w:sz w:val="17"/>
              </w:rPr>
              <w:t>Two separate mass fractions</w:t>
            </w:r>
          </w:p>
        </w:tc>
      </w:tr>
      <w:tr>
        <w:tc>
          <w:tcPr>
            <w:tcW w:type="dxa" w:w="3740"/>
          </w:tcPr>
          <w:p>
            <w:pPr>
              <w:spacing w:after="60" w:before="40"/>
            </w:pPr>
            <w:r>
              <w:rPr>
                <w:sz w:val="17"/>
              </w:rPr>
              <w:t>P11</w:t>
            </w:r>
          </w:p>
        </w:tc>
        <w:tc>
          <w:tcPr>
            <w:tcW w:type="dxa" w:w="3740"/>
          </w:tcPr>
          <w:p>
            <w:pPr>
              <w:spacing w:after="60" w:before="40"/>
            </w:pPr>
            <w:r>
              <w:rPr>
                <w:sz w:val="17"/>
              </w:rPr>
              <w:t>Replace 10 g dry 3.7 with wet food at 0.9 kcal/g</w:t>
            </w:r>
          </w:p>
        </w:tc>
        <w:tc>
          <w:tcPr>
            <w:tcW w:type="dxa" w:w="3740"/>
          </w:tcPr>
          <w:p>
            <w:pPr>
              <w:spacing w:after="60" w:before="40"/>
            </w:pPr>
            <w:r>
              <w:rPr>
                <w:sz w:val="17"/>
              </w:rPr>
              <w:t>41.1111111 g wet gives 37 kcal; then adequacy/safety rerun</w:t>
            </w:r>
          </w:p>
        </w:tc>
        <w:tc>
          <w:tcPr>
            <w:tcW w:type="dxa" w:w="3740"/>
          </w:tcPr>
          <w:p>
            <w:pPr>
              <w:spacing w:after="60" w:before="40"/>
            </w:pPr>
            <w:r>
              <w:rPr>
                <w:sz w:val="17"/>
              </w:rPr>
              <w:t>Energy equality is only first check</w:t>
            </w:r>
          </w:p>
        </w:tc>
      </w:tr>
      <w:tr>
        <w:tc>
          <w:tcPr>
            <w:tcW w:type="dxa" w:w="3740"/>
          </w:tcPr>
          <w:p>
            <w:pPr>
              <w:spacing w:after="60" w:before="40"/>
            </w:pPr>
            <w:r>
              <w:rPr>
                <w:sz w:val="17"/>
              </w:rPr>
              <w:t>N01</w:t>
            </w:r>
          </w:p>
        </w:tc>
        <w:tc>
          <w:tcPr>
            <w:tcW w:type="dxa" w:w="3740"/>
          </w:tcPr>
          <w:p>
            <w:pPr>
              <w:spacing w:after="60" w:before="40"/>
            </w:pPr>
            <w:r>
              <w:rPr>
                <w:sz w:val="17"/>
              </w:rPr>
              <w:t>Adult 95 Ca 1.45, P1.5 g/1000</w:t>
            </w:r>
          </w:p>
        </w:tc>
        <w:tc>
          <w:tcPr>
            <w:tcW w:type="dxa" w:w="3740"/>
          </w:tcPr>
          <w:p>
            <w:pPr>
              <w:spacing w:after="60" w:before="40"/>
            </w:pPr>
            <w:r>
              <w:rPr>
                <w:sz w:val="17"/>
              </w:rPr>
              <w:t>Calcium/phosphorus minima pass, ratio 0.9666667 fails minimum 1</w:t>
            </w:r>
          </w:p>
        </w:tc>
        <w:tc>
          <w:tcPr>
            <w:tcW w:type="dxa" w:w="3740"/>
          </w:tcPr>
          <w:p>
            <w:pPr>
              <w:spacing w:after="60" w:before="40"/>
            </w:pPr>
            <w:r>
              <w:rPr>
                <w:sz w:val="17"/>
              </w:rPr>
              <w:t>Both minima alone cannot certify ratio</w:t>
            </w:r>
          </w:p>
        </w:tc>
      </w:tr>
      <w:tr>
        <w:tc>
          <w:tcPr>
            <w:tcW w:type="dxa" w:w="3740"/>
          </w:tcPr>
          <w:p>
            <w:pPr>
              <w:spacing w:after="60" w:before="40"/>
            </w:pPr>
            <w:r>
              <w:rPr>
                <w:sz w:val="17"/>
              </w:rPr>
              <w:t>N02</w:t>
            </w:r>
          </w:p>
        </w:tc>
        <w:tc>
          <w:tcPr>
            <w:tcW w:type="dxa" w:w="3740"/>
          </w:tcPr>
          <w:p>
            <w:pPr>
              <w:spacing w:after="60" w:before="40"/>
            </w:pPr>
            <w:r>
              <w:rPr>
                <w:sz w:val="17"/>
              </w:rPr>
              <w:t>Adult Ca/P=2.000000, all bounds otherwise pass</w:t>
            </w:r>
          </w:p>
        </w:tc>
        <w:tc>
          <w:tcPr>
            <w:tcW w:type="dxa" w:w="3740"/>
          </w:tcPr>
          <w:p>
            <w:pPr>
              <w:spacing w:after="60" w:before="40"/>
            </w:pPr>
            <w:r>
              <w:rPr>
                <w:sz w:val="17"/>
              </w:rPr>
              <w:t>Ratio passes;2.0001 fails</w:t>
            </w:r>
          </w:p>
        </w:tc>
        <w:tc>
          <w:tcPr>
            <w:tcW w:type="dxa" w:w="3740"/>
          </w:tcPr>
          <w:p>
            <w:pPr>
              <w:spacing w:after="60" w:before="40"/>
            </w:pPr>
            <w:r>
              <w:rPr>
                <w:sz w:val="17"/>
              </w:rPr>
              <w:t>Maximum boundary inclusive, no nutrition tolerance</w:t>
            </w:r>
          </w:p>
        </w:tc>
      </w:tr>
      <w:tr>
        <w:tc>
          <w:tcPr>
            <w:tcW w:type="dxa" w:w="3740"/>
          </w:tcPr>
          <w:p>
            <w:pPr>
              <w:spacing w:after="60" w:before="40"/>
            </w:pPr>
            <w:r>
              <w:rPr>
                <w:sz w:val="17"/>
              </w:rPr>
              <w:t>N03</w:t>
            </w:r>
          </w:p>
        </w:tc>
        <w:tc>
          <w:tcPr>
            <w:tcW w:type="dxa" w:w="3740"/>
          </w:tcPr>
          <w:p>
            <w:pPr>
              <w:spacing w:after="60" w:before="40"/>
            </w:pPr>
            <w:r>
              <w:rPr>
                <w:sz w:val="17"/>
              </w:rPr>
              <w:t>Early growth Ca 4, P2.5 g/1000</w:t>
            </w:r>
          </w:p>
        </w:tc>
        <w:tc>
          <w:tcPr>
            <w:tcW w:type="dxa" w:w="3740"/>
          </w:tcPr>
          <w:p>
            <w:pPr>
              <w:spacing w:after="60" w:before="40"/>
            </w:pPr>
            <w:r>
              <w:rPr>
                <w:sz w:val="17"/>
              </w:rPr>
              <w:t>Ca maximum boundary and ratio 1.6 pass; Ca 4.001, P2.500625 fails Ca max</w:t>
            </w:r>
          </w:p>
        </w:tc>
        <w:tc>
          <w:tcPr>
            <w:tcW w:type="dxa" w:w="3740"/>
          </w:tcPr>
          <w:p>
            <w:pPr>
              <w:spacing w:after="60" w:before="40"/>
            </w:pPr>
            <w:r>
              <w:rPr>
                <w:sz w:val="17"/>
              </w:rPr>
              <w:t>Exact source maximum, independent ratio maintained</w:t>
            </w:r>
          </w:p>
        </w:tc>
      </w:tr>
      <w:tr>
        <w:tc>
          <w:tcPr>
            <w:tcW w:type="dxa" w:w="3740"/>
          </w:tcPr>
          <w:p>
            <w:pPr>
              <w:spacing w:after="60" w:before="40"/>
            </w:pPr>
            <w:r>
              <w:rPr>
                <w:sz w:val="17"/>
              </w:rPr>
              <w:t>N04</w:t>
            </w:r>
          </w:p>
        </w:tc>
        <w:tc>
          <w:tcPr>
            <w:tcW w:type="dxa" w:w="3740"/>
          </w:tcPr>
          <w:p>
            <w:pPr>
              <w:spacing w:after="60" w:before="40"/>
            </w:pPr>
            <w:r>
              <w:rPr>
                <w:sz w:val="17"/>
              </w:rPr>
              <w:t>Late 5 mo, expected adult 15 kg, Ca 2.1, P1.75</w:t>
            </w:r>
          </w:p>
        </w:tc>
        <w:tc>
          <w:tcPr>
            <w:tcW w:type="dxa" w:w="3740"/>
          </w:tcPr>
          <w:p>
            <w:pPr>
              <w:spacing w:after="60" w:before="40"/>
            </w:pPr>
            <w:r>
              <w:rPr>
                <w:sz w:val="17"/>
              </w:rPr>
              <w:t>Ca minimum 2.0 passes</w:t>
            </w:r>
          </w:p>
        </w:tc>
        <w:tc>
          <w:tcPr>
            <w:tcW w:type="dxa" w:w="3740"/>
          </w:tcPr>
          <w:p>
            <w:pPr>
              <w:spacing w:after="60" w:before="40"/>
            </w:pPr>
            <w:r>
              <w:rPr>
                <w:sz w:val="17"/>
              </w:rPr>
              <w:t>FEDIAF ≤15 kg branch</w:t>
            </w:r>
          </w:p>
        </w:tc>
      </w:tr>
      <w:tr>
        <w:tc>
          <w:tcPr>
            <w:tcW w:type="dxa" w:w="3740"/>
          </w:tcPr>
          <w:p>
            <w:pPr>
              <w:spacing w:after="60" w:before="40"/>
            </w:pPr>
            <w:r>
              <w:rPr>
                <w:sz w:val="17"/>
              </w:rPr>
              <w:t>N05</w:t>
            </w:r>
          </w:p>
        </w:tc>
        <w:tc>
          <w:tcPr>
            <w:tcW w:type="dxa" w:w="3740"/>
          </w:tcPr>
          <w:p>
            <w:pPr>
              <w:spacing w:after="60" w:before="40"/>
            </w:pPr>
            <w:r>
              <w:rPr>
                <w:sz w:val="17"/>
              </w:rPr>
              <w:t>Same but expected adult 15.0001 kg</w:t>
            </w:r>
          </w:p>
        </w:tc>
        <w:tc>
          <w:tcPr>
            <w:tcW w:type="dxa" w:w="3740"/>
          </w:tcPr>
          <w:p>
            <w:pPr>
              <w:spacing w:after="60" w:before="40"/>
            </w:pPr>
            <w:r>
              <w:rPr>
                <w:sz w:val="17"/>
              </w:rPr>
              <w:t>Ca minimum 2.5 fails</w:t>
            </w:r>
          </w:p>
        </w:tc>
        <w:tc>
          <w:tcPr>
            <w:tcW w:type="dxa" w:w="3740"/>
          </w:tcPr>
          <w:p>
            <w:pPr>
              <w:spacing w:after="60" w:before="40"/>
            </w:pPr>
            <w:r>
              <w:rPr>
                <w:sz w:val="17"/>
              </w:rPr>
              <w:t>&gt;15 kg branch before reviewed transition</w:t>
            </w:r>
          </w:p>
        </w:tc>
      </w:tr>
      <w:tr>
        <w:tc>
          <w:tcPr>
            <w:tcW w:type="dxa" w:w="3740"/>
          </w:tcPr>
          <w:p>
            <w:pPr>
              <w:spacing w:after="60" w:before="40"/>
            </w:pPr>
            <w:r>
              <w:rPr>
                <w:sz w:val="17"/>
              </w:rPr>
              <w:t>N06</w:t>
            </w:r>
          </w:p>
        </w:tc>
        <w:tc>
          <w:tcPr>
            <w:tcW w:type="dxa" w:w="3740"/>
          </w:tcPr>
          <w:p>
            <w:pPr>
              <w:spacing w:after="60" w:before="40"/>
            </w:pPr>
            <w:r>
              <w:rPr>
                <w:sz w:val="17"/>
              </w:rPr>
              <w:t>Late 8 mo, expected adult 16, reviewed post-6-month transition, Ca 2.1</w:t>
            </w:r>
          </w:p>
        </w:tc>
        <w:tc>
          <w:tcPr>
            <w:tcW w:type="dxa" w:w="3740"/>
          </w:tcPr>
          <w:p>
            <w:pPr>
              <w:spacing w:after="60" w:before="40"/>
            </w:pPr>
            <w:r>
              <w:rPr>
                <w:sz w:val="17"/>
              </w:rPr>
              <w:t>Ca minimum 2.0 may pass; absent transition confirmation retains conservative branch/review</w:t>
            </w:r>
          </w:p>
        </w:tc>
        <w:tc>
          <w:tcPr>
            <w:tcW w:type="dxa" w:w="3740"/>
          </w:tcPr>
          <w:p>
            <w:pPr>
              <w:spacing w:after="60" w:before="40"/>
            </w:pPr>
            <w:r>
              <w:rPr>
                <w:sz w:val="17"/>
              </w:rPr>
              <w:t>Biological timing uncertainty explicitly handled</w:t>
            </w:r>
          </w:p>
        </w:tc>
      </w:tr>
      <w:tr>
        <w:tc>
          <w:tcPr>
            <w:tcW w:type="dxa" w:w="3740"/>
          </w:tcPr>
          <w:p>
            <w:pPr>
              <w:spacing w:after="60" w:before="40"/>
            </w:pPr>
            <w:r>
              <w:rPr>
                <w:sz w:val="17"/>
              </w:rPr>
              <w:t>N07</w:t>
            </w:r>
          </w:p>
        </w:tc>
        <w:tc>
          <w:tcPr>
            <w:tcW w:type="dxa" w:w="3740"/>
          </w:tcPr>
          <w:p>
            <w:pPr>
              <w:spacing w:after="60" w:before="40"/>
            </w:pPr>
            <w:r>
              <w:rPr>
                <w:sz w:val="17"/>
              </w:rPr>
              <w:t>Adult 110 methionine 1.0+cystine 0.8</w:t>
            </w:r>
          </w:p>
        </w:tc>
        <w:tc>
          <w:tcPr>
            <w:tcW w:type="dxa" w:w="3740"/>
          </w:tcPr>
          <w:p>
            <w:pPr>
              <w:spacing w:after="60" w:before="40"/>
            </w:pPr>
            <w:r>
              <w:rPr>
                <w:sz w:val="17"/>
              </w:rPr>
              <w:t>Individual methionine passes; combined 1.8&lt;1.91 fails</w:t>
            </w:r>
          </w:p>
        </w:tc>
        <w:tc>
          <w:tcPr>
            <w:tcW w:type="dxa" w:w="3740"/>
          </w:tcPr>
          <w:p>
            <w:pPr>
              <w:spacing w:after="60" w:before="40"/>
            </w:pPr>
            <w:r>
              <w:rPr>
                <w:sz w:val="17"/>
              </w:rPr>
              <w:t>Both constraints required</w:t>
            </w:r>
          </w:p>
        </w:tc>
      </w:tr>
      <w:tr>
        <w:tc>
          <w:tcPr>
            <w:tcW w:type="dxa" w:w="3740"/>
          </w:tcPr>
          <w:p>
            <w:pPr>
              <w:spacing w:after="60" w:before="40"/>
            </w:pPr>
            <w:r>
              <w:rPr>
                <w:sz w:val="17"/>
              </w:rPr>
              <w:t>N08</w:t>
            </w:r>
          </w:p>
        </w:tc>
        <w:tc>
          <w:tcPr>
            <w:tcW w:type="dxa" w:w="3740"/>
          </w:tcPr>
          <w:p>
            <w:pPr>
              <w:spacing w:after="60" w:before="40"/>
            </w:pPr>
            <w:r>
              <w:rPr>
                <w:sz w:val="17"/>
              </w:rPr>
              <w:t>Adult 110 phenylalanine 1.35+tyrosine 0.8</w:t>
            </w:r>
          </w:p>
        </w:tc>
        <w:tc>
          <w:tcPr>
            <w:tcW w:type="dxa" w:w="3740"/>
          </w:tcPr>
          <w:p>
            <w:pPr>
              <w:spacing w:after="60" w:before="40"/>
            </w:pPr>
            <w:r>
              <w:rPr>
                <w:sz w:val="17"/>
              </w:rPr>
              <w:t>Individual passes; combined 2.15&lt;2.23 fails</w:t>
            </w:r>
          </w:p>
        </w:tc>
        <w:tc>
          <w:tcPr>
            <w:tcW w:type="dxa" w:w="3740"/>
          </w:tcPr>
          <w:p>
            <w:pPr>
              <w:spacing w:after="60" w:before="40"/>
            </w:pPr>
            <w:r>
              <w:rPr>
                <w:sz w:val="17"/>
              </w:rPr>
              <w:t>Pair not replaced by crude protein</w:t>
            </w:r>
          </w:p>
        </w:tc>
      </w:tr>
      <w:tr>
        <w:tc>
          <w:tcPr>
            <w:tcW w:type="dxa" w:w="3740"/>
          </w:tcPr>
          <w:p>
            <w:pPr>
              <w:spacing w:after="60" w:before="40"/>
            </w:pPr>
            <w:r>
              <w:rPr>
                <w:sz w:val="17"/>
              </w:rPr>
              <w:t>N09</w:t>
            </w:r>
          </w:p>
        </w:tc>
        <w:tc>
          <w:tcPr>
            <w:tcW w:type="dxa" w:w="3740"/>
          </w:tcPr>
          <w:p>
            <w:pPr>
              <w:spacing w:after="60" w:before="40"/>
            </w:pPr>
            <w:r>
              <w:rPr>
                <w:sz w:val="17"/>
              </w:rPr>
              <w:t>Required selenium unknown, no other failure</w:t>
            </w:r>
          </w:p>
        </w:tc>
        <w:tc>
          <w:tcPr>
            <w:tcW w:type="dxa" w:w="3740"/>
          </w:tcPr>
          <w:p>
            <w:pPr>
              <w:spacing w:after="60" w:before="40"/>
            </w:pPr>
            <w:r>
              <w:rPr>
                <w:sz w:val="17"/>
              </w:rPr>
              <w:t>Overall INDETERMINATE; row UNKNOWN</w:t>
            </w:r>
          </w:p>
        </w:tc>
        <w:tc>
          <w:tcPr>
            <w:tcW w:type="dxa" w:w="3740"/>
          </w:tcPr>
          <w:p>
            <w:pPr>
              <w:spacing w:after="60" w:before="40"/>
            </w:pPr>
            <w:r>
              <w:rPr>
                <w:sz w:val="17"/>
              </w:rPr>
              <w:t>Unknown≠zero or pass</w:t>
            </w:r>
          </w:p>
        </w:tc>
      </w:tr>
      <w:tr>
        <w:tc>
          <w:tcPr>
            <w:tcW w:type="dxa" w:w="3740"/>
          </w:tcPr>
          <w:p>
            <w:pPr>
              <w:spacing w:after="60" w:before="40"/>
            </w:pPr>
            <w:r>
              <w:rPr>
                <w:sz w:val="17"/>
              </w:rPr>
              <w:t>N10</w:t>
            </w:r>
          </w:p>
        </w:tc>
        <w:tc>
          <w:tcPr>
            <w:tcW w:type="dxa" w:w="3740"/>
          </w:tcPr>
          <w:p>
            <w:pPr>
              <w:spacing w:after="60" w:before="40"/>
            </w:pPr>
            <w:r>
              <w:rPr>
                <w:sz w:val="17"/>
              </w:rPr>
              <w:t>Known Ca deficit +unknown selenium</w:t>
            </w:r>
          </w:p>
        </w:tc>
        <w:tc>
          <w:tcPr>
            <w:tcW w:type="dxa" w:w="3740"/>
          </w:tcPr>
          <w:p>
            <w:pPr>
              <w:spacing w:after="60" w:before="40"/>
            </w:pPr>
            <w:r>
              <w:rPr>
                <w:sz w:val="17"/>
              </w:rPr>
              <w:t>Overall FAIL, still report selenium UNKNOWN</w:t>
            </w:r>
          </w:p>
        </w:tc>
        <w:tc>
          <w:tcPr>
            <w:tcW w:type="dxa" w:w="3740"/>
          </w:tcPr>
          <w:p>
            <w:pPr>
              <w:spacing w:after="60" w:before="40"/>
            </w:pPr>
            <w:r>
              <w:rPr>
                <w:sz w:val="17"/>
              </w:rPr>
              <w:t>Known failure takes precedence without hiding missing data</w:t>
            </w:r>
          </w:p>
        </w:tc>
      </w:tr>
      <w:tr>
        <w:tc>
          <w:tcPr>
            <w:tcW w:type="dxa" w:w="3740"/>
          </w:tcPr>
          <w:p>
            <w:pPr>
              <w:spacing w:after="60" w:before="40"/>
            </w:pPr>
            <w:r>
              <w:rPr>
                <w:sz w:val="17"/>
              </w:rPr>
              <w:t>N11</w:t>
            </w:r>
          </w:p>
        </w:tc>
        <w:tc>
          <w:tcPr>
            <w:tcW w:type="dxa" w:w="3740"/>
          </w:tcPr>
          <w:p>
            <w:pPr>
              <w:spacing w:after="60" w:before="40"/>
            </w:pPr>
            <w:r>
              <w:rPr>
                <w:sz w:val="17"/>
              </w:rPr>
              <w:t>Guaranteed minimum Ca only, calcium upper limit requested</w:t>
            </w:r>
          </w:p>
        </w:tc>
        <w:tc>
          <w:tcPr>
            <w:tcW w:type="dxa" w:w="3740"/>
          </w:tcPr>
          <w:p>
            <w:pPr>
              <w:spacing w:after="60" w:before="40"/>
            </w:pPr>
            <w:r>
              <w:rPr>
                <w:sz w:val="17"/>
              </w:rPr>
              <w:t>Cannot certify upper limit; upper intake unknown</w:t>
            </w:r>
          </w:p>
        </w:tc>
        <w:tc>
          <w:tcPr>
            <w:tcW w:type="dxa" w:w="3740"/>
          </w:tcPr>
          <w:p>
            <w:pPr>
              <w:spacing w:after="60" w:before="40"/>
            </w:pPr>
            <w:r>
              <w:rPr>
                <w:sz w:val="17"/>
              </w:rPr>
              <w:t>A minimum is not an upper bound</w:t>
            </w:r>
          </w:p>
        </w:tc>
      </w:tr>
      <w:tr>
        <w:tc>
          <w:tcPr>
            <w:tcW w:type="dxa" w:w="3740"/>
          </w:tcPr>
          <w:p>
            <w:pPr>
              <w:spacing w:after="60" w:before="40"/>
            </w:pPr>
            <w:r>
              <w:rPr>
                <w:sz w:val="17"/>
              </w:rPr>
              <w:t>N12</w:t>
            </w:r>
          </w:p>
        </w:tc>
        <w:tc>
          <w:tcPr>
            <w:tcW w:type="dxa" w:w="3740"/>
          </w:tcPr>
          <w:p>
            <w:pPr>
              <w:spacing w:after="60" w:before="40"/>
            </w:pPr>
            <w:r>
              <w:rPr>
                <w:sz w:val="17"/>
              </w:rPr>
              <w:t>EU applicability, Cu 2.81 mg/100 g DM</w:t>
            </w:r>
          </w:p>
        </w:tc>
        <w:tc>
          <w:tcPr>
            <w:tcW w:type="dxa" w:w="3740"/>
          </w:tcPr>
          <w:p>
            <w:pPr>
              <w:spacing w:after="60" w:before="40"/>
            </w:pPr>
            <w:r>
              <w:rPr>
                <w:sz w:val="17"/>
              </w:rPr>
              <w:t>Legal maximum 2.80 fails; separate nutritional minimum may pass</w:t>
            </w:r>
          </w:p>
        </w:tc>
        <w:tc>
          <w:tcPr>
            <w:tcW w:type="dxa" w:w="3740"/>
          </w:tcPr>
          <w:p>
            <w:pPr>
              <w:spacing w:after="60" w:before="40"/>
            </w:pPr>
            <w:r>
              <w:rPr>
                <w:sz w:val="17"/>
              </w:rPr>
              <w:t>Legal basis separate from per 1000 kcal</w:t>
            </w:r>
          </w:p>
        </w:tc>
      </w:tr>
      <w:tr>
        <w:tc>
          <w:tcPr>
            <w:tcW w:type="dxa" w:w="3740"/>
          </w:tcPr>
          <w:p>
            <w:pPr>
              <w:spacing w:after="60" w:before="40"/>
            </w:pPr>
            <w:r>
              <w:rPr>
                <w:sz w:val="17"/>
              </w:rPr>
              <w:t>N13</w:t>
            </w:r>
          </w:p>
        </w:tc>
        <w:tc>
          <w:tcPr>
            <w:tcW w:type="dxa" w:w="3740"/>
          </w:tcPr>
          <w:p>
            <w:pPr>
              <w:spacing w:after="60" w:before="40"/>
            </w:pPr>
            <w:r>
              <w:rPr>
                <w:sz w:val="17"/>
              </w:rPr>
              <w:t>A95 wet adult Se 60 µg/1000; dry adult same</w:t>
            </w:r>
          </w:p>
        </w:tc>
        <w:tc>
          <w:tcPr>
            <w:tcW w:type="dxa" w:w="3740"/>
          </w:tcPr>
          <w:p>
            <w:pPr>
              <w:spacing w:after="60" w:before="40"/>
            </w:pPr>
            <w:r>
              <w:rPr>
                <w:sz w:val="17"/>
              </w:rPr>
              <w:t>Wet fails 67.5; dry passes 55 if all other checks pass</w:t>
            </w:r>
          </w:p>
        </w:tc>
        <w:tc>
          <w:tcPr>
            <w:tcW w:type="dxa" w:w="3740"/>
          </w:tcPr>
          <w:p>
            <w:pPr>
              <w:spacing w:after="60" w:before="40"/>
            </w:pPr>
            <w:r>
              <w:rPr>
                <w:sz w:val="17"/>
              </w:rPr>
              <w:t>Food-form-specific row, not one generic selenium minimum</w:t>
            </w:r>
          </w:p>
        </w:tc>
      </w:tr>
      <w:tr>
        <w:tc>
          <w:tcPr>
            <w:tcW w:type="dxa" w:w="3740"/>
          </w:tcPr>
          <w:p>
            <w:pPr>
              <w:spacing w:after="60" w:before="40"/>
            </w:pPr>
            <w:r>
              <w:rPr>
                <w:sz w:val="17"/>
              </w:rPr>
              <w:t>N14</w:t>
            </w:r>
          </w:p>
        </w:tc>
        <w:tc>
          <w:tcPr>
            <w:tcW w:type="dxa" w:w="3740"/>
          </w:tcPr>
          <w:p>
            <w:pPr>
              <w:spacing w:after="60" w:before="40"/>
            </w:pPr>
            <w:r>
              <w:rPr>
                <w:sz w:val="17"/>
              </w:rPr>
              <w:t>Recipe: all macros/calories pass, lysine unknown</w:t>
            </w:r>
          </w:p>
        </w:tc>
        <w:tc>
          <w:tcPr>
            <w:tcW w:type="dxa" w:w="3740"/>
          </w:tcPr>
          <w:p>
            <w:pPr>
              <w:spacing w:after="60" w:before="40"/>
            </w:pPr>
            <w:r>
              <w:rPr>
                <w:sz w:val="17"/>
              </w:rPr>
              <w:t>INDETERMINATE, no approved complete claim</w:t>
            </w:r>
          </w:p>
        </w:tc>
        <w:tc>
          <w:tcPr>
            <w:tcW w:type="dxa" w:w="3740"/>
          </w:tcPr>
          <w:p>
            <w:pPr>
              <w:spacing w:after="60" w:before="40"/>
            </w:pPr>
            <w:r>
              <w:rPr>
                <w:sz w:val="17"/>
              </w:rPr>
              <w:t>Complete coverage required</w:t>
            </w:r>
          </w:p>
        </w:tc>
      </w:tr>
      <w:tr>
        <w:tc>
          <w:tcPr>
            <w:tcW w:type="dxa" w:w="3740"/>
          </w:tcPr>
          <w:p>
            <w:pPr>
              <w:spacing w:after="60" w:before="40"/>
            </w:pPr>
            <w:r>
              <w:rPr>
                <w:sz w:val="17"/>
              </w:rPr>
              <w:t>N15</w:t>
            </w:r>
          </w:p>
        </w:tc>
        <w:tc>
          <w:tcPr>
            <w:tcW w:type="dxa" w:w="3740"/>
          </w:tcPr>
          <w:p>
            <w:pPr>
              <w:spacing w:after="60" w:before="40"/>
            </w:pPr>
            <w:r>
              <w:rPr>
                <w:sz w:val="17"/>
              </w:rPr>
              <w:t>Adult E/W^.75=90</w:t>
            </w:r>
          </w:p>
        </w:tc>
        <w:tc>
          <w:tcPr>
            <w:tcW w:type="dxa" w:w="3740"/>
          </w:tcPr>
          <w:p>
            <w:pPr>
              <w:spacing w:after="60" w:before="40"/>
            </w:pPr>
            <w:r>
              <w:rPr>
                <w:rFonts w:ascii="Consolas" w:hAnsi="Consolas"/>
                <w:sz w:val="17"/>
              </w:rPr>
              <w:t>PROFILE_REVIEW_REQUIRED</w:t>
            </w:r>
            <w:r>
              <w:rPr>
                <w:sz w:val="17"/>
              </w:rPr>
              <w:t>; no extrapolated A95 approval</w:t>
            </w:r>
          </w:p>
        </w:tc>
        <w:tc>
          <w:tcPr>
            <w:tcW w:type="dxa" w:w="3740"/>
          </w:tcPr>
          <w:p>
            <w:pPr>
              <w:spacing w:after="60" w:before="40"/>
            </w:pPr>
            <w:r>
              <w:rPr>
                <w:sz w:val="17"/>
              </w:rPr>
              <w:t>Selected profile domain insufficient</w:t>
            </w:r>
          </w:p>
        </w:tc>
      </w:tr>
      <w:tr>
        <w:tc>
          <w:tcPr>
            <w:tcW w:type="dxa" w:w="3740"/>
          </w:tcPr>
          <w:p>
            <w:pPr>
              <w:spacing w:after="60" w:before="40"/>
            </w:pPr>
            <w:r>
              <w:rPr>
                <w:sz w:val="17"/>
              </w:rPr>
              <w:t>N16</w:t>
            </w:r>
          </w:p>
        </w:tc>
        <w:tc>
          <w:tcPr>
            <w:tcW w:type="dxa" w:w="3740"/>
          </w:tcPr>
          <w:p>
            <w:pPr>
              <w:spacing w:after="60" w:before="40"/>
            </w:pPr>
            <w:r>
              <w:rPr>
                <w:sz w:val="17"/>
              </w:rPr>
              <w:t>Two food protein intervals [1,2] and [3,5] g</w:t>
            </w:r>
          </w:p>
        </w:tc>
        <w:tc>
          <w:tcPr>
            <w:tcW w:type="dxa" w:w="3740"/>
          </w:tcPr>
          <w:p>
            <w:pPr>
              <w:spacing w:after="60" w:before="40"/>
            </w:pPr>
            <w:r>
              <w:rPr>
                <w:sz w:val="17"/>
              </w:rPr>
              <w:t>Totals [4,7] g; minimum 4 passes, upper limit 6 not certified/possible excess</w:t>
            </w:r>
          </w:p>
        </w:tc>
        <w:tc>
          <w:tcPr>
            <w:tcW w:type="dxa" w:w="3740"/>
          </w:tcPr>
          <w:p>
            <w:pPr>
              <w:spacing w:after="60" w:before="40"/>
            </w:pPr>
            <w:r>
              <w:rPr>
                <w:sz w:val="17"/>
              </w:rPr>
              <w:t>Interval arithmetic preserves uncertainty</w:t>
            </w:r>
          </w:p>
        </w:tc>
      </w:tr>
      <w:tr>
        <w:tc>
          <w:tcPr>
            <w:tcW w:type="dxa" w:w="3740"/>
          </w:tcPr>
          <w:p>
            <w:pPr>
              <w:spacing w:after="60" w:before="40"/>
            </w:pPr>
            <w:r>
              <w:rPr>
                <w:sz w:val="17"/>
              </w:rPr>
              <w:t>N17</w:t>
            </w:r>
          </w:p>
        </w:tc>
        <w:tc>
          <w:tcPr>
            <w:tcW w:type="dxa" w:w="3740"/>
          </w:tcPr>
          <w:p>
            <w:pPr>
              <w:spacing w:after="60" w:before="40"/>
            </w:pPr>
            <w:r>
              <w:rPr>
                <w:sz w:val="17"/>
              </w:rPr>
              <w:t>Missing biotin/K profile bound</w:t>
            </w:r>
          </w:p>
        </w:tc>
        <w:tc>
          <w:tcPr>
            <w:tcW w:type="dxa" w:w="3740"/>
          </w:tcPr>
          <w:p>
            <w:pPr>
              <w:spacing w:after="60" w:before="40"/>
            </w:pPr>
            <w:r>
              <w:rPr>
                <w:sz w:val="17"/>
              </w:rPr>
              <w:t>NOT_APPLICABLE for numeric minimum, not “food contains zero”</w:t>
            </w:r>
          </w:p>
        </w:tc>
        <w:tc>
          <w:tcPr>
            <w:tcW w:type="dxa" w:w="3740"/>
          </w:tcPr>
          <w:p>
            <w:pPr>
              <w:spacing w:after="60" w:before="40"/>
            </w:pPr>
            <w:r>
              <w:rPr>
                <w:sz w:val="17"/>
              </w:rPr>
              <w:t>Not-established standard state distinct from missing composition</w:t>
            </w:r>
          </w:p>
        </w:tc>
      </w:tr>
      <w:tr>
        <w:tc>
          <w:tcPr>
            <w:tcW w:type="dxa" w:w="3740"/>
          </w:tcPr>
          <w:p>
            <w:pPr>
              <w:spacing w:after="60" w:before="40"/>
            </w:pPr>
            <w:r>
              <w:rPr>
                <w:sz w:val="17"/>
              </w:rPr>
              <w:t>N18</w:t>
            </w:r>
          </w:p>
        </w:tc>
        <w:tc>
          <w:tcPr>
            <w:tcW w:type="dxa" w:w="3740"/>
          </w:tcPr>
          <w:p>
            <w:pPr>
              <w:spacing w:after="60" w:before="40"/>
            </w:pPr>
            <w:r>
              <w:rPr>
                <w:sz w:val="17"/>
              </w:rPr>
              <w:t>Phosphorus 0/unknown in Ca:P</w:t>
            </w:r>
          </w:p>
        </w:tc>
        <w:tc>
          <w:tcPr>
            <w:tcW w:type="dxa" w:w="3740"/>
          </w:tcPr>
          <w:p>
            <w:pPr>
              <w:spacing w:after="60" w:before="40"/>
            </w:pPr>
            <w:r>
              <w:rPr>
                <w:sz w:val="17"/>
              </w:rPr>
              <w:t>Invalid/UNKNOWN ratio, cannot pass</w:t>
            </w:r>
          </w:p>
        </w:tc>
        <w:tc>
          <w:tcPr>
            <w:tcW w:type="dxa" w:w="3740"/>
          </w:tcPr>
          <w:p>
            <w:pPr>
              <w:spacing w:after="60" w:before="40"/>
            </w:pPr>
            <w:r>
              <w:rPr>
                <w:sz w:val="17"/>
              </w:rPr>
              <w:t>Denominator and mass basis enforced</w:t>
            </w:r>
          </w:p>
        </w:tc>
      </w:tr>
      <w:tr>
        <w:tc>
          <w:tcPr>
            <w:tcW w:type="dxa" w:w="3740"/>
          </w:tcPr>
          <w:p>
            <w:pPr>
              <w:spacing w:after="60" w:before="40"/>
            </w:pPr>
            <w:r>
              <w:rPr>
                <w:sz w:val="17"/>
              </w:rPr>
              <w:t>N19</w:t>
            </w:r>
          </w:p>
        </w:tc>
        <w:tc>
          <w:tcPr>
            <w:tcW w:type="dxa" w:w="3740"/>
          </w:tcPr>
          <w:p>
            <w:pPr>
              <w:spacing w:after="60" w:before="40"/>
            </w:pPr>
            <w:r>
              <w:rPr>
                <w:sz w:val="17"/>
              </w:rPr>
              <w:t>Adult 110, protein 67.567568 g/1000, arginine 1.4 g/1000</w:t>
            </w:r>
          </w:p>
        </w:tc>
        <w:tc>
          <w:tcPr>
            <w:tcW w:type="dxa" w:w="3740"/>
          </w:tcPr>
          <w:p>
            <w:pPr>
              <w:spacing w:after="60" w:before="40"/>
            </w:pPr>
            <w:r>
              <w:rPr>
                <w:sz w:val="17"/>
              </w:rPr>
              <w:t>Adjusted arginine minimum 1.52567568; FAIL although baseline 1.30 passes</w:t>
            </w:r>
          </w:p>
        </w:tc>
        <w:tc>
          <w:tcPr>
            <w:tcW w:type="dxa" w:w="3740"/>
          </w:tcPr>
          <w:p>
            <w:pPr>
              <w:spacing w:after="60" w:before="40"/>
            </w:pPr>
            <w:r>
              <w:rPr>
                <w:sz w:val="17"/>
              </w:rPr>
              <w:t>Protein-dependent substantiation rule</w:t>
            </w:r>
          </w:p>
        </w:tc>
      </w:tr>
    </w:tbl>
    <w:p>
      <w:pPr>
        <w:spacing w:after="0"/>
      </w:pPr>
    </w:p>
    <w:p>
      <w:pPr>
        <w:sectPr>
          <w:pgSz w:w="16834" w:h="11909" w:orient="landscape"/>
          <w:pgMar w:top="936" w:right="936" w:bottom="936" w:left="936" w:header="432" w:footer="432" w:gutter="0"/>
          <w:cols w:space="720"/>
          <w:docGrid w:linePitch="360"/>
        </w:sectPr>
      </w:pPr>
    </w:p>
    <w:p>
      <w:r>
        <w:t xml:space="preserve">An interval overlapping a maximum must not be marked a definite measured violation; return </w:t>
      </w:r>
      <w:r>
        <w:rPr>
          <w:rFonts w:ascii="Consolas" w:hAnsi="Consolas"/>
          <w:sz w:val="18"/>
        </w:rPr>
        <w:t>UNKNOWN</w:t>
      </w:r>
      <w:r>
        <w:t xml:space="preserve">/possible-excess review, while an interval entirely above it is </w:t>
      </w:r>
      <w:r>
        <w:rPr>
          <w:rFonts w:ascii="Consolas" w:hAnsi="Consolas"/>
          <w:sz w:val="18"/>
        </w:rPr>
        <w:t>FAIL</w:t>
      </w:r>
      <w:r>
        <w:t>. The same distinction applies to an uncertain minimum. The validator should report what the evidence establishes, not overstate certainty.</w:t>
      </w:r>
    </w:p>
    <w:p>
      <w:pPr>
        <w:pStyle w:val="Heading2"/>
      </w:pPr>
      <w:r>
        <w:t>20.3 Safety, integration and workflow scenarios</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ID</w:t>
            </w:r>
          </w:p>
        </w:tc>
        <w:tc>
          <w:tcPr>
            <w:tcW w:type="dxa" w:w="3346"/>
            <w:shd w:fill="154F59"/>
          </w:tcPr>
          <w:p>
            <w:pPr>
              <w:spacing w:after="60" w:before="40"/>
            </w:pPr>
            <w:r>
              <w:rPr>
                <w:b/>
                <w:color w:val="FFFFFF"/>
                <w:sz w:val="19"/>
              </w:rPr>
              <w:t>Inputs/operation</w:t>
            </w:r>
          </w:p>
        </w:tc>
        <w:tc>
          <w:tcPr>
            <w:tcW w:type="dxa" w:w="3346"/>
            <w:shd w:fill="154F59"/>
          </w:tcPr>
          <w:p>
            <w:pPr>
              <w:spacing w:after="60" w:before="40"/>
            </w:pPr>
            <w:r>
              <w:rPr>
                <w:b/>
                <w:color w:val="FFFFFF"/>
                <w:sz w:val="19"/>
              </w:rPr>
              <w:t>Expected output and reasoning</w:t>
            </w:r>
          </w:p>
        </w:tc>
      </w:tr>
      <w:tr>
        <w:tc>
          <w:tcPr>
            <w:tcW w:type="dxa" w:w="3346"/>
          </w:tcPr>
          <w:p>
            <w:pPr>
              <w:spacing w:after="60" w:before="40"/>
            </w:pPr>
            <w:r>
              <w:rPr>
                <w:sz w:val="19"/>
              </w:rPr>
              <w:t>S01</w:t>
            </w:r>
          </w:p>
        </w:tc>
        <w:tc>
          <w:tcPr>
            <w:tcW w:type="dxa" w:w="3346"/>
          </w:tcPr>
          <w:p>
            <w:pPr>
              <w:spacing w:after="60" w:before="40"/>
            </w:pPr>
            <w:r>
              <w:rPr>
                <w:sz w:val="19"/>
              </w:rPr>
              <w:t>Compound broth contains powdered bawang/canonical garlic</w:t>
            </w:r>
          </w:p>
        </w:tc>
        <w:tc>
          <w:tcPr>
            <w:tcW w:type="dxa" w:w="3346"/>
          </w:tcPr>
          <w:p>
            <w:pPr>
              <w:spacing w:after="60" w:before="40"/>
            </w:pPr>
            <w:r>
              <w:rPr>
                <w:rFonts w:ascii="Consolas" w:hAnsi="Consolas"/>
                <w:sz w:val="19"/>
              </w:rPr>
              <w:t>TOXIC_INGREDIENT</w:t>
            </w:r>
            <w:r>
              <w:rPr>
                <w:sz w:val="19"/>
              </w:rPr>
              <w:t>; cooking/compound form does not clear hazard</w:t>
            </w:r>
          </w:p>
        </w:tc>
      </w:tr>
      <w:tr>
        <w:tc>
          <w:tcPr>
            <w:tcW w:type="dxa" w:w="3346"/>
          </w:tcPr>
          <w:p>
            <w:pPr>
              <w:spacing w:after="60" w:before="40"/>
            </w:pPr>
            <w:r>
              <w:rPr>
                <w:sz w:val="19"/>
              </w:rPr>
              <w:t>S02</w:t>
            </w:r>
          </w:p>
        </w:tc>
        <w:tc>
          <w:tcPr>
            <w:tcW w:type="dxa" w:w="3346"/>
          </w:tcPr>
          <w:p>
            <w:pPr>
              <w:spacing w:after="60" w:before="40"/>
            </w:pPr>
            <w:r>
              <w:rPr>
                <w:sz w:val="19"/>
              </w:rPr>
              <w:t>Sugar-free topper declares birch sugar/xylitol</w:t>
            </w:r>
          </w:p>
        </w:tc>
        <w:tc>
          <w:tcPr>
            <w:tcW w:type="dxa" w:w="3346"/>
          </w:tcPr>
          <w:p>
            <w:pPr>
              <w:spacing w:after="60" w:before="40"/>
            </w:pPr>
            <w:r>
              <w:rPr>
                <w:sz w:val="19"/>
              </w:rPr>
              <w:t>Block; ingestion message: referral, no universal safe dose</w:t>
            </w:r>
          </w:p>
        </w:tc>
      </w:tr>
      <w:tr>
        <w:tc>
          <w:tcPr>
            <w:tcW w:type="dxa" w:w="3346"/>
          </w:tcPr>
          <w:p>
            <w:pPr>
              <w:spacing w:after="60" w:before="40"/>
            </w:pPr>
            <w:r>
              <w:rPr>
                <w:sz w:val="19"/>
              </w:rPr>
              <w:t>S03</w:t>
            </w:r>
          </w:p>
        </w:tc>
        <w:tc>
          <w:tcPr>
            <w:tcW w:type="dxa" w:w="3346"/>
          </w:tcPr>
          <w:p>
            <w:pPr>
              <w:spacing w:after="60" w:before="40"/>
            </w:pPr>
            <w:r>
              <w:rPr>
                <w:sz w:val="19"/>
              </w:rPr>
              <w:t>Deboned fish version versus cooked fish with bones</w:t>
            </w:r>
          </w:p>
        </w:tc>
        <w:tc>
          <w:tcPr>
            <w:tcW w:type="dxa" w:w="3346"/>
          </w:tcPr>
          <w:p>
            <w:pPr>
              <w:spacing w:after="60" w:before="40"/>
            </w:pPr>
            <w:r>
              <w:rPr>
                <w:sz w:val="19"/>
              </w:rPr>
              <w:t>First requires normal eligibility; second</w:t>
            </w:r>
            <w:r>
              <w:rPr>
                <w:rFonts w:ascii="Consolas" w:hAnsi="Consolas"/>
                <w:sz w:val="19"/>
              </w:rPr>
              <w:t>BONE_HAZARD</w:t>
            </w:r>
            <w:r>
              <w:rPr>
                <w:sz w:val="19"/>
              </w:rPr>
              <w:t>; energy does not determine safety</w:t>
            </w:r>
          </w:p>
        </w:tc>
      </w:tr>
      <w:tr>
        <w:tc>
          <w:tcPr>
            <w:tcW w:type="dxa" w:w="3346"/>
          </w:tcPr>
          <w:p>
            <w:pPr>
              <w:spacing w:after="60" w:before="40"/>
            </w:pPr>
            <w:r>
              <w:rPr>
                <w:sz w:val="19"/>
              </w:rPr>
              <w:t>S04</w:t>
            </w:r>
          </w:p>
        </w:tc>
        <w:tc>
          <w:tcPr>
            <w:tcW w:type="dxa" w:w="3346"/>
          </w:tcPr>
          <w:p>
            <w:pPr>
              <w:spacing w:after="60" w:before="40"/>
            </w:pPr>
            <w:r>
              <w:rPr>
                <w:sz w:val="19"/>
              </w:rPr>
              <w:t>Unknown “adobo leftovers” composition</w:t>
            </w:r>
          </w:p>
        </w:tc>
        <w:tc>
          <w:tcPr>
            <w:tcW w:type="dxa" w:w="3346"/>
          </w:tcPr>
          <w:p>
            <w:pPr>
              <w:spacing w:after="60" w:before="40"/>
            </w:pPr>
            <w:r>
              <w:rPr>
                <w:sz w:val="19"/>
              </w:rPr>
              <w:t>Unresolved ingredient/evidence block, no guess from dish name</w:t>
            </w:r>
          </w:p>
        </w:tc>
      </w:tr>
      <w:tr>
        <w:tc>
          <w:tcPr>
            <w:tcW w:type="dxa" w:w="3346"/>
          </w:tcPr>
          <w:p>
            <w:pPr>
              <w:spacing w:after="60" w:before="40"/>
            </w:pPr>
            <w:r>
              <w:rPr>
                <w:sz w:val="19"/>
              </w:rPr>
              <w:t>S05</w:t>
            </w:r>
          </w:p>
        </w:tc>
        <w:tc>
          <w:tcPr>
            <w:tcW w:type="dxa" w:w="3346"/>
          </w:tcPr>
          <w:p>
            <w:pPr>
              <w:spacing w:after="60" w:before="40"/>
            </w:pPr>
            <w:r>
              <w:rPr>
                <w:sz w:val="19"/>
              </w:rPr>
              <w:t>Approved exact food now active recall</w:t>
            </w:r>
          </w:p>
        </w:tc>
        <w:tc>
          <w:tcPr>
            <w:tcW w:type="dxa" w:w="3346"/>
          </w:tcPr>
          <w:p>
            <w:pPr>
              <w:spacing w:after="60" w:before="40"/>
            </w:pPr>
            <w:r>
              <w:rPr>
                <w:sz w:val="19"/>
              </w:rPr>
              <w:t>Block/new revalidation flag even if prior label valid</w:t>
            </w:r>
          </w:p>
        </w:tc>
      </w:tr>
      <w:tr>
        <w:tc>
          <w:tcPr>
            <w:tcW w:type="dxa" w:w="3346"/>
          </w:tcPr>
          <w:p>
            <w:pPr>
              <w:spacing w:after="60" w:before="40"/>
            </w:pPr>
            <w:r>
              <w:rPr>
                <w:sz w:val="19"/>
              </w:rPr>
              <w:t>S06</w:t>
            </w:r>
          </w:p>
        </w:tc>
        <w:tc>
          <w:tcPr>
            <w:tcW w:type="dxa" w:w="3346"/>
          </w:tcPr>
          <w:p>
            <w:pPr>
              <w:spacing w:after="60" w:before="40"/>
            </w:pPr>
            <w:r>
              <w:rPr>
                <w:sz w:val="19"/>
              </w:rPr>
              <w:t>Allergy trial with unverified flavored medication</w:t>
            </w:r>
          </w:p>
        </w:tc>
        <w:tc>
          <w:tcPr>
            <w:tcW w:type="dxa" w:w="3346"/>
          </w:tcPr>
          <w:p>
            <w:pPr>
              <w:spacing w:after="60" w:before="40"/>
            </w:pPr>
            <w:r>
              <w:rPr>
                <w:sz w:val="19"/>
              </w:rPr>
              <w:t>Clinical review/unknown exposure, no invented protein absence or medication-stop instruction</w:t>
            </w:r>
          </w:p>
        </w:tc>
      </w:tr>
      <w:tr>
        <w:tc>
          <w:tcPr>
            <w:tcW w:type="dxa" w:w="3346"/>
          </w:tcPr>
          <w:p>
            <w:pPr>
              <w:spacing w:after="60" w:before="40"/>
            </w:pPr>
            <w:r>
              <w:rPr>
                <w:sz w:val="19"/>
              </w:rPr>
              <w:t>S07</w:t>
            </w:r>
          </w:p>
        </w:tc>
        <w:tc>
          <w:tcPr>
            <w:tcW w:type="dxa" w:w="3346"/>
          </w:tcPr>
          <w:p>
            <w:pPr>
              <w:spacing w:after="60" w:before="40"/>
            </w:pPr>
            <w:r>
              <w:rPr>
                <w:sz w:val="19"/>
              </w:rPr>
              <w:t>Known pancreatitis, owner asks for a healthy meal</w:t>
            </w:r>
          </w:p>
        </w:tc>
        <w:tc>
          <w:tcPr>
            <w:tcW w:type="dxa" w:w="3346"/>
          </w:tcPr>
          <w:p>
            <w:pPr>
              <w:spacing w:after="60" w:before="40"/>
            </w:pPr>
            <w:r>
              <w:rPr>
                <w:rFonts w:ascii="Consolas" w:hAnsi="Consolas"/>
                <w:sz w:val="19"/>
              </w:rPr>
              <w:t>CLINICAL_REVIEW_REQUIRED</w:t>
            </w:r>
            <w:r>
              <w:rPr>
                <w:sz w:val="19"/>
              </w:rPr>
              <w:t>; diary/prescription recording remains available</w:t>
            </w:r>
          </w:p>
        </w:tc>
      </w:tr>
      <w:tr>
        <w:tc>
          <w:tcPr>
            <w:tcW w:type="dxa" w:w="3346"/>
          </w:tcPr>
          <w:p>
            <w:pPr>
              <w:spacing w:after="60" w:before="40"/>
            </w:pPr>
            <w:r>
              <w:rPr>
                <w:sz w:val="19"/>
              </w:rPr>
              <w:t>S08</w:t>
            </w:r>
          </w:p>
        </w:tc>
        <w:tc>
          <w:tcPr>
            <w:tcW w:type="dxa" w:w="3346"/>
          </w:tcPr>
          <w:p>
            <w:pPr>
              <w:spacing w:after="60" w:before="40"/>
            </w:pPr>
            <w:r>
              <w:rPr>
                <w:sz w:val="19"/>
              </w:rPr>
              <w:t>Reported abdominal distension and unproductive retching</w:t>
            </w:r>
          </w:p>
        </w:tc>
        <w:tc>
          <w:tcPr>
            <w:tcW w:type="dxa" w:w="3346"/>
          </w:tcPr>
          <w:p>
            <w:pPr>
              <w:spacing w:after="60" w:before="40"/>
            </w:pPr>
            <w:r>
              <w:rPr>
                <w:sz w:val="19"/>
              </w:rPr>
              <w:t>Emergency action first, no “try smaller meals” new recommendation</w:t>
            </w:r>
          </w:p>
        </w:tc>
      </w:tr>
      <w:tr>
        <w:tc>
          <w:tcPr>
            <w:tcW w:type="dxa" w:w="3346"/>
          </w:tcPr>
          <w:p>
            <w:pPr>
              <w:spacing w:after="60" w:before="40"/>
            </w:pPr>
            <w:r>
              <w:rPr>
                <w:sz w:val="19"/>
              </w:rPr>
              <w:t>I01</w:t>
            </w:r>
          </w:p>
        </w:tc>
        <w:tc>
          <w:tcPr>
            <w:tcW w:type="dxa" w:w="3346"/>
          </w:tcPr>
          <w:p>
            <w:pPr>
              <w:spacing w:after="60" w:before="40"/>
            </w:pPr>
            <w:r>
              <w:rPr>
                <w:sz w:val="19"/>
              </w:rPr>
              <w:t>Owner A requests Owner B dog</w:t>
            </w:r>
          </w:p>
        </w:tc>
        <w:tc>
          <w:tcPr>
            <w:tcW w:type="dxa" w:w="3346"/>
          </w:tcPr>
          <w:p>
            <w:pPr>
              <w:spacing w:after="60" w:before="40"/>
            </w:pPr>
            <w:r>
              <w:rPr>
                <w:sz w:val="19"/>
              </w:rPr>
              <w:t>404; no dog profile disclosure; ownership enforced before calculations</w:t>
            </w:r>
          </w:p>
        </w:tc>
      </w:tr>
      <w:tr>
        <w:tc>
          <w:tcPr>
            <w:tcW w:type="dxa" w:w="3346"/>
          </w:tcPr>
          <w:p>
            <w:pPr>
              <w:spacing w:after="60" w:before="40"/>
            </w:pPr>
            <w:r>
              <w:rPr>
                <w:sz w:val="19"/>
              </w:rPr>
              <w:t>I02</w:t>
            </w:r>
          </w:p>
        </w:tc>
        <w:tc>
          <w:tcPr>
            <w:tcW w:type="dxa" w:w="3346"/>
          </w:tcPr>
          <w:p>
            <w:pPr>
              <w:spacing w:after="60" w:before="40"/>
            </w:pPr>
            <w:r>
              <w:rPr>
                <w:sz w:val="19"/>
              </w:rPr>
              <w:t>Missing/expired main session or auth service unavailable</w:t>
            </w:r>
          </w:p>
        </w:tc>
        <w:tc>
          <w:tcPr>
            <w:tcW w:type="dxa" w:w="3346"/>
          </w:tcPr>
          <w:p>
            <w:pPr>
              <w:spacing w:after="60" w:before="40"/>
            </w:pPr>
            <w:r>
              <w:rPr>
                <w:sz w:val="19"/>
              </w:rPr>
              <w:t>401/503 respectively; no guest approval or second account</w:t>
            </w:r>
          </w:p>
        </w:tc>
      </w:tr>
      <w:tr>
        <w:tc>
          <w:tcPr>
            <w:tcW w:type="dxa" w:w="3346"/>
          </w:tcPr>
          <w:p>
            <w:pPr>
              <w:spacing w:after="60" w:before="40"/>
            </w:pPr>
            <w:r>
              <w:rPr>
                <w:sz w:val="19"/>
              </w:rPr>
              <w:t>I03</w:t>
            </w:r>
          </w:p>
        </w:tc>
        <w:tc>
          <w:tcPr>
            <w:tcW w:type="dxa" w:w="3346"/>
          </w:tcPr>
          <w:p>
            <w:pPr>
              <w:spacing w:after="60" w:before="40"/>
            </w:pPr>
            <w:r>
              <w:rPr>
                <w:sz w:val="19"/>
              </w:rPr>
              <w:t>Preview then food version/profile changes before save</w:t>
            </w:r>
          </w:p>
        </w:tc>
        <w:tc>
          <w:tcPr>
            <w:tcW w:type="dxa" w:w="3346"/>
          </w:tcPr>
          <w:p>
            <w:pPr>
              <w:spacing w:after="60" w:before="40"/>
            </w:pPr>
            <w:r>
              <w:rPr>
                <w:sz w:val="19"/>
              </w:rPr>
              <w:t>409</w:t>
            </w:r>
            <w:r>
              <w:rPr>
                <w:rFonts w:ascii="Consolas" w:hAnsi="Consolas"/>
                <w:sz w:val="19"/>
              </w:rPr>
              <w:t>STALE_PREVIEW</w:t>
            </w:r>
            <w:r>
              <w:rPr>
                <w:sz w:val="19"/>
              </w:rPr>
              <w:t>; re-run server, no stale portion publication</w:t>
            </w:r>
          </w:p>
        </w:tc>
      </w:tr>
      <w:tr>
        <w:tc>
          <w:tcPr>
            <w:tcW w:type="dxa" w:w="3346"/>
          </w:tcPr>
          <w:p>
            <w:pPr>
              <w:spacing w:after="60" w:before="40"/>
            </w:pPr>
            <w:r>
              <w:rPr>
                <w:sz w:val="19"/>
              </w:rPr>
              <w:t>I04</w:t>
            </w:r>
          </w:p>
        </w:tc>
        <w:tc>
          <w:tcPr>
            <w:tcW w:type="dxa" w:w="3346"/>
          </w:tcPr>
          <w:p>
            <w:pPr>
              <w:spacing w:after="60" w:before="40"/>
            </w:pPr>
            <w:r>
              <w:rPr>
                <w:sz w:val="19"/>
              </w:rPr>
              <w:t>Same owner/request ID/same canonical body repeated</w:t>
            </w:r>
          </w:p>
        </w:tc>
        <w:tc>
          <w:tcPr>
            <w:tcW w:type="dxa" w:w="3346"/>
          </w:tcPr>
          <w:p>
            <w:pPr>
              <w:spacing w:after="60" w:before="40"/>
            </w:pPr>
            <w:r>
              <w:rPr>
                <w:sz w:val="19"/>
              </w:rPr>
              <w:t>Return same persisted result; no second version/log; changed body→409</w:t>
            </w:r>
          </w:p>
        </w:tc>
      </w:tr>
      <w:tr>
        <w:tc>
          <w:tcPr>
            <w:tcW w:type="dxa" w:w="3346"/>
          </w:tcPr>
          <w:p>
            <w:pPr>
              <w:spacing w:after="60" w:before="40"/>
            </w:pPr>
            <w:r>
              <w:rPr>
                <w:sz w:val="19"/>
              </w:rPr>
              <w:t>I05</w:t>
            </w:r>
          </w:p>
        </w:tc>
        <w:tc>
          <w:tcPr>
            <w:tcW w:type="dxa" w:w="3346"/>
          </w:tcPr>
          <w:p>
            <w:pPr>
              <w:spacing w:after="60" w:before="40"/>
            </w:pPr>
            <w:r>
              <w:rPr>
                <w:sz w:val="19"/>
              </w:rPr>
              <w:t>Two concurrent replacement plans</w:t>
            </w:r>
          </w:p>
        </w:tc>
        <w:tc>
          <w:tcPr>
            <w:tcW w:type="dxa" w:w="3346"/>
          </w:tcPr>
          <w:p>
            <w:pPr>
              <w:spacing w:after="60" w:before="40"/>
            </w:pPr>
            <w:r>
              <w:rPr>
                <w:sz w:val="19"/>
              </w:rPr>
              <w:t>Exactly one committed active plan, other conflict/retry; previous history retained</w:t>
            </w:r>
          </w:p>
        </w:tc>
      </w:tr>
      <w:tr>
        <w:tc>
          <w:tcPr>
            <w:tcW w:type="dxa" w:w="3346"/>
          </w:tcPr>
          <w:p>
            <w:pPr>
              <w:spacing w:after="60" w:before="40"/>
            </w:pPr>
            <w:r>
              <w:rPr>
                <w:sz w:val="19"/>
              </w:rPr>
              <w:t>I06</w:t>
            </w:r>
          </w:p>
        </w:tc>
        <w:tc>
          <w:tcPr>
            <w:tcW w:type="dxa" w:w="3346"/>
          </w:tcPr>
          <w:p>
            <w:pPr>
              <w:spacing w:after="60" w:before="40"/>
            </w:pPr>
            <w:r>
              <w:rPr>
                <w:sz w:val="19"/>
              </w:rPr>
              <w:t>Failure midway through plan publication</w:t>
            </w:r>
          </w:p>
        </w:tc>
        <w:tc>
          <w:tcPr>
            <w:tcW w:type="dxa" w:w="3346"/>
          </w:tcPr>
          <w:p>
            <w:pPr>
              <w:spacing w:after="60" w:before="40"/>
            </w:pPr>
            <w:r>
              <w:rPr>
                <w:sz w:val="19"/>
              </w:rPr>
              <w:t>Transaction rollback or tested CAS recovery; no two active plans or lost history</w:t>
            </w:r>
          </w:p>
        </w:tc>
      </w:tr>
      <w:tr>
        <w:tc>
          <w:tcPr>
            <w:tcW w:type="dxa" w:w="3346"/>
          </w:tcPr>
          <w:p>
            <w:pPr>
              <w:spacing w:after="60" w:before="40"/>
            </w:pPr>
            <w:r>
              <w:rPr>
                <w:sz w:val="19"/>
              </w:rPr>
              <w:t>I07</w:t>
            </w:r>
          </w:p>
        </w:tc>
        <w:tc>
          <w:tcPr>
            <w:tcW w:type="dxa" w:w="3346"/>
          </w:tcPr>
          <w:p>
            <w:pPr>
              <w:spacing w:after="60" w:before="40"/>
            </w:pPr>
            <w:r>
              <w:rPr>
                <w:sz w:val="19"/>
              </w:rPr>
              <w:t>MongoDB outage</w:t>
            </w:r>
          </w:p>
        </w:tc>
        <w:tc>
          <w:tcPr>
            <w:tcW w:type="dxa" w:w="3346"/>
          </w:tcPr>
          <w:p>
            <w:pPr>
              <w:spacing w:after="60" w:before="40"/>
            </w:pPr>
            <w:r>
              <w:rPr>
                <w:sz w:val="19"/>
              </w:rPr>
              <w:t>503 dependency error, no zero energy/default food record</w:t>
            </w:r>
          </w:p>
        </w:tc>
      </w:tr>
      <w:tr>
        <w:tc>
          <w:tcPr>
            <w:tcW w:type="dxa" w:w="3346"/>
          </w:tcPr>
          <w:p>
            <w:pPr>
              <w:spacing w:after="60" w:before="40"/>
            </w:pPr>
            <w:r>
              <w:rPr>
                <w:sz w:val="19"/>
              </w:rPr>
              <w:t>I08</w:t>
            </w:r>
          </w:p>
        </w:tc>
        <w:tc>
          <w:tcPr>
            <w:tcW w:type="dxa" w:w="3346"/>
          </w:tcPr>
          <w:p>
            <w:pPr>
              <w:spacing w:after="60" w:before="40"/>
            </w:pPr>
            <w:r>
              <w:rPr>
                <w:sz w:val="19"/>
              </w:rPr>
              <w:t>Manually recorded clinical diet</w:t>
            </w:r>
          </w:p>
        </w:tc>
        <w:tc>
          <w:tcPr>
            <w:tcW w:type="dxa" w:w="3346"/>
          </w:tcPr>
          <w:p>
            <w:pPr>
              <w:spacing w:after="60" w:before="40"/>
            </w:pPr>
            <w:r>
              <w:rPr>
                <w:sz w:val="19"/>
              </w:rPr>
              <w:t>Stored as recording; no computed approval even if calories are known</w:t>
            </w:r>
          </w:p>
        </w:tc>
      </w:tr>
      <w:tr>
        <w:tc>
          <w:tcPr>
            <w:tcW w:type="dxa" w:w="3346"/>
          </w:tcPr>
          <w:p>
            <w:pPr>
              <w:spacing w:after="60" w:before="40"/>
            </w:pPr>
            <w:r>
              <w:rPr>
                <w:sz w:val="19"/>
              </w:rPr>
              <w:t>I09</w:t>
            </w:r>
          </w:p>
        </w:tc>
        <w:tc>
          <w:tcPr>
            <w:tcW w:type="dxa" w:w="3346"/>
          </w:tcPr>
          <w:p>
            <w:pPr>
              <w:spacing w:after="60" w:before="40"/>
            </w:pPr>
            <w:r>
              <w:rPr>
                <w:sz w:val="19"/>
              </w:rPr>
              <w:t>Recipe substitution swaps meat/premix</w:t>
            </w:r>
          </w:p>
        </w:tc>
        <w:tc>
          <w:tcPr>
            <w:tcW w:type="dxa" w:w="3346"/>
          </w:tcPr>
          <w:p>
            <w:pPr>
              <w:spacing w:after="60" w:before="40"/>
            </w:pPr>
            <w:r>
              <w:rPr>
                <w:sz w:val="19"/>
              </w:rPr>
              <w:t>New immutable candidate, prior review invalid for new composition, full recalculation</w:t>
            </w:r>
          </w:p>
        </w:tc>
      </w:tr>
      <w:tr>
        <w:tc>
          <w:tcPr>
            <w:tcW w:type="dxa" w:w="3346"/>
          </w:tcPr>
          <w:p>
            <w:pPr>
              <w:spacing w:after="60" w:before="40"/>
            </w:pPr>
            <w:r>
              <w:rPr>
                <w:sz w:val="19"/>
              </w:rPr>
              <w:t>I10</w:t>
            </w:r>
          </w:p>
        </w:tc>
        <w:tc>
          <w:tcPr>
            <w:tcW w:type="dxa" w:w="3346"/>
          </w:tcPr>
          <w:p>
            <w:pPr>
              <w:spacing w:after="60" w:before="40"/>
            </w:pPr>
            <w:r>
              <w:rPr>
                <w:sz w:val="19"/>
              </w:rPr>
              <w:t>New standard edition or manufacturer formula</w:t>
            </w:r>
          </w:p>
        </w:tc>
        <w:tc>
          <w:tcPr>
            <w:tcW w:type="dxa" w:w="3346"/>
          </w:tcPr>
          <w:p>
            <w:pPr>
              <w:spacing w:after="60" w:before="40"/>
            </w:pPr>
            <w:r>
              <w:rPr>
                <w:sz w:val="19"/>
              </w:rPr>
              <w:t>Old snapshot replays unchanged; new previews use approved new version; affected active plan flagged</w:t>
            </w:r>
          </w:p>
        </w:tc>
      </w:tr>
      <w:tr>
        <w:tc>
          <w:tcPr>
            <w:tcW w:type="dxa" w:w="3346"/>
          </w:tcPr>
          <w:p>
            <w:pPr>
              <w:spacing w:after="60" w:before="40"/>
            </w:pPr>
            <w:r>
              <w:rPr>
                <w:sz w:val="19"/>
              </w:rPr>
              <w:t>I11</w:t>
            </w:r>
          </w:p>
        </w:tc>
        <w:tc>
          <w:tcPr>
            <w:tcW w:type="dxa" w:w="3346"/>
          </w:tcPr>
          <w:p>
            <w:pPr>
              <w:spacing w:after="60" w:before="40"/>
            </w:pPr>
            <w:r>
              <w:rPr>
                <w:sz w:val="19"/>
              </w:rPr>
              <w:t>Feeding log references plan item and standalone duplicate</w:t>
            </w:r>
          </w:p>
        </w:tc>
        <w:tc>
          <w:tcPr>
            <w:tcW w:type="dxa" w:w="3346"/>
          </w:tcPr>
          <w:p>
            <w:pPr>
              <w:spacing w:after="60" w:before="40"/>
            </w:pPr>
            <w:r>
              <w:rPr>
                <w:sz w:val="19"/>
              </w:rPr>
              <w:t>Reject/one ledger contribution; offered/eaten intake not double counted</w:t>
            </w:r>
          </w:p>
        </w:tc>
      </w:tr>
      <w:tr>
        <w:tc>
          <w:tcPr>
            <w:tcW w:type="dxa" w:w="3346"/>
          </w:tcPr>
          <w:p>
            <w:pPr>
              <w:spacing w:after="60" w:before="40"/>
            </w:pPr>
            <w:r>
              <w:rPr>
                <w:sz w:val="19"/>
              </w:rPr>
              <w:t>I12</w:t>
            </w:r>
          </w:p>
        </w:tc>
        <w:tc>
          <w:tcPr>
            <w:tcW w:type="dxa" w:w="3346"/>
          </w:tcPr>
          <w:p>
            <w:pPr>
              <w:spacing w:after="60" w:before="40"/>
            </w:pPr>
            <w:r>
              <w:rPr>
                <w:sz w:val="19"/>
              </w:rPr>
              <w:t>Weight 25→24.75 kg over 7 days</w:t>
            </w:r>
          </w:p>
        </w:tc>
        <w:tc>
          <w:tcPr>
            <w:tcW w:type="dxa" w:w="3346"/>
          </w:tcPr>
          <w:p>
            <w:pPr>
              <w:spacing w:after="60" w:before="40"/>
            </w:pPr>
            <w:r>
              <w:rPr>
                <w:sz w:val="19"/>
              </w:rPr>
              <w:t xml:space="preserve">1% weekly loss; </w:t>
            </w:r>
            <w:r>
              <w:rPr>
                <w:rFonts w:ascii="Consolas" w:hAnsi="Consolas"/>
                <w:sz w:val="19"/>
              </w:rPr>
              <w:t>(25−24.75)/25×100</w:t>
            </w:r>
            <w:r>
              <w:rPr>
                <w:sz w:val="19"/>
              </w:rPr>
              <w:t>; clinician context, not automatic dose change</w:t>
            </w:r>
          </w:p>
        </w:tc>
      </w:tr>
      <w:tr>
        <w:tc>
          <w:tcPr>
            <w:tcW w:type="dxa" w:w="3346"/>
          </w:tcPr>
          <w:p>
            <w:pPr>
              <w:spacing w:after="60" w:before="40"/>
            </w:pPr>
            <w:r>
              <w:rPr>
                <w:sz w:val="19"/>
              </w:rPr>
              <w:t>I13</w:t>
            </w:r>
          </w:p>
        </w:tc>
        <w:tc>
          <w:tcPr>
            <w:tcW w:type="dxa" w:w="3346"/>
          </w:tcPr>
          <w:p>
            <w:pPr>
              <w:spacing w:after="60" w:before="40"/>
            </w:pPr>
            <w:r>
              <w:rPr>
                <w:sz w:val="19"/>
              </w:rPr>
              <w:t>Same change over 14 days; reverse-time/duplicate dates</w:t>
            </w:r>
          </w:p>
        </w:tc>
        <w:tc>
          <w:tcPr>
            <w:tcW w:type="dxa" w:w="3346"/>
          </w:tcPr>
          <w:p>
            <w:pPr>
              <w:spacing w:after="60" w:before="40"/>
            </w:pPr>
            <w:r>
              <w:rPr>
                <w:sz w:val="19"/>
              </w:rPr>
              <w:t>0.5% weekly rate; invalid elapsed time flagged, not division by zero</w:t>
            </w:r>
          </w:p>
        </w:tc>
      </w:tr>
      <w:tr>
        <w:tc>
          <w:tcPr>
            <w:tcW w:type="dxa" w:w="3346"/>
          </w:tcPr>
          <w:p>
            <w:pPr>
              <w:spacing w:after="60" w:before="40"/>
            </w:pPr>
            <w:r>
              <w:rPr>
                <w:sz w:val="19"/>
              </w:rPr>
              <w:t>I14</w:t>
            </w:r>
          </w:p>
        </w:tc>
        <w:tc>
          <w:tcPr>
            <w:tcW w:type="dxa" w:w="3346"/>
          </w:tcPr>
          <w:p>
            <w:pPr>
              <w:spacing w:after="60" w:before="40"/>
            </w:pPr>
            <w:r>
              <w:rPr>
                <w:sz w:val="19"/>
              </w:rPr>
              <w:t>AI suggests filling missing lysine or ignore toxin</w:t>
            </w:r>
          </w:p>
        </w:tc>
        <w:tc>
          <w:tcPr>
            <w:tcW w:type="dxa" w:w="3346"/>
          </w:tcPr>
          <w:p>
            <w:pPr>
              <w:spacing w:after="60" w:before="40"/>
            </w:pPr>
            <w:r>
              <w:rPr>
                <w:sz w:val="19"/>
              </w:rPr>
              <w:t>Reject suggestion; deterministic status/quantities unchanged; fallback approved explanation</w:t>
            </w:r>
          </w:p>
        </w:tc>
      </w:tr>
      <w:tr>
        <w:tc>
          <w:tcPr>
            <w:tcW w:type="dxa" w:w="3346"/>
          </w:tcPr>
          <w:p>
            <w:pPr>
              <w:spacing w:after="60" w:before="40"/>
            </w:pPr>
            <w:r>
              <w:rPr>
                <w:sz w:val="19"/>
              </w:rPr>
              <w:t>I15</w:t>
            </w:r>
          </w:p>
        </w:tc>
        <w:tc>
          <w:tcPr>
            <w:tcW w:type="dxa" w:w="3346"/>
          </w:tcPr>
          <w:p>
            <w:pPr>
              <w:spacing w:after="60" w:before="40"/>
            </w:pPr>
            <w:r>
              <w:rPr>
                <w:sz w:val="19"/>
              </w:rPr>
              <w:t>Cached plan while offline</w:t>
            </w:r>
          </w:p>
        </w:tc>
        <w:tc>
          <w:tcPr>
            <w:tcW w:type="dxa" w:w="3346"/>
          </w:tcPr>
          <w:p>
            <w:pPr>
              <w:spacing w:after="60" w:before="40"/>
            </w:pPr>
            <w:r>
              <w:rPr>
                <w:sz w:val="19"/>
              </w:rPr>
              <w:t>Read-only saved plan; no new server-verified approval; show version/freshness</w:t>
            </w:r>
          </w:p>
        </w:tc>
      </w:tr>
      <w:tr>
        <w:tc>
          <w:tcPr>
            <w:tcW w:type="dxa" w:w="3346"/>
          </w:tcPr>
          <w:p>
            <w:pPr>
              <w:spacing w:after="60" w:before="40"/>
            </w:pPr>
            <w:r>
              <w:rPr>
                <w:sz w:val="19"/>
              </w:rPr>
              <w:t>I16</w:t>
            </w:r>
          </w:p>
        </w:tc>
        <w:tc>
          <w:tcPr>
            <w:tcW w:type="dxa" w:w="3346"/>
          </w:tcPr>
          <w:p>
            <w:pPr>
              <w:spacing w:after="60" w:before="40"/>
            </w:pPr>
            <w:r>
              <w:rPr>
                <w:sz w:val="19"/>
              </w:rPr>
              <w:t>Non-dog record on dog endpoint</w:t>
            </w:r>
          </w:p>
        </w:tc>
        <w:tc>
          <w:tcPr>
            <w:tcW w:type="dxa" w:w="3346"/>
          </w:tcPr>
          <w:p>
            <w:pPr>
              <w:spacing w:after="60" w:before="40"/>
            </w:pPr>
            <w:r>
              <w:rPr>
                <w:sz w:val="19"/>
              </w:rPr>
              <w:t>Unsupported-species error; no conversion or generic nutrition rule</w:t>
            </w:r>
          </w:p>
        </w:tc>
      </w:tr>
    </w:tbl>
    <w:p>
      <w:pPr>
        <w:spacing w:after="0"/>
      </w:pPr>
    </w:p>
    <w:p>
      <w:pPr>
        <w:pStyle w:val="Heading2"/>
      </w:pPr>
      <w:r>
        <w:t>20.4 Release validation</w:t>
      </w:r>
    </w:p>
    <w:p>
      <w:r>
        <w:t>Perform unit tests for pure engines, integration tests against an isolated database/auth fixture, contract tests for main principal verification, mobile acceptance tests for forms/errors/units and nutritional review with independent reference calculations. Property checks: nonnegative finite amounts; meal sums equal daily totals; energy ledger sums equal actual ration; substitution always changes/rechecks affected evidence; missing values remain missing through serialization; historical replay uses identical inputs/versions. Use cases at exact age, size, calcium, ratio, extra-budget and precision boundaries.</w:t>
      </w:r>
    </w:p>
    <w:p>
      <w:r>
        <w:t>A laboratory/feeding evidence review is separate from software tests: passing arithmetic does not prove palatability, digestibility, manufacturing quality or long-term health. Never use the seven examples as clinical outcome evidence. Track known limitations, reviewed scope and source/engine versions in the release report. All clinical/formulated population gates remain disabled until separately reviewed.</w:t>
      </w:r>
    </w:p>
    <w:p>
      <w:bookmarkStart w:id="21" w:name="section_21"/>
      <w:pPr>
        <w:pStyle w:val="Heading1"/>
      </w:pPr>
      <w:r>
        <w:t>21. Limitations and Veterinary Oversight</w:t>
      </w:r>
      <w:bookmarkEnd w:id="21"/>
    </w:p>
    <w:p>
      <w:r>
        <w:t>This blueprint does not certify Vetify diets, diagnose dogs or establish a validated recipe library. Energy equations estimate an initial intake. Individual response, measurement quality, ingredient variability, digestibility and clinical state matter. Profile tables address stated healthy populations; legal limits have jurisdictions and chemical-form conditions. Commercial adequacy declarations and computational checks provide different evidence.</w:t>
      </w:r>
    </w:p>
    <w:p>
      <w:r>
        <w:t>The unresolved release decisions are explicit:</w:t>
      </w:r>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Decision</w:t>
            </w:r>
          </w:p>
        </w:tc>
        <w:tc>
          <w:tcPr>
            <w:tcW w:type="dxa" w:w="7929"/>
            <w:shd w:fill="154F59"/>
          </w:tcPr>
          <w:p>
            <w:pPr>
              <w:spacing w:after="60" w:before="40"/>
            </w:pPr>
            <w:r>
              <w:rPr>
                <w:b/>
                <w:color w:val="FFFFFF"/>
                <w:sz w:val="19"/>
              </w:rPr>
              <w:t>Required resolution before enabling the affected feature</w:t>
            </w:r>
          </w:p>
        </w:tc>
      </w:tr>
      <w:tr>
        <w:tc>
          <w:tcPr>
            <w:tcW w:type="dxa" w:w="2108"/>
          </w:tcPr>
          <w:p>
            <w:pPr>
              <w:spacing w:after="60" w:before="40"/>
            </w:pPr>
            <w:r>
              <w:rPr>
                <w:sz w:val="19"/>
              </w:rPr>
              <w:t>Numeric standard package</w:t>
            </w:r>
          </w:p>
        </w:tc>
        <w:tc>
          <w:tcPr>
            <w:tcW w:type="dxa" w:w="7929"/>
          </w:tcPr>
          <w:p>
            <w:pPr>
              <w:spacing w:after="60" w:before="40"/>
            </w:pPr>
            <w:r>
              <w:rPr>
                <w:sz w:val="19"/>
              </w:rPr>
              <w:t>Veterinary double-entry verification, FEDIAF source-rights permission and current edition check</w:t>
            </w:r>
          </w:p>
        </w:tc>
      </w:tr>
      <w:tr>
        <w:tc>
          <w:tcPr>
            <w:tcW w:type="dxa" w:w="2108"/>
          </w:tcPr>
          <w:p>
            <w:pPr>
              <w:spacing w:after="60" w:before="40"/>
            </w:pPr>
            <w:r>
              <w:rPr>
                <w:sz w:val="19"/>
              </w:rPr>
              <w:t>AAFCO exact compliance</w:t>
            </w:r>
          </w:p>
        </w:tc>
        <w:tc>
          <w:tcPr>
            <w:tcW w:type="dxa" w:w="7929"/>
          </w:tcPr>
          <w:p>
            <w:pPr>
              <w:spacing w:after="60" w:before="40"/>
            </w:pPr>
            <w:r>
              <w:rPr>
                <w:sz w:val="19"/>
              </w:rPr>
              <w:t>Access and review of licensed 2026 canine profiles/footnotes; do not claim verified 2026 limits from a 2014 public file</w:t>
            </w:r>
          </w:p>
        </w:tc>
      </w:tr>
      <w:tr>
        <w:tc>
          <w:tcPr>
            <w:tcW w:type="dxa" w:w="2108"/>
          </w:tcPr>
          <w:p>
            <w:pPr>
              <w:spacing w:after="60" w:before="40"/>
            </w:pPr>
            <w:r>
              <w:rPr>
                <w:sz w:val="19"/>
              </w:rPr>
              <w:t>Philippine regulatory obligations</w:t>
            </w:r>
          </w:p>
        </w:tc>
        <w:tc>
          <w:tcPr>
            <w:tcW w:type="dxa" w:w="7929"/>
          </w:tcPr>
          <w:p>
            <w:pPr>
              <w:spacing w:after="60" w:before="40"/>
            </w:pPr>
            <w:r>
              <w:rPr>
                <w:sz w:val="19"/>
              </w:rPr>
              <w:t>Qualified local verification for product labeling, claims and applicable limits; this is not a legal-compliance assessment</w:t>
            </w:r>
          </w:p>
        </w:tc>
      </w:tr>
      <w:tr>
        <w:tc>
          <w:tcPr>
            <w:tcW w:type="dxa" w:w="2108"/>
          </w:tcPr>
          <w:p>
            <w:pPr>
              <w:spacing w:after="60" w:before="40"/>
            </w:pPr>
            <w:r>
              <w:rPr>
                <w:sz w:val="19"/>
              </w:rPr>
              <w:t>Adult 95/110 mapping and low-energy diets</w:t>
            </w:r>
          </w:p>
        </w:tc>
        <w:tc>
          <w:tcPr>
            <w:tcW w:type="dxa" w:w="7929"/>
          </w:tcPr>
          <w:p>
            <w:pPr>
              <w:spacing w:after="60" w:before="40"/>
            </w:pPr>
            <w:r>
              <w:rPr>
                <w:sz w:val="19"/>
              </w:rPr>
              <w:t>Reviewer approves conservative mapping and density domain; clinical review below 95</w:t>
            </w:r>
          </w:p>
        </w:tc>
      </w:tr>
      <w:tr>
        <w:tc>
          <w:tcPr>
            <w:tcW w:type="dxa" w:w="2108"/>
          </w:tcPr>
          <w:p>
            <w:pPr>
              <w:spacing w:after="60" w:before="40"/>
            </w:pPr>
            <w:r>
              <w:rPr>
                <w:sz w:val="19"/>
              </w:rPr>
              <w:t>Growth/calcium timing and uncertain adult mass</w:t>
            </w:r>
          </w:p>
        </w:tc>
        <w:tc>
          <w:tcPr>
            <w:tcW w:type="dxa" w:w="7929"/>
          </w:tcPr>
          <w:p>
            <w:pPr>
              <w:spacing w:after="60" w:before="40"/>
            </w:pPr>
            <w:r>
              <w:rPr>
                <w:sz w:val="19"/>
              </w:rPr>
              <w:t>Reviewed transition evidence, age/size confidence and Great Dane exception; no forced birthday switch</w:t>
            </w:r>
          </w:p>
        </w:tc>
      </w:tr>
      <w:tr>
        <w:tc>
          <w:tcPr>
            <w:tcW w:type="dxa" w:w="2108"/>
          </w:tcPr>
          <w:p>
            <w:pPr>
              <w:spacing w:after="60" w:before="40"/>
            </w:pPr>
            <w:r>
              <w:rPr>
                <w:sz w:val="19"/>
              </w:rPr>
              <w:t>Reproductive models</w:t>
            </w:r>
          </w:p>
        </w:tc>
        <w:tc>
          <w:tcPr>
            <w:tcW w:type="dxa" w:w="7929"/>
          </w:tcPr>
          <w:p>
            <w:pPr>
              <w:spacing w:after="60" w:before="40"/>
            </w:pPr>
            <w:r>
              <w:rPr>
                <w:sz w:val="19"/>
              </w:rPr>
              <w:t>Reviewed weight basis, litter/week domain, monitoring and exact reproduction nutrient limits</w:t>
            </w:r>
          </w:p>
        </w:tc>
      </w:tr>
      <w:tr>
        <w:tc>
          <w:tcPr>
            <w:tcW w:type="dxa" w:w="2108"/>
          </w:tcPr>
          <w:p>
            <w:pPr>
              <w:spacing w:after="60" w:before="40"/>
            </w:pPr>
            <w:r>
              <w:rPr>
                <w:sz w:val="19"/>
              </w:rPr>
              <w:t>Ingredient nutrition/ME/yield</w:t>
            </w:r>
          </w:p>
        </w:tc>
        <w:tc>
          <w:tcPr>
            <w:tcW w:type="dxa" w:w="7929"/>
          </w:tcPr>
          <w:p>
            <w:pPr>
              <w:spacing w:after="60" w:before="40"/>
            </w:pPr>
            <w:r>
              <w:rPr>
                <w:sz w:val="19"/>
              </w:rPr>
              <w:t>Permitted exact data, source matching, canine energy method, retention and availability review; malunggay remains unapproved</w:t>
            </w:r>
          </w:p>
        </w:tc>
      </w:tr>
      <w:tr>
        <w:tc>
          <w:tcPr>
            <w:tcW w:type="dxa" w:w="2108"/>
          </w:tcPr>
          <w:p>
            <w:pPr>
              <w:spacing w:after="60" w:before="40"/>
            </w:pPr>
            <w:r>
              <w:rPr>
                <w:sz w:val="19"/>
              </w:rPr>
              <w:t>Homemade completeness</w:t>
            </w:r>
          </w:p>
        </w:tc>
        <w:tc>
          <w:tcPr>
            <w:tcW w:type="dxa" w:w="7929"/>
          </w:tcPr>
          <w:p>
            <w:pPr>
              <w:spacing w:after="60" w:before="40"/>
            </w:pPr>
            <w:r>
              <w:rPr>
                <w:sz w:val="19"/>
              </w:rPr>
              <w:t>Complete food/premix data, formulation review and reproducible preparation; solver success alone insufficient</w:t>
            </w:r>
          </w:p>
        </w:tc>
      </w:tr>
      <w:tr>
        <w:tc>
          <w:tcPr>
            <w:tcW w:type="dxa" w:w="2108"/>
          </w:tcPr>
          <w:p>
            <w:pPr>
              <w:spacing w:after="60" w:before="40"/>
            </w:pPr>
            <w:r>
              <w:rPr>
                <w:sz w:val="19"/>
              </w:rPr>
              <w:t>Clinical prescription/reviewer identity</w:t>
            </w:r>
          </w:p>
        </w:tc>
        <w:tc>
          <w:tcPr>
            <w:tcW w:type="dxa" w:w="7929"/>
          </w:tcPr>
          <w:p>
            <w:pPr>
              <w:spacing w:after="60" w:before="40"/>
            </w:pPr>
            <w:r>
              <w:rPr>
                <w:sz w:val="19"/>
              </w:rPr>
              <w:t>Verified qualification, scope, dates and authenticated review workflow</w:t>
            </w:r>
          </w:p>
        </w:tc>
      </w:tr>
      <w:tr>
        <w:tc>
          <w:tcPr>
            <w:tcW w:type="dxa" w:w="2108"/>
          </w:tcPr>
          <w:p>
            <w:pPr>
              <w:spacing w:after="60" w:before="40"/>
            </w:pPr>
            <w:r>
              <w:rPr>
                <w:sz w:val="19"/>
              </w:rPr>
              <w:t>Operational database publication</w:t>
            </w:r>
          </w:p>
        </w:tc>
        <w:tc>
          <w:tcPr>
            <w:tcW w:type="dxa" w:w="7929"/>
          </w:tcPr>
          <w:p>
            <w:pPr>
              <w:spacing w:after="60" w:before="40"/>
            </w:pPr>
            <w:r>
              <w:rPr>
                <w:sz w:val="19"/>
              </w:rPr>
              <w:t>Tested Mongo transaction/CAS strategy, idempotency, historical replay and recovery</w:t>
            </w:r>
          </w:p>
        </w:tc>
      </w:tr>
      <w:tr>
        <w:tc>
          <w:tcPr>
            <w:tcW w:type="dxa" w:w="2108"/>
          </w:tcPr>
          <w:p>
            <w:pPr>
              <w:spacing w:after="60" w:before="40"/>
            </w:pPr>
            <w:r>
              <w:rPr>
                <w:sz w:val="19"/>
              </w:rPr>
              <w:t>Adjustment automation</w:t>
            </w:r>
          </w:p>
        </w:tc>
        <w:tc>
          <w:tcPr>
            <w:tcW w:type="dxa" w:w="7929"/>
          </w:tcPr>
          <w:p>
            <w:pPr>
              <w:spacing w:after="60" w:before="40"/>
            </w:pPr>
            <w:r>
              <w:rPr>
                <w:sz w:val="19"/>
              </w:rPr>
              <w:t>Clinician-approved thresholds/intervals and monitoring; no universal 10%change rule</w:t>
            </w:r>
          </w:p>
        </w:tc>
      </w:tr>
    </w:tbl>
    <w:p>
      <w:pPr>
        <w:spacing w:after="0"/>
      </w:pPr>
    </w:p>
    <w:p>
      <w:r>
        <w:t>Until resolved, expose recording and educational explanation while blocking unvalidated recommendations. Persistent signs, weight/muscle loss, uncertain pregnancy, nutritional deficiencies or suspected exposure need appropriate veterinary assessment. Referral text must be usable locally; do not invent a Philippine poison-hotline number or imply a US service is locally available without verification.</w:t>
      </w:r>
    </w:p>
    <w:p>
      <w:bookmarkStart w:id="22" w:name="section_22"/>
      <w:pPr>
        <w:pStyle w:val="Heading1"/>
      </w:pPr>
      <w:r>
        <w:t>22. Glossary</w:t>
      </w:r>
      <w:bookmarkEnd w:id="22"/>
    </w:p>
    <w:tbl>
      <w:tblPr>
        <w:tblStyle w:val="TableGrid"/>
        <w:tblW w:type="auto" w:w="0"/>
        <w:tblLayout w:type="fixed"/>
        <w:tblLook w:firstColumn="1" w:firstRow="1" w:lastColumn="0" w:lastRow="0" w:noHBand="0" w:noVBand="1" w:val="04A0"/>
      </w:tblPr>
      <w:tblGrid>
        <w:gridCol w:w="2108"/>
        <w:gridCol w:w="7929"/>
      </w:tblGrid>
      <w:tr>
        <w:trPr>
          <w:tblHeader w:val="true"/>
        </w:trPr>
        <w:tc>
          <w:tcPr>
            <w:tcW w:type="dxa" w:w="2108"/>
            <w:shd w:fill="154F59"/>
          </w:tcPr>
          <w:p>
            <w:pPr>
              <w:spacing w:after="60" w:before="40"/>
            </w:pPr>
            <w:r>
              <w:rPr>
                <w:b/>
                <w:color w:val="FFFFFF"/>
                <w:sz w:val="19"/>
              </w:rPr>
              <w:t>Term</w:t>
            </w:r>
          </w:p>
        </w:tc>
        <w:tc>
          <w:tcPr>
            <w:tcW w:type="dxa" w:w="7929"/>
            <w:shd w:fill="154F59"/>
          </w:tcPr>
          <w:p>
            <w:pPr>
              <w:spacing w:after="60" w:before="40"/>
            </w:pPr>
            <w:r>
              <w:rPr>
                <w:b/>
                <w:color w:val="FFFFFF"/>
                <w:sz w:val="19"/>
              </w:rPr>
              <w:t>Meaning in this design</w:t>
            </w:r>
          </w:p>
        </w:tc>
      </w:tr>
      <w:tr>
        <w:tc>
          <w:tcPr>
            <w:tcW w:type="dxa" w:w="2108"/>
          </w:tcPr>
          <w:p>
            <w:pPr>
              <w:spacing w:after="60" w:before="40"/>
            </w:pPr>
            <w:r>
              <w:rPr>
                <w:sz w:val="19"/>
              </w:rPr>
              <w:t>AF/as-fed</w:t>
            </w:r>
          </w:p>
        </w:tc>
        <w:tc>
          <w:tcPr>
            <w:tcW w:type="dxa" w:w="7929"/>
          </w:tcPr>
          <w:p>
            <w:pPr>
              <w:spacing w:after="60" w:before="40"/>
            </w:pPr>
            <w:r>
              <w:rPr>
                <w:sz w:val="19"/>
              </w:rPr>
              <w:t>Food composition including water in its stated preparation</w:t>
            </w:r>
          </w:p>
        </w:tc>
      </w:tr>
      <w:tr>
        <w:tc>
          <w:tcPr>
            <w:tcW w:type="dxa" w:w="2108"/>
          </w:tcPr>
          <w:p>
            <w:pPr>
              <w:spacing w:after="60" w:before="40"/>
            </w:pPr>
            <w:r>
              <w:rPr>
                <w:sz w:val="19"/>
              </w:rPr>
              <w:t>DM/dry matter</w:t>
            </w:r>
          </w:p>
        </w:tc>
        <w:tc>
          <w:tcPr>
            <w:tcW w:type="dxa" w:w="7929"/>
          </w:tcPr>
          <w:p>
            <w:pPr>
              <w:spacing w:after="60" w:before="40"/>
            </w:pPr>
            <w:r>
              <w:rPr>
                <w:sz w:val="19"/>
              </w:rPr>
              <w:t>Remaining mass after excluding moisture; a comparison basis, not necessarily an actually dehydrated serving</w:t>
            </w:r>
          </w:p>
        </w:tc>
      </w:tr>
      <w:tr>
        <w:tc>
          <w:tcPr>
            <w:tcW w:type="dxa" w:w="2108"/>
          </w:tcPr>
          <w:p>
            <w:pPr>
              <w:spacing w:after="60" w:before="40"/>
            </w:pPr>
            <w:r>
              <w:rPr>
                <w:sz w:val="19"/>
              </w:rPr>
              <w:t>RER</w:t>
            </w:r>
          </w:p>
        </w:tc>
        <w:tc>
          <w:tcPr>
            <w:tcW w:type="dxa" w:w="7929"/>
          </w:tcPr>
          <w:p>
            <w:pPr>
              <w:spacing w:after="60" w:before="40"/>
            </w:pPr>
            <w:r>
              <w:rPr>
                <w:sz w:val="19"/>
              </w:rPr>
              <w:t>Estimated resting energy requirement</w:t>
            </w:r>
          </w:p>
        </w:tc>
      </w:tr>
      <w:tr>
        <w:tc>
          <w:tcPr>
            <w:tcW w:type="dxa" w:w="2108"/>
          </w:tcPr>
          <w:p>
            <w:pPr>
              <w:spacing w:after="60" w:before="40"/>
            </w:pPr>
            <w:r>
              <w:rPr>
                <w:sz w:val="19"/>
              </w:rPr>
              <w:t>MER/DER</w:t>
            </w:r>
          </w:p>
        </w:tc>
        <w:tc>
          <w:tcPr>
            <w:tcW w:type="dxa" w:w="7929"/>
          </w:tcPr>
          <w:p>
            <w:pPr>
              <w:spacing w:after="60" w:before="40"/>
            </w:pPr>
            <w:r>
              <w:rPr>
                <w:sz w:val="19"/>
              </w:rPr>
              <w:t>Maintenance/daily energy requirement estimate for the specified context</w:t>
            </w:r>
          </w:p>
        </w:tc>
      </w:tr>
      <w:tr>
        <w:tc>
          <w:tcPr>
            <w:tcW w:type="dxa" w:w="2108"/>
          </w:tcPr>
          <w:p>
            <w:pPr>
              <w:spacing w:after="60" w:before="40"/>
            </w:pPr>
            <w:r>
              <w:rPr>
                <w:sz w:val="19"/>
              </w:rPr>
              <w:t>ME</w:t>
            </w:r>
          </w:p>
        </w:tc>
        <w:tc>
          <w:tcPr>
            <w:tcW w:type="dxa" w:w="7929"/>
          </w:tcPr>
          <w:p>
            <w:pPr>
              <w:spacing w:after="60" w:before="40"/>
            </w:pPr>
            <w:r>
              <w:rPr>
                <w:sz w:val="19"/>
              </w:rPr>
              <w:t>Metabolizable energy, distinct from gross or human-label energy</w:t>
            </w:r>
          </w:p>
        </w:tc>
      </w:tr>
      <w:tr>
        <w:tc>
          <w:tcPr>
            <w:tcW w:type="dxa" w:w="2108"/>
          </w:tcPr>
          <w:p>
            <w:pPr>
              <w:spacing w:after="60" w:before="40"/>
            </w:pPr>
            <w:r>
              <w:rPr>
                <w:sz w:val="19"/>
              </w:rPr>
              <w:t>BCS</w:t>
            </w:r>
          </w:p>
        </w:tc>
        <w:tc>
          <w:tcPr>
            <w:tcW w:type="dxa" w:w="7929"/>
          </w:tcPr>
          <w:p>
            <w:pPr>
              <w:spacing w:after="60" w:before="40"/>
            </w:pPr>
            <w:r>
              <w:rPr>
                <w:sz w:val="19"/>
              </w:rPr>
              <w:t>Nine-point body condition score, assessing fat condition</w:t>
            </w:r>
          </w:p>
        </w:tc>
      </w:tr>
      <w:tr>
        <w:tc>
          <w:tcPr>
            <w:tcW w:type="dxa" w:w="2108"/>
          </w:tcPr>
          <w:p>
            <w:pPr>
              <w:spacing w:after="60" w:before="40"/>
            </w:pPr>
            <w:r>
              <w:rPr>
                <w:sz w:val="19"/>
              </w:rPr>
              <w:t>MCS</w:t>
            </w:r>
          </w:p>
        </w:tc>
        <w:tc>
          <w:tcPr>
            <w:tcW w:type="dxa" w:w="7929"/>
          </w:tcPr>
          <w:p>
            <w:pPr>
              <w:spacing w:after="60" w:before="40"/>
            </w:pPr>
            <w:r>
              <w:rPr>
                <w:sz w:val="19"/>
              </w:rPr>
              <w:t>Muscle condition score; independent of BCS</w:t>
            </w:r>
          </w:p>
        </w:tc>
      </w:tr>
      <w:tr>
        <w:tc>
          <w:tcPr>
            <w:tcW w:type="dxa" w:w="2108"/>
          </w:tcPr>
          <w:p>
            <w:pPr>
              <w:spacing w:after="60" w:before="40"/>
            </w:pPr>
            <w:r>
              <w:rPr>
                <w:sz w:val="19"/>
              </w:rPr>
              <w:t>NFE</w:t>
            </w:r>
          </w:p>
        </w:tc>
        <w:tc>
          <w:tcPr>
            <w:tcW w:type="dxa" w:w="7929"/>
          </w:tcPr>
          <w:p>
            <w:pPr>
              <w:spacing w:after="60" w:before="40"/>
            </w:pPr>
            <w:r>
              <w:rPr>
                <w:sz w:val="19"/>
              </w:rPr>
              <w:t>Nitrogen-free extract, a carbohydrate-by-difference estimate</w:t>
            </w:r>
          </w:p>
        </w:tc>
      </w:tr>
      <w:tr>
        <w:tc>
          <w:tcPr>
            <w:tcW w:type="dxa" w:w="2108"/>
          </w:tcPr>
          <w:p>
            <w:pPr>
              <w:spacing w:after="60" w:before="40"/>
            </w:pPr>
            <w:r>
              <w:rPr>
                <w:sz w:val="19"/>
              </w:rPr>
              <w:t>IU</w:t>
            </w:r>
          </w:p>
        </w:tc>
        <w:tc>
          <w:tcPr>
            <w:tcW w:type="dxa" w:w="7929"/>
          </w:tcPr>
          <w:p>
            <w:pPr>
              <w:spacing w:after="60" w:before="40"/>
            </w:pPr>
            <w:r>
              <w:rPr>
                <w:sz w:val="19"/>
              </w:rPr>
              <w:t>International unit of defined vitamin activity; mass equivalent depends on nutrient/form</w:t>
            </w:r>
          </w:p>
        </w:tc>
      </w:tr>
      <w:tr>
        <w:tc>
          <w:tcPr>
            <w:tcW w:type="dxa" w:w="2108"/>
          </w:tcPr>
          <w:p>
            <w:pPr>
              <w:spacing w:after="60" w:before="40"/>
            </w:pPr>
            <w:r>
              <w:rPr>
                <w:sz w:val="19"/>
              </w:rPr>
              <w:t>Minimum requirement</w:t>
            </w:r>
          </w:p>
        </w:tc>
        <w:tc>
          <w:tcPr>
            <w:tcW w:type="dxa" w:w="7929"/>
          </w:tcPr>
          <w:p>
            <w:pPr>
              <w:spacing w:after="60" w:before="40"/>
            </w:pPr>
            <w:r>
              <w:rPr>
                <w:sz w:val="19"/>
              </w:rPr>
              <w:t>Research physiological minimum under specified conditions</w:t>
            </w:r>
          </w:p>
        </w:tc>
      </w:tr>
      <w:tr>
        <w:tc>
          <w:tcPr>
            <w:tcW w:type="dxa" w:w="2108"/>
          </w:tcPr>
          <w:p>
            <w:pPr>
              <w:spacing w:after="60" w:before="40"/>
            </w:pPr>
            <w:r>
              <w:rPr>
                <w:sz w:val="19"/>
              </w:rPr>
              <w:t>Recommended allowance</w:t>
            </w:r>
          </w:p>
        </w:tc>
        <w:tc>
          <w:tcPr>
            <w:tcW w:type="dxa" w:w="7929"/>
          </w:tcPr>
          <w:p>
            <w:pPr>
              <w:spacing w:after="60" w:before="40"/>
            </w:pPr>
            <w:r>
              <w:rPr>
                <w:sz w:val="19"/>
              </w:rPr>
              <w:t>Practical allowance accounting for relevant availability assumptions</w:t>
            </w:r>
          </w:p>
        </w:tc>
      </w:tr>
      <w:tr>
        <w:tc>
          <w:tcPr>
            <w:tcW w:type="dxa" w:w="2108"/>
          </w:tcPr>
          <w:p>
            <w:pPr>
              <w:spacing w:after="60" w:before="40"/>
            </w:pPr>
            <w:r>
              <w:rPr>
                <w:sz w:val="19"/>
              </w:rPr>
              <w:t>Nutritional profile</w:t>
            </w:r>
          </w:p>
        </w:tc>
        <w:tc>
          <w:tcPr>
            <w:tcW w:type="dxa" w:w="7929"/>
          </w:tcPr>
          <w:p>
            <w:pPr>
              <w:spacing w:after="60" w:before="40"/>
            </w:pPr>
            <w:r>
              <w:rPr>
                <w:sz w:val="19"/>
              </w:rPr>
              <w:t>A versioned concentration reference for a specified population/energy basis</w:t>
            </w:r>
          </w:p>
        </w:tc>
      </w:tr>
      <w:tr>
        <w:tc>
          <w:tcPr>
            <w:tcW w:type="dxa" w:w="2108"/>
          </w:tcPr>
          <w:p>
            <w:pPr>
              <w:spacing w:after="60" w:before="40"/>
            </w:pPr>
            <w:r>
              <w:rPr>
                <w:sz w:val="19"/>
              </w:rPr>
              <w:t>Nutritional maximum</w:t>
            </w:r>
          </w:p>
        </w:tc>
        <w:tc>
          <w:tcPr>
            <w:tcW w:type="dxa" w:w="7929"/>
          </w:tcPr>
          <w:p>
            <w:pPr>
              <w:spacing w:after="60" w:before="40"/>
            </w:pPr>
            <w:r>
              <w:rPr>
                <w:sz w:val="19"/>
              </w:rPr>
              <w:t>Nutrition-related upper recommendation in the selected standard/context</w:t>
            </w:r>
          </w:p>
        </w:tc>
      </w:tr>
      <w:tr>
        <w:tc>
          <w:tcPr>
            <w:tcW w:type="dxa" w:w="2108"/>
          </w:tcPr>
          <w:p>
            <w:pPr>
              <w:spacing w:after="60" w:before="40"/>
            </w:pPr>
            <w:r>
              <w:rPr>
                <w:sz w:val="19"/>
              </w:rPr>
              <w:t>Legal maximum</w:t>
            </w:r>
          </w:p>
        </w:tc>
        <w:tc>
          <w:tcPr>
            <w:tcW w:type="dxa" w:w="7929"/>
          </w:tcPr>
          <w:p>
            <w:pPr>
              <w:spacing w:after="60" w:before="40"/>
            </w:pPr>
            <w:r>
              <w:rPr>
                <w:sz w:val="19"/>
              </w:rPr>
              <w:t>Jurisdiction-specific permitted limit, often with distinct basis/form</w:t>
            </w:r>
          </w:p>
        </w:tc>
      </w:tr>
      <w:tr>
        <w:tc>
          <w:tcPr>
            <w:tcW w:type="dxa" w:w="2108"/>
          </w:tcPr>
          <w:p>
            <w:pPr>
              <w:spacing w:after="60" w:before="40"/>
            </w:pPr>
            <w:r>
              <w:rPr>
                <w:sz w:val="19"/>
              </w:rPr>
              <w:t>Complete food</w:t>
            </w:r>
          </w:p>
        </w:tc>
        <w:tc>
          <w:tcPr>
            <w:tcW w:type="dxa" w:w="7929"/>
          </w:tcPr>
          <w:p>
            <w:pPr>
              <w:spacing w:after="60" w:before="40"/>
            </w:pPr>
            <w:r>
              <w:rPr>
                <w:sz w:val="19"/>
              </w:rPr>
              <w:t>Food supported as supplying the necessary nutrients for its stated purpose when fed appropriately</w:t>
            </w:r>
          </w:p>
        </w:tc>
      </w:tr>
      <w:tr>
        <w:tc>
          <w:tcPr>
            <w:tcW w:type="dxa" w:w="2108"/>
          </w:tcPr>
          <w:p>
            <w:pPr>
              <w:spacing w:after="60" w:before="40"/>
            </w:pPr>
            <w:r>
              <w:rPr>
                <w:sz w:val="19"/>
              </w:rPr>
              <w:t>Complementary food</w:t>
            </w:r>
          </w:p>
        </w:tc>
        <w:tc>
          <w:tcPr>
            <w:tcW w:type="dxa" w:w="7929"/>
          </w:tcPr>
          <w:p>
            <w:pPr>
              <w:spacing w:after="60" w:before="40"/>
            </w:pPr>
            <w:r>
              <w:rPr>
                <w:sz w:val="19"/>
              </w:rPr>
              <w:t>Food requiring other foods to provide the full diet; not a complete sole ration</w:t>
            </w:r>
          </w:p>
        </w:tc>
      </w:tr>
      <w:tr>
        <w:tc>
          <w:tcPr>
            <w:tcW w:type="dxa" w:w="2108"/>
          </w:tcPr>
          <w:p>
            <w:pPr>
              <w:spacing w:after="60" w:before="40"/>
            </w:pPr>
            <w:r>
              <w:rPr>
                <w:sz w:val="19"/>
              </w:rPr>
              <w:t>Bioavailability</w:t>
            </w:r>
          </w:p>
        </w:tc>
        <w:tc>
          <w:tcPr>
            <w:tcW w:type="dxa" w:w="7929"/>
          </w:tcPr>
          <w:p>
            <w:pPr>
              <w:spacing w:after="60" w:before="40"/>
            </w:pPr>
            <w:r>
              <w:rPr>
                <w:sz w:val="19"/>
              </w:rPr>
              <w:t>Amount available for utilization after digestion/absorption and other relevant processes</w:t>
            </w:r>
          </w:p>
        </w:tc>
      </w:tr>
      <w:tr>
        <w:tc>
          <w:tcPr>
            <w:tcW w:type="dxa" w:w="2108"/>
          </w:tcPr>
          <w:p>
            <w:pPr>
              <w:spacing w:after="60" w:before="40"/>
            </w:pPr>
            <w:r>
              <w:rPr>
                <w:sz w:val="19"/>
              </w:rPr>
              <w:t>Label-supported</w:t>
            </w:r>
          </w:p>
        </w:tc>
        <w:tc>
          <w:tcPr>
            <w:tcW w:type="dxa" w:w="7929"/>
          </w:tcPr>
          <w:p>
            <w:pPr>
              <w:spacing w:after="60" w:before="40"/>
            </w:pPr>
            <w:r>
              <w:rPr>
                <w:sz w:val="19"/>
              </w:rPr>
              <w:t>Evidence from an exact relevant commercial adequacy declaration, not independent Vetify nutrient testing</w:t>
            </w:r>
          </w:p>
        </w:tc>
      </w:tr>
      <w:tr>
        <w:tc>
          <w:tcPr>
            <w:tcW w:type="dxa" w:w="2108"/>
          </w:tcPr>
          <w:p>
            <w:pPr>
              <w:spacing w:after="60" w:before="40"/>
            </w:pPr>
            <w:r>
              <w:rPr>
                <w:sz w:val="19"/>
              </w:rPr>
              <w:t>Indeterminate</w:t>
            </w:r>
          </w:p>
        </w:tc>
        <w:tc>
          <w:tcPr>
            <w:tcW w:type="dxa" w:w="7929"/>
          </w:tcPr>
          <w:p>
            <w:pPr>
              <w:spacing w:after="60" w:before="40"/>
            </w:pPr>
            <w:r>
              <w:rPr>
                <w:sz w:val="19"/>
              </w:rPr>
              <w:t>Required evidence unknown; cannot declare computed adequacy</w:t>
            </w:r>
          </w:p>
        </w:tc>
      </w:tr>
      <w:tr>
        <w:tc>
          <w:tcPr>
            <w:tcW w:type="dxa" w:w="2108"/>
          </w:tcPr>
          <w:p>
            <w:pPr>
              <w:spacing w:after="60" w:before="40"/>
            </w:pPr>
            <w:r>
              <w:rPr>
                <w:sz w:val="19"/>
              </w:rPr>
              <w:t>Clinical review</w:t>
            </w:r>
          </w:p>
        </w:tc>
        <w:tc>
          <w:tcPr>
            <w:tcW w:type="dxa" w:w="7929"/>
          </w:tcPr>
          <w:p>
            <w:pPr>
              <w:spacing w:after="60" w:before="40"/>
            </w:pPr>
            <w:r>
              <w:rPr>
                <w:sz w:val="19"/>
              </w:rPr>
              <w:t>Qualified patient-specific assessment, not an owner confirmation button</w:t>
            </w:r>
          </w:p>
        </w:tc>
      </w:tr>
      <w:tr>
        <w:tc>
          <w:tcPr>
            <w:tcW w:type="dxa" w:w="2108"/>
          </w:tcPr>
          <w:p>
            <w:pPr>
              <w:spacing w:after="60" w:before="40"/>
            </w:pPr>
            <w:r>
              <w:rPr>
                <w:sz w:val="19"/>
              </w:rPr>
              <w:t>Calorie ledger</w:t>
            </w:r>
          </w:p>
        </w:tc>
        <w:tc>
          <w:tcPr>
            <w:tcW w:type="dxa" w:w="7929"/>
          </w:tcPr>
          <w:p>
            <w:pPr>
              <w:spacing w:after="60" w:before="40"/>
            </w:pPr>
            <w:r>
              <w:rPr>
                <w:sz w:val="19"/>
              </w:rPr>
              <w:t>Unique entries for every energy-containing food/extra without duplicate counting</w:t>
            </w:r>
          </w:p>
        </w:tc>
      </w:tr>
      <w:tr>
        <w:tc>
          <w:tcPr>
            <w:tcW w:type="dxa" w:w="2108"/>
          </w:tcPr>
          <w:p>
            <w:pPr>
              <w:spacing w:after="60" w:before="40"/>
            </w:pPr>
            <w:r>
              <w:rPr>
                <w:sz w:val="19"/>
              </w:rPr>
              <w:t>Snapshot</w:t>
            </w:r>
          </w:p>
        </w:tc>
        <w:tc>
          <w:tcPr>
            <w:tcW w:type="dxa" w:w="7929"/>
          </w:tcPr>
          <w:p>
            <w:pPr>
              <w:spacing w:after="60" w:before="40"/>
            </w:pPr>
            <w:r>
              <w:rPr>
                <w:sz w:val="19"/>
              </w:rPr>
              <w:t>Immutable profile, food, rule and engine versions used for a calculation</w:t>
            </w:r>
          </w:p>
        </w:tc>
      </w:tr>
      <w:tr>
        <w:tc>
          <w:tcPr>
            <w:tcW w:type="dxa" w:w="2108"/>
          </w:tcPr>
          <w:p>
            <w:pPr>
              <w:spacing w:after="60" w:before="40"/>
            </w:pPr>
            <w:r>
              <w:rPr>
                <w:sz w:val="19"/>
              </w:rPr>
              <w:t>Recipe drift</w:t>
            </w:r>
          </w:p>
        </w:tc>
        <w:tc>
          <w:tcPr>
            <w:tcW w:type="dxa" w:w="7929"/>
          </w:tcPr>
          <w:p>
            <w:pPr>
              <w:spacing w:after="60" w:before="40"/>
            </w:pPr>
            <w:r>
              <w:rPr>
                <w:sz w:val="19"/>
              </w:rPr>
              <w:t>Unreviewed changes to ingredients, quantities or preparation of an approved formulation</w:t>
            </w:r>
          </w:p>
        </w:tc>
      </w:tr>
      <w:tr>
        <w:tc>
          <w:tcPr>
            <w:tcW w:type="dxa" w:w="2108"/>
          </w:tcPr>
          <w:p>
            <w:pPr>
              <w:spacing w:after="60" w:before="40"/>
            </w:pPr>
            <w:r>
              <w:rPr>
                <w:sz w:val="19"/>
              </w:rPr>
              <w:t>CAS</w:t>
            </w:r>
          </w:p>
        </w:tc>
        <w:tc>
          <w:tcPr>
            <w:tcW w:type="dxa" w:w="7929"/>
          </w:tcPr>
          <w:p>
            <w:pPr>
              <w:spacing w:after="60" w:before="40"/>
            </w:pPr>
            <w:r>
              <w:rPr>
                <w:sz w:val="19"/>
              </w:rPr>
              <w:t>Compare-and-swap concurrency control for publishing against an expected version</w:t>
            </w:r>
          </w:p>
        </w:tc>
      </w:tr>
    </w:tbl>
    <w:p>
      <w:pPr>
        <w:spacing w:after="0"/>
      </w:pPr>
    </w:p>
    <w:p>
      <w:bookmarkStart w:id="23" w:name="section_23"/>
      <w:pPr>
        <w:pStyle w:val="Heading1"/>
      </w:pPr>
      <w:r>
        <w:t>23. References</w:t>
      </w:r>
      <w:bookmarkEnd w:id="23"/>
    </w:p>
    <w:p>
      <w:r>
        <w:t xml:space="preserve">All links were researched/accessed on </w:t>
      </w:r>
      <w:r>
        <w:rPr>
          <w:b/>
        </w:rPr>
        <w:t xml:space="preserve"> 9 October 2026</w:t>
      </w:r>
      <w:r>
        <w:t>. Displayed publication/review dates are listed where verified; otherwise “undated/live” is intentional. Only canine findings are used when a reference's formal title covers another species. A current webpage access date does not make an older study newly published. Reference links supplement the inline citations and source-table locators; production should retain actual retrieved versions/hashes and permissions.</w:t>
      </w:r>
    </w:p>
    <w:tbl>
      <w:tblPr>
        <w:tblStyle w:val="TableGrid"/>
        <w:tblW w:type="auto" w:w="0"/>
        <w:tblLayout w:type="fixed"/>
        <w:tblLook w:firstColumn="1" w:firstRow="1" w:lastColumn="0" w:lastRow="0" w:noHBand="0" w:noVBand="1" w:val="04A0"/>
      </w:tblPr>
      <w:tblGrid>
        <w:gridCol w:w="3346"/>
        <w:gridCol w:w="3346"/>
        <w:gridCol w:w="3346"/>
      </w:tblGrid>
      <w:tr>
        <w:trPr>
          <w:tblHeader w:val="true"/>
        </w:trPr>
        <w:tc>
          <w:tcPr>
            <w:tcW w:type="dxa" w:w="3346"/>
            <w:shd w:fill="154F59"/>
          </w:tcPr>
          <w:p>
            <w:pPr>
              <w:spacing w:after="60" w:before="40"/>
            </w:pPr>
            <w:r>
              <w:rPr>
                <w:b/>
                <w:color w:val="FFFFFF"/>
                <w:sz w:val="19"/>
              </w:rPr>
              <w:t>ID</w:t>
            </w:r>
          </w:p>
        </w:tc>
        <w:tc>
          <w:tcPr>
            <w:tcW w:type="dxa" w:w="3346"/>
            <w:shd w:fill="154F59"/>
          </w:tcPr>
          <w:p>
            <w:pPr>
              <w:spacing w:after="60" w:before="40"/>
            </w:pPr>
            <w:r>
              <w:rPr>
                <w:b/>
                <w:color w:val="FFFFFF"/>
                <w:sz w:val="19"/>
              </w:rPr>
              <w:t>Direct source</w:t>
            </w:r>
          </w:p>
        </w:tc>
        <w:tc>
          <w:tcPr>
            <w:tcW w:type="dxa" w:w="3346"/>
            <w:shd w:fill="154F59"/>
          </w:tcPr>
          <w:p>
            <w:pPr>
              <w:spacing w:after="60" w:before="40"/>
            </w:pPr>
            <w:r>
              <w:rPr>
                <w:b/>
                <w:color w:val="FFFFFF"/>
                <w:sz w:val="19"/>
              </w:rPr>
              <w:t>Date/edition and use</w:t>
            </w:r>
          </w:p>
        </w:tc>
      </w:tr>
      <w:tr>
        <w:tc>
          <w:tcPr>
            <w:tcW w:type="dxa" w:w="3346"/>
          </w:tcPr>
          <w:p>
            <w:pPr>
              <w:spacing w:after="60" w:before="40"/>
            </w:pPr>
            <w:r>
              <w:rPr>
                <w:sz w:val="19"/>
              </w:rPr>
              <w:t>R01</w:t>
            </w:r>
          </w:p>
        </w:tc>
        <w:tc>
          <w:tcPr>
            <w:tcW w:type="dxa" w:w="3346"/>
          </w:tcPr>
          <w:p>
            <w:pPr>
              <w:spacing w:after="60" w:before="40"/>
            </w:pPr>
            <w:r>
              <w:rPr>
                <w:sz w:val="19"/>
              </w:rPr>
              <w:t xml:space="preserve">User-supplied </w:t>
            </w:r>
            <w:r>
              <w:rPr>
                <w:rFonts w:ascii="Consolas" w:hAnsi="Consolas"/>
                <w:sz w:val="19"/>
              </w:rPr>
              <w:t>Dog_Meal_Planner_Guide.docx</w:t>
            </w:r>
          </w:p>
        </w:tc>
        <w:tc>
          <w:tcPr>
            <w:tcW w:type="dxa" w:w="3346"/>
          </w:tcPr>
          <w:p>
            <w:pPr>
              <w:spacing w:after="60" w:before="40"/>
            </w:pPr>
            <w:r>
              <w:rPr>
                <w:sz w:val="19"/>
              </w:rPr>
              <w:t>Undated original; all 15 sections/11 tables assessed, not external authority</w:t>
            </w:r>
          </w:p>
        </w:tc>
      </w:tr>
      <w:tr>
        <w:tc>
          <w:tcPr>
            <w:tcW w:type="dxa" w:w="3346"/>
          </w:tcPr>
          <w:p>
            <w:pPr>
              <w:spacing w:after="60" w:before="40"/>
            </w:pPr>
            <w:r>
              <w:rPr>
                <w:sz w:val="19"/>
              </w:rPr>
              <w:t>R02</w:t>
            </w:r>
          </w:p>
        </w:tc>
        <w:tc>
          <w:tcPr>
            <w:tcW w:type="dxa" w:w="3346"/>
          </w:tcPr>
          <w:p>
            <w:pPr>
              <w:spacing w:after="60" w:before="40"/>
            </w:pPr>
            <w:hyperlink r:id="rId11">
              <w:r>
                <w:rPr>
                  <w:color w:val="165D67"/>
                  <w:u w:val="single"/>
                </w:rPr>
                <w:t>FEDIAF Nutritional Guidelines publisher</w:t>
              </w:r>
            </w:hyperlink>
          </w:p>
        </w:tc>
        <w:tc>
          <w:tcPr>
            <w:tcW w:type="dxa" w:w="3346"/>
          </w:tcPr>
          <w:p>
            <w:pPr>
              <w:spacing w:after="60" w:before="40"/>
            </w:pPr>
            <w:r>
              <w:rPr>
                <w:sz w:val="19"/>
              </w:rPr>
              <w:t>Live; current 2025 download and reuse terms</w:t>
            </w:r>
          </w:p>
        </w:tc>
      </w:tr>
      <w:tr>
        <w:tc>
          <w:tcPr>
            <w:tcW w:type="dxa" w:w="3346"/>
          </w:tcPr>
          <w:p>
            <w:pPr>
              <w:spacing w:after="60" w:before="40"/>
            </w:pPr>
            <w:r>
              <w:rPr>
                <w:sz w:val="19"/>
              </w:rPr>
              <w:t>R03</w:t>
            </w:r>
          </w:p>
        </w:tc>
        <w:tc>
          <w:tcPr>
            <w:tcW w:type="dxa" w:w="3346"/>
          </w:tcPr>
          <w:p>
            <w:pPr>
              <w:spacing w:after="60" w:before="40"/>
            </w:pPr>
            <w:hyperlink r:id="rId18">
              <w:r>
                <w:rPr>
                  <w:color w:val="165D67"/>
                  <w:u w:val="single"/>
                </w:rPr>
                <w:t>FEDIAF official 2025 PDF</w:t>
              </w:r>
            </w:hyperlink>
          </w:p>
        </w:tc>
        <w:tc>
          <w:tcPr>
            <w:tcW w:type="dxa" w:w="3346"/>
          </w:tcPr>
          <w:p>
            <w:pPr>
              <w:spacing w:after="60" w:before="40"/>
            </w:pPr>
            <w:r>
              <w:rPr>
                <w:sz w:val="19"/>
              </w:rPr>
              <w:t>September 2025; canineIII-3 tables pp 15–17, footnotes 21, substantiation 22–27, growth/reproduction 56</w:t>
            </w:r>
          </w:p>
        </w:tc>
      </w:tr>
      <w:tr>
        <w:tc>
          <w:tcPr>
            <w:tcW w:type="dxa" w:w="3346"/>
          </w:tcPr>
          <w:p>
            <w:pPr>
              <w:spacing w:after="60" w:before="40"/>
            </w:pPr>
            <w:r>
              <w:rPr>
                <w:sz w:val="19"/>
              </w:rPr>
              <w:t>R04</w:t>
            </w:r>
          </w:p>
        </w:tc>
        <w:tc>
          <w:tcPr>
            <w:tcW w:type="dxa" w:w="3346"/>
          </w:tcPr>
          <w:p>
            <w:pPr>
              <w:spacing w:after="60" w:before="40"/>
            </w:pPr>
            <w:hyperlink r:id="rId12">
              <w:r>
                <w:rPr>
                  <w:color w:val="165D67"/>
                  <w:u w:val="single"/>
                </w:rPr>
                <w:t>AAHA 2021 nutrition/weight guideline</w:t>
              </w:r>
            </w:hyperlink>
          </w:p>
        </w:tc>
        <w:tc>
          <w:tcPr>
            <w:tcW w:type="dxa" w:w="3346"/>
          </w:tcPr>
          <w:p>
            <w:pPr>
              <w:spacing w:after="60" w:before="40"/>
            </w:pPr>
            <w:r>
              <w:rPr>
                <w:sz w:val="19"/>
              </w:rPr>
              <w:t>June 2021; doi 10.5326/JAAHA-MS-7232; clinical workflow</w:t>
            </w:r>
          </w:p>
        </w:tc>
      </w:tr>
      <w:tr>
        <w:tc>
          <w:tcPr>
            <w:tcW w:type="dxa" w:w="3346"/>
          </w:tcPr>
          <w:p>
            <w:pPr>
              <w:spacing w:after="60" w:before="40"/>
            </w:pPr>
            <w:r>
              <w:rPr>
                <w:sz w:val="19"/>
              </w:rPr>
              <w:t>R05</w:t>
            </w:r>
          </w:p>
        </w:tc>
        <w:tc>
          <w:tcPr>
            <w:tcW w:type="dxa" w:w="3346"/>
          </w:tcPr>
          <w:p>
            <w:pPr>
              <w:spacing w:after="60" w:before="40"/>
            </w:pPr>
            <w:hyperlink r:id="rId14">
              <w:r>
                <w:rPr>
                  <w:color w:val="165D67"/>
                  <w:u w:val="single"/>
                </w:rPr>
                <w:t>AAHA weight reduction and energy factors</w:t>
              </w:r>
            </w:hyperlink>
          </w:p>
        </w:tc>
        <w:tc>
          <w:tcPr>
            <w:tcW w:type="dxa" w:w="3346"/>
          </w:tcPr>
          <w:p>
            <w:pPr>
              <w:spacing w:after="60" w:before="40"/>
            </w:pPr>
            <w:r>
              <w:rPr>
                <w:sz w:val="19"/>
              </w:rPr>
              <w:t>2021; RER/factor estimates and supervised reduction</w:t>
            </w:r>
          </w:p>
        </w:tc>
      </w:tr>
      <w:tr>
        <w:tc>
          <w:tcPr>
            <w:tcW w:type="dxa" w:w="3346"/>
          </w:tcPr>
          <w:p>
            <w:pPr>
              <w:spacing w:after="60" w:before="40"/>
            </w:pPr>
            <w:r>
              <w:rPr>
                <w:sz w:val="19"/>
              </w:rPr>
              <w:t>R06</w:t>
            </w:r>
          </w:p>
        </w:tc>
        <w:tc>
          <w:tcPr>
            <w:tcW w:type="dxa" w:w="3346"/>
          </w:tcPr>
          <w:p>
            <w:pPr>
              <w:spacing w:after="60" w:before="40"/>
            </w:pPr>
            <w:hyperlink r:id="rId22">
              <w:r>
                <w:rPr>
                  <w:color w:val="165D67"/>
                  <w:u w:val="single"/>
                </w:rPr>
                <w:t>AAHA healthy feeding plans</w:t>
              </w:r>
            </w:hyperlink>
          </w:p>
        </w:tc>
        <w:tc>
          <w:tcPr>
            <w:tcW w:type="dxa" w:w="3346"/>
          </w:tcPr>
          <w:p>
            <w:pPr>
              <w:spacing w:after="60" w:before="40"/>
            </w:pPr>
            <w:r>
              <w:rPr>
                <w:sz w:val="19"/>
              </w:rPr>
              <w:t>2021; diet history,90%primary food/extras and transitions</w:t>
            </w:r>
          </w:p>
        </w:tc>
      </w:tr>
      <w:tr>
        <w:tc>
          <w:tcPr>
            <w:tcW w:type="dxa" w:w="3346"/>
          </w:tcPr>
          <w:p>
            <w:pPr>
              <w:spacing w:after="60" w:before="40"/>
            </w:pPr>
            <w:r>
              <w:rPr>
                <w:sz w:val="19"/>
              </w:rPr>
              <w:t>R07</w:t>
            </w:r>
          </w:p>
        </w:tc>
        <w:tc>
          <w:tcPr>
            <w:tcW w:type="dxa" w:w="3346"/>
          </w:tcPr>
          <w:p>
            <w:pPr>
              <w:spacing w:after="60" w:before="40"/>
            </w:pPr>
            <w:hyperlink r:id="rId17">
              <w:r>
                <w:rPr>
                  <w:color w:val="165D67"/>
                  <w:u w:val="single"/>
                </w:rPr>
                <w:t>AAHA obesity prevention</w:t>
              </w:r>
            </w:hyperlink>
          </w:p>
        </w:tc>
        <w:tc>
          <w:tcPr>
            <w:tcW w:type="dxa" w:w="3346"/>
          </w:tcPr>
          <w:p>
            <w:pPr>
              <w:spacing w:after="60" w:before="40"/>
            </w:pPr>
            <w:r>
              <w:rPr>
                <w:sz w:val="19"/>
              </w:rPr>
              <w:t>2021; individual condition/neuter/breed context</w:t>
            </w:r>
          </w:p>
        </w:tc>
      </w:tr>
      <w:tr>
        <w:tc>
          <w:tcPr>
            <w:tcW w:type="dxa" w:w="3346"/>
          </w:tcPr>
          <w:p>
            <w:pPr>
              <w:spacing w:after="60" w:before="40"/>
            </w:pPr>
            <w:r>
              <w:rPr>
                <w:sz w:val="19"/>
              </w:rPr>
              <w:t>R08</w:t>
            </w:r>
          </w:p>
        </w:tc>
        <w:tc>
          <w:tcPr>
            <w:tcW w:type="dxa" w:w="3346"/>
          </w:tcPr>
          <w:p>
            <w:pPr>
              <w:spacing w:after="60" w:before="40"/>
            </w:pPr>
            <w:hyperlink r:id="rId25">
              <w:r>
                <w:rPr>
                  <w:color w:val="165D67"/>
                  <w:u w:val="single"/>
                </w:rPr>
                <w:t>AAHA therapeutic diet considerations</w:t>
              </w:r>
            </w:hyperlink>
          </w:p>
        </w:tc>
        <w:tc>
          <w:tcPr>
            <w:tcW w:type="dxa" w:w="3346"/>
          </w:tcPr>
          <w:p>
            <w:pPr>
              <w:spacing w:after="60" w:before="40"/>
            </w:pPr>
            <w:r>
              <w:rPr>
                <w:sz w:val="19"/>
              </w:rPr>
              <w:t>2021; condition-specific diet assessment boundaries</w:t>
            </w:r>
          </w:p>
        </w:tc>
      </w:tr>
      <w:tr>
        <w:tc>
          <w:tcPr>
            <w:tcW w:type="dxa" w:w="3346"/>
          </w:tcPr>
          <w:p>
            <w:pPr>
              <w:spacing w:after="60" w:before="40"/>
            </w:pPr>
            <w:r>
              <w:rPr>
                <w:sz w:val="19"/>
              </w:rPr>
              <w:t>R09</w:t>
            </w:r>
          </w:p>
        </w:tc>
        <w:tc>
          <w:tcPr>
            <w:tcW w:type="dxa" w:w="3346"/>
          </w:tcPr>
          <w:p>
            <w:pPr>
              <w:spacing w:after="60" w:before="40"/>
            </w:pPr>
            <w:hyperlink r:id="rId20">
              <w:r>
                <w:rPr>
                  <w:color w:val="165D67"/>
                  <w:u w:val="single"/>
                </w:rPr>
                <w:t>AAHA age/breed-specific diets</w:t>
              </w:r>
            </w:hyperlink>
          </w:p>
        </w:tc>
        <w:tc>
          <w:tcPr>
            <w:tcW w:type="dxa" w:w="3346"/>
          </w:tcPr>
          <w:p>
            <w:pPr>
              <w:spacing w:after="60" w:before="40"/>
            </w:pPr>
            <w:r>
              <w:rPr>
                <w:sz w:val="19"/>
              </w:rPr>
              <w:t>22 June 2021; skeletal maturity and senior/individual nutrition</w:t>
            </w:r>
          </w:p>
        </w:tc>
      </w:tr>
      <w:tr>
        <w:tc>
          <w:tcPr>
            <w:tcW w:type="dxa" w:w="3346"/>
          </w:tcPr>
          <w:p>
            <w:pPr>
              <w:spacing w:after="60" w:before="40"/>
            </w:pPr>
            <w:r>
              <w:rPr>
                <w:sz w:val="19"/>
              </w:rPr>
              <w:t>R10</w:t>
            </w:r>
          </w:p>
        </w:tc>
        <w:tc>
          <w:tcPr>
            <w:tcW w:type="dxa" w:w="3346"/>
          </w:tcPr>
          <w:p>
            <w:pPr>
              <w:spacing w:after="60" w:before="40"/>
            </w:pPr>
            <w:hyperlink r:id="rId36">
              <w:r>
                <w:rPr>
                  <w:color w:val="165D67"/>
                  <w:u w:val="single"/>
                </w:rPr>
                <w:t>AAHA canine life-stage definitions</w:t>
              </w:r>
            </w:hyperlink>
          </w:p>
        </w:tc>
        <w:tc>
          <w:tcPr>
            <w:tcW w:type="dxa" w:w="3346"/>
          </w:tcPr>
          <w:p>
            <w:pPr>
              <w:spacing w:after="60" w:before="40"/>
            </w:pPr>
            <w:r>
              <w:rPr>
                <w:sz w:val="19"/>
              </w:rPr>
              <w:t>2019 guideline; developmental clinical stages</w:t>
            </w:r>
          </w:p>
        </w:tc>
      </w:tr>
      <w:tr>
        <w:tc>
          <w:tcPr>
            <w:tcW w:type="dxa" w:w="3346"/>
          </w:tcPr>
          <w:p>
            <w:pPr>
              <w:spacing w:after="60" w:before="40"/>
            </w:pPr>
            <w:r>
              <w:rPr>
                <w:sz w:val="19"/>
              </w:rPr>
              <w:t>R11</w:t>
            </w:r>
          </w:p>
        </w:tc>
        <w:tc>
          <w:tcPr>
            <w:tcW w:type="dxa" w:w="3346"/>
          </w:tcPr>
          <w:p>
            <w:pPr>
              <w:spacing w:after="60" w:before="40"/>
            </w:pPr>
            <w:hyperlink r:id="rId37">
              <w:r>
                <w:rPr>
                  <w:color w:val="165D67"/>
                  <w:u w:val="single"/>
                </w:rPr>
                <w:t>AAHA senior definition</w:t>
              </w:r>
            </w:hyperlink>
          </w:p>
        </w:tc>
        <w:tc>
          <w:tcPr>
            <w:tcW w:type="dxa" w:w="3346"/>
          </w:tcPr>
          <w:p>
            <w:pPr>
              <w:spacing w:after="60" w:before="40"/>
            </w:pPr>
            <w:r>
              <w:rPr>
                <w:sz w:val="19"/>
              </w:rPr>
              <w:t>2023 guideline; last 25%of expected lifespan</w:t>
            </w:r>
          </w:p>
        </w:tc>
      </w:tr>
      <w:tr>
        <w:tc>
          <w:tcPr>
            <w:tcW w:type="dxa" w:w="3346"/>
          </w:tcPr>
          <w:p>
            <w:pPr>
              <w:spacing w:after="60" w:before="40"/>
            </w:pPr>
            <w:r>
              <w:rPr>
                <w:sz w:val="19"/>
              </w:rPr>
              <w:t>R12</w:t>
            </w:r>
          </w:p>
        </w:tc>
        <w:tc>
          <w:tcPr>
            <w:tcW w:type="dxa" w:w="3346"/>
          </w:tcPr>
          <w:p>
            <w:pPr>
              <w:spacing w:after="60" w:before="40"/>
            </w:pPr>
            <w:hyperlink r:id="rId15">
              <w:r>
                <w:rPr>
                  <w:color w:val="165D67"/>
                  <w:u w:val="single"/>
                </w:rPr>
                <w:t>AAHA senior nutrition</w:t>
              </w:r>
            </w:hyperlink>
          </w:p>
        </w:tc>
        <w:tc>
          <w:tcPr>
            <w:tcW w:type="dxa" w:w="3346"/>
          </w:tcPr>
          <w:p>
            <w:pPr>
              <w:spacing w:after="60" w:before="40"/>
            </w:pPr>
            <w:r>
              <w:rPr>
                <w:sz w:val="19"/>
              </w:rPr>
              <w:t>13 December 2022 page,2023 guideline; individual aging assessment</w:t>
            </w:r>
          </w:p>
        </w:tc>
      </w:tr>
      <w:tr>
        <w:tc>
          <w:tcPr>
            <w:tcW w:type="dxa" w:w="3346"/>
          </w:tcPr>
          <w:p>
            <w:pPr>
              <w:spacing w:after="60" w:before="40"/>
            </w:pPr>
            <w:r>
              <w:rPr>
                <w:sz w:val="19"/>
              </w:rPr>
              <w:t>R13</w:t>
            </w:r>
          </w:p>
        </w:tc>
        <w:tc>
          <w:tcPr>
            <w:tcW w:type="dxa" w:w="3346"/>
          </w:tcPr>
          <w:p>
            <w:pPr>
              <w:spacing w:after="60" w:before="40"/>
            </w:pPr>
            <w:hyperlink r:id="rId33">
              <w:r>
                <w:rPr>
                  <w:color w:val="165D67"/>
                  <w:u w:val="single"/>
                </w:rPr>
                <w:t>AAHA 2023 allergic-skin guideline PDF</w:t>
              </w:r>
            </w:hyperlink>
          </w:p>
        </w:tc>
        <w:tc>
          <w:tcPr>
            <w:tcW w:type="dxa" w:w="3346"/>
          </w:tcPr>
          <w:p>
            <w:pPr>
              <w:spacing w:after="60" w:before="40"/>
            </w:pPr>
            <w:r>
              <w:rPr>
                <w:sz w:val="19"/>
              </w:rPr>
              <w:t>2023; elimination-trial evidence and safeguards</w:t>
            </w:r>
          </w:p>
        </w:tc>
      </w:tr>
      <w:tr>
        <w:tc>
          <w:tcPr>
            <w:tcW w:type="dxa" w:w="3346"/>
          </w:tcPr>
          <w:p>
            <w:pPr>
              <w:spacing w:after="60" w:before="40"/>
            </w:pPr>
            <w:r>
              <w:rPr>
                <w:sz w:val="19"/>
              </w:rPr>
              <w:t>R14</w:t>
            </w:r>
          </w:p>
        </w:tc>
        <w:tc>
          <w:tcPr>
            <w:tcW w:type="dxa" w:w="3346"/>
          </w:tcPr>
          <w:p>
            <w:pPr>
              <w:spacing w:after="60" w:before="40"/>
            </w:pPr>
            <w:hyperlink r:id="rId61">
              <w:r>
                <w:rPr>
                  <w:color w:val="165D67"/>
                  <w:u w:val="single"/>
                </w:rPr>
                <w:t>AAHA 2026 Diabetes Management for Dogs</w:t>
              </w:r>
            </w:hyperlink>
          </w:p>
        </w:tc>
        <w:tc>
          <w:tcPr>
            <w:tcW w:type="dxa" w:w="3346"/>
          </w:tcPr>
          <w:p>
            <w:pPr>
              <w:spacing w:after="60" w:before="40"/>
            </w:pPr>
            <w:r>
              <w:rPr>
                <w:sz w:val="19"/>
              </w:rPr>
              <w:t>31 August 2026; current canine condition guideline</w:t>
            </w:r>
          </w:p>
        </w:tc>
      </w:tr>
      <w:tr>
        <w:tc>
          <w:tcPr>
            <w:tcW w:type="dxa" w:w="3346"/>
          </w:tcPr>
          <w:p>
            <w:pPr>
              <w:spacing w:after="60" w:before="40"/>
            </w:pPr>
            <w:r>
              <w:rPr>
                <w:sz w:val="19"/>
              </w:rPr>
              <w:t>R15</w:t>
            </w:r>
          </w:p>
        </w:tc>
        <w:tc>
          <w:tcPr>
            <w:tcW w:type="dxa" w:w="3346"/>
          </w:tcPr>
          <w:p>
            <w:pPr>
              <w:spacing w:after="60" w:before="40"/>
            </w:pPr>
            <w:hyperlink r:id="rId38">
              <w:r>
                <w:rPr>
                  <w:color w:val="165D67"/>
                  <w:u w:val="single"/>
                </w:rPr>
                <w:t>AAHA 2026 diabetes dietary section</w:t>
              </w:r>
            </w:hyperlink>
          </w:p>
        </w:tc>
        <w:tc>
          <w:tcPr>
            <w:tcW w:type="dxa" w:w="3346"/>
          </w:tcPr>
          <w:p>
            <w:pPr>
              <w:spacing w:after="60" w:before="40"/>
            </w:pPr>
            <w:r>
              <w:rPr>
                <w:sz w:val="19"/>
              </w:rPr>
              <w:t>2026; individualized feeding/weight-control boundaries</w:t>
            </w:r>
          </w:p>
        </w:tc>
      </w:tr>
      <w:tr>
        <w:tc>
          <w:tcPr>
            <w:tcW w:type="dxa" w:w="3346"/>
          </w:tcPr>
          <w:p>
            <w:pPr>
              <w:spacing w:after="60" w:before="40"/>
            </w:pPr>
            <w:r>
              <w:rPr>
                <w:sz w:val="19"/>
              </w:rPr>
              <w:t>R16</w:t>
            </w:r>
          </w:p>
        </w:tc>
        <w:tc>
          <w:tcPr>
            <w:tcW w:type="dxa" w:w="3346"/>
          </w:tcPr>
          <w:p>
            <w:pPr>
              <w:spacing w:after="60" w:before="40"/>
            </w:pPr>
            <w:hyperlink r:id="rId63">
              <w:r>
                <w:rPr>
                  <w:color w:val="165D67"/>
                  <w:u w:val="single"/>
                </w:rPr>
                <w:t>WSAVA nutrition toolkit index</w:t>
              </w:r>
            </w:hyperlink>
          </w:p>
        </w:tc>
        <w:tc>
          <w:tcPr>
            <w:tcW w:type="dxa" w:w="3346"/>
          </w:tcPr>
          <w:p>
            <w:pPr>
              <w:spacing w:after="60" w:before="40"/>
            </w:pPr>
            <w:r>
              <w:rPr>
                <w:sz w:val="19"/>
              </w:rPr>
              <w:t>Live; assessment and educational resources</w:t>
            </w:r>
          </w:p>
        </w:tc>
      </w:tr>
      <w:tr>
        <w:tc>
          <w:tcPr>
            <w:tcW w:type="dxa" w:w="3346"/>
          </w:tcPr>
          <w:p>
            <w:pPr>
              <w:spacing w:after="60" w:before="40"/>
            </w:pPr>
            <w:r>
              <w:rPr>
                <w:sz w:val="19"/>
              </w:rPr>
              <w:t>R17</w:t>
            </w:r>
          </w:p>
        </w:tc>
        <w:tc>
          <w:tcPr>
            <w:tcW w:type="dxa" w:w="3346"/>
          </w:tcPr>
          <w:p>
            <w:pPr>
              <w:spacing w:after="60" w:before="40"/>
            </w:pPr>
            <w:hyperlink r:id="rId21">
              <w:r>
                <w:rPr>
                  <w:color w:val="165D67"/>
                  <w:u w:val="single"/>
                </w:rPr>
                <w:t>WSAVA dog BCS chart</w:t>
              </w:r>
            </w:hyperlink>
          </w:p>
        </w:tc>
        <w:tc>
          <w:tcPr>
            <w:tcW w:type="dxa" w:w="3346"/>
          </w:tcPr>
          <w:p>
            <w:pPr>
              <w:spacing w:after="60" w:before="40"/>
            </w:pPr>
            <w:r>
              <w:rPr>
                <w:sz w:val="19"/>
              </w:rPr>
              <w:t>June 2025 file; dog chart only</w:t>
            </w:r>
          </w:p>
        </w:tc>
      </w:tr>
      <w:tr>
        <w:tc>
          <w:tcPr>
            <w:tcW w:type="dxa" w:w="3346"/>
          </w:tcPr>
          <w:p>
            <w:pPr>
              <w:spacing w:after="60" w:before="40"/>
            </w:pPr>
            <w:r>
              <w:rPr>
                <w:sz w:val="19"/>
              </w:rPr>
              <w:t>R18</w:t>
            </w:r>
          </w:p>
        </w:tc>
        <w:tc>
          <w:tcPr>
            <w:tcW w:type="dxa" w:w="3346"/>
          </w:tcPr>
          <w:p>
            <w:pPr>
              <w:spacing w:after="60" w:before="40"/>
            </w:pPr>
            <w:hyperlink r:id="rId60">
              <w:r>
                <w:rPr>
                  <w:color w:val="165D67"/>
                  <w:u w:val="single"/>
                </w:rPr>
                <w:t>WSAVA canine MCS chart</w:t>
              </w:r>
            </w:hyperlink>
          </w:p>
        </w:tc>
        <w:tc>
          <w:tcPr>
            <w:tcW w:type="dxa" w:w="3346"/>
          </w:tcPr>
          <w:p>
            <w:pPr>
              <w:spacing w:after="60" w:before="40"/>
            </w:pPr>
            <w:r>
              <w:rPr>
                <w:sz w:val="19"/>
              </w:rPr>
              <w:t>File served 2020 path; chart publication date not independently established; four MCS grades</w:t>
            </w:r>
          </w:p>
        </w:tc>
      </w:tr>
      <w:tr>
        <w:tc>
          <w:tcPr>
            <w:tcW w:type="dxa" w:w="3346"/>
          </w:tcPr>
          <w:p>
            <w:pPr>
              <w:spacing w:after="60" w:before="40"/>
            </w:pPr>
            <w:r>
              <w:rPr>
                <w:sz w:val="19"/>
              </w:rPr>
              <w:t>R19</w:t>
            </w:r>
          </w:p>
        </w:tc>
        <w:tc>
          <w:tcPr>
            <w:tcW w:type="dxa" w:w="3346"/>
          </w:tcPr>
          <w:p>
            <w:pPr>
              <w:spacing w:after="60" w:before="40"/>
            </w:pPr>
            <w:hyperlink r:id="rId43">
              <w:r>
                <w:rPr>
                  <w:color w:val="165D67"/>
                  <w:u w:val="single"/>
                </w:rPr>
                <w:t>WSAVA selecting pet food</w:t>
              </w:r>
            </w:hyperlink>
          </w:p>
        </w:tc>
        <w:tc>
          <w:tcPr>
            <w:tcW w:type="dxa" w:w="3346"/>
          </w:tcPr>
          <w:p>
            <w:pPr>
              <w:spacing w:after="60" w:before="40"/>
            </w:pPr>
            <w:r>
              <w:rPr>
                <w:sz w:val="19"/>
              </w:rPr>
              <w:t>2021 update; manufacturer/evidence questions, no brand approval</w:t>
            </w:r>
          </w:p>
        </w:tc>
      </w:tr>
      <w:tr>
        <w:tc>
          <w:tcPr>
            <w:tcW w:type="dxa" w:w="3346"/>
          </w:tcPr>
          <w:p>
            <w:pPr>
              <w:spacing w:after="60" w:before="40"/>
            </w:pPr>
            <w:r>
              <w:rPr>
                <w:sz w:val="19"/>
              </w:rPr>
              <w:t>R20</w:t>
            </w:r>
          </w:p>
        </w:tc>
        <w:tc>
          <w:tcPr>
            <w:tcW w:type="dxa" w:w="3346"/>
          </w:tcPr>
          <w:p>
            <w:pPr>
              <w:spacing w:after="60" w:before="40"/>
            </w:pPr>
            <w:hyperlink r:id="rId35">
              <w:r>
                <w:rPr>
                  <w:color w:val="165D67"/>
                  <w:u w:val="single"/>
                </w:rPr>
                <w:t>WSAVA Nutritional Assessment Guidelines</w:t>
              </w:r>
            </w:hyperlink>
          </w:p>
        </w:tc>
        <w:tc>
          <w:tcPr>
            <w:tcW w:type="dxa" w:w="3346"/>
          </w:tcPr>
          <w:p>
            <w:pPr>
              <w:spacing w:after="60" w:before="40"/>
            </w:pPr>
            <w:r>
              <w:rPr>
                <w:sz w:val="19"/>
              </w:rPr>
              <w:t>2011; Journal of Small Animal Practice 52:385?396, doi10.1111/j.1748-5827.2011.01079.x; nutritional assessment framework</w:t>
            </w:r>
          </w:p>
        </w:tc>
      </w:tr>
      <w:tr>
        <w:tc>
          <w:tcPr>
            <w:tcW w:type="dxa" w:w="3346"/>
          </w:tcPr>
          <w:p>
            <w:pPr>
              <w:spacing w:after="60" w:before="40"/>
            </w:pPr>
            <w:r>
              <w:rPr>
                <w:sz w:val="19"/>
              </w:rPr>
              <w:t>R21</w:t>
            </w:r>
          </w:p>
        </w:tc>
        <w:tc>
          <w:tcPr>
            <w:tcW w:type="dxa" w:w="3346"/>
          </w:tcPr>
          <w:p>
            <w:pPr>
              <w:spacing w:after="60" w:before="40"/>
            </w:pPr>
            <w:hyperlink r:id="rId41">
              <w:r>
                <w:rPr>
                  <w:color w:val="165D67"/>
                  <w:u w:val="single"/>
                </w:rPr>
                <w:t>NRC foundational publication</w:t>
              </w:r>
            </w:hyperlink>
          </w:p>
        </w:tc>
        <w:tc>
          <w:tcPr>
            <w:tcW w:type="dxa" w:w="3346"/>
          </w:tcPr>
          <w:p>
            <w:pPr>
              <w:spacing w:after="60" w:before="40"/>
            </w:pPr>
            <w:r>
              <w:rPr>
                <w:sz w:val="19"/>
              </w:rPr>
              <w:t>2006; doi 10.17226/10668; canine scientific requirements</w:t>
            </w:r>
          </w:p>
        </w:tc>
      </w:tr>
      <w:tr>
        <w:tc>
          <w:tcPr>
            <w:tcW w:type="dxa" w:w="3346"/>
          </w:tcPr>
          <w:p>
            <w:pPr>
              <w:spacing w:after="60" w:before="40"/>
            </w:pPr>
            <w:r>
              <w:rPr>
                <w:sz w:val="19"/>
              </w:rPr>
              <w:t>R22</w:t>
            </w:r>
          </w:p>
        </w:tc>
        <w:tc>
          <w:tcPr>
            <w:tcW w:type="dxa" w:w="3346"/>
          </w:tcPr>
          <w:p>
            <w:pPr>
              <w:spacing w:after="60" w:before="40"/>
            </w:pPr>
            <w:hyperlink r:id="rId39">
              <w:r>
                <w:rPr>
                  <w:color w:val="165D67"/>
                  <w:u w:val="single"/>
                </w:rPr>
                <w:t>National Academies canine nutrition overview</w:t>
              </w:r>
            </w:hyperlink>
          </w:p>
        </w:tc>
        <w:tc>
          <w:tcPr>
            <w:tcW w:type="dxa" w:w="3346"/>
          </w:tcPr>
          <w:p>
            <w:pPr>
              <w:spacing w:after="60" w:before="40"/>
            </w:pPr>
            <w:r>
              <w:rPr>
                <w:sz w:val="19"/>
              </w:rPr>
              <w:t>2006; nutrient functions and illustrative allowances, not current profile import</w:t>
            </w:r>
          </w:p>
        </w:tc>
      </w:tr>
      <w:tr>
        <w:tc>
          <w:tcPr>
            <w:tcW w:type="dxa" w:w="3346"/>
          </w:tcPr>
          <w:p>
            <w:pPr>
              <w:spacing w:after="60" w:before="40"/>
            </w:pPr>
            <w:r>
              <w:rPr>
                <w:sz w:val="19"/>
              </w:rPr>
              <w:t>R23</w:t>
            </w:r>
          </w:p>
        </w:tc>
        <w:tc>
          <w:tcPr>
            <w:tcW w:type="dxa" w:w="3346"/>
          </w:tcPr>
          <w:p>
            <w:pPr>
              <w:spacing w:after="60" w:before="40"/>
            </w:pPr>
            <w:hyperlink r:id="rId64">
              <w:r>
                <w:rPr>
                  <w:color w:val="165D67"/>
                  <w:u w:val="single"/>
                </w:rPr>
                <w:t>AAFCO publisher</w:t>
              </w:r>
            </w:hyperlink>
          </w:p>
        </w:tc>
        <w:tc>
          <w:tcPr>
            <w:tcW w:type="dxa" w:w="3346"/>
          </w:tcPr>
          <w:p>
            <w:pPr>
              <w:spacing w:after="60" w:before="40"/>
            </w:pPr>
            <w:r>
              <w:rPr>
                <w:sz w:val="19"/>
              </w:rPr>
              <w:t>2026 Official Publication offered; exact licensed profiles need acquisition/verification</w:t>
            </w:r>
          </w:p>
        </w:tc>
      </w:tr>
      <w:tr>
        <w:tc>
          <w:tcPr>
            <w:tcW w:type="dxa" w:w="3346"/>
          </w:tcPr>
          <w:p>
            <w:pPr>
              <w:spacing w:after="60" w:before="40"/>
            </w:pPr>
            <w:r>
              <w:rPr>
                <w:sz w:val="19"/>
              </w:rPr>
              <w:t>R24</w:t>
            </w:r>
          </w:p>
        </w:tc>
        <w:tc>
          <w:tcPr>
            <w:tcW w:type="dxa" w:w="3346"/>
          </w:tcPr>
          <w:p>
            <w:pPr>
              <w:spacing w:after="60" w:before="40"/>
            </w:pPr>
            <w:hyperlink r:id="rId65">
              <w:r>
                <w:rPr>
                  <w:color w:val="165D67"/>
                  <w:u w:val="single"/>
                </w:rPr>
                <w:t>AAFCO historical revised profile report</w:t>
              </w:r>
            </w:hyperlink>
          </w:p>
        </w:tc>
        <w:tc>
          <w:tcPr>
            <w:tcW w:type="dxa" w:w="3346"/>
          </w:tcPr>
          <w:p>
            <w:pPr>
              <w:spacing w:after="60" w:before="40"/>
            </w:pPr>
            <w:r>
              <w:rPr>
                <w:sz w:val="19"/>
              </w:rPr>
              <w:t>22 September 2014 revision; historical comparison only, not verified 2026 dataset</w:t>
            </w:r>
          </w:p>
        </w:tc>
      </w:tr>
      <w:tr>
        <w:tc>
          <w:tcPr>
            <w:tcW w:type="dxa" w:w="3346"/>
          </w:tcPr>
          <w:p>
            <w:pPr>
              <w:spacing w:after="60" w:before="40"/>
            </w:pPr>
            <w:r>
              <w:rPr>
                <w:sz w:val="19"/>
              </w:rPr>
              <w:t>R25</w:t>
            </w:r>
          </w:p>
        </w:tc>
        <w:tc>
          <w:tcPr>
            <w:tcW w:type="dxa" w:w="3346"/>
          </w:tcPr>
          <w:p>
            <w:pPr>
              <w:spacing w:after="60" w:before="40"/>
            </w:pPr>
            <w:hyperlink r:id="rId66">
              <w:r>
                <w:rPr>
                  <w:color w:val="165D67"/>
                  <w:u w:val="single"/>
                </w:rPr>
                <w:t>AAFCO February 2026 bulletin</w:t>
              </w:r>
            </w:hyperlink>
          </w:p>
        </w:tc>
        <w:tc>
          <w:tcPr>
            <w:tcW w:type="dxa" w:w="3346"/>
          </w:tcPr>
          <w:p>
            <w:pPr>
              <w:spacing w:after="60" w:before="40"/>
            </w:pPr>
            <w:r>
              <w:rPr>
                <w:sz w:val="19"/>
              </w:rPr>
              <w:t>February 2026; senior-profile workgroup is not an adopted numeric senior standard</w:t>
            </w:r>
          </w:p>
        </w:tc>
      </w:tr>
      <w:tr>
        <w:tc>
          <w:tcPr>
            <w:tcW w:type="dxa" w:w="3346"/>
          </w:tcPr>
          <w:p>
            <w:pPr>
              <w:spacing w:after="60" w:before="40"/>
            </w:pPr>
            <w:r>
              <w:rPr>
                <w:sz w:val="19"/>
              </w:rPr>
              <w:t>R26</w:t>
            </w:r>
          </w:p>
        </w:tc>
        <w:tc>
          <w:tcPr>
            <w:tcW w:type="dxa" w:w="3346"/>
          </w:tcPr>
          <w:p>
            <w:pPr>
              <w:spacing w:after="60" w:before="40"/>
            </w:pPr>
            <w:hyperlink r:id="rId13">
              <w:r>
                <w:rPr>
                  <w:color w:val="165D67"/>
                  <w:u w:val="single"/>
                </w:rPr>
                <w:t>FDA complete/balanced food</w:t>
              </w:r>
            </w:hyperlink>
          </w:p>
        </w:tc>
        <w:tc>
          <w:tcPr>
            <w:tcW w:type="dxa" w:w="3346"/>
          </w:tcPr>
          <w:p>
            <w:pPr>
              <w:spacing w:after="60" w:before="40"/>
            </w:pPr>
            <w:r>
              <w:rPr>
                <w:sz w:val="19"/>
              </w:rPr>
              <w:t>Live; adequacy evidence, life-stage and basis distinctions</w:t>
            </w:r>
          </w:p>
        </w:tc>
      </w:tr>
      <w:tr>
        <w:tc>
          <w:tcPr>
            <w:tcW w:type="dxa" w:w="3346"/>
          </w:tcPr>
          <w:p>
            <w:pPr>
              <w:spacing w:after="60" w:before="40"/>
            </w:pPr>
            <w:r>
              <w:rPr>
                <w:sz w:val="19"/>
              </w:rPr>
              <w:t>R27</w:t>
            </w:r>
          </w:p>
        </w:tc>
        <w:tc>
          <w:tcPr>
            <w:tcW w:type="dxa" w:w="3346"/>
          </w:tcPr>
          <w:p>
            <w:pPr>
              <w:spacing w:after="60" w:before="40"/>
            </w:pPr>
            <w:hyperlink r:id="rId16">
              <w:r>
                <w:rPr>
                  <w:color w:val="165D67"/>
                  <w:u w:val="single"/>
                </w:rPr>
                <w:t>Merck nutritional requirements</w:t>
              </w:r>
            </w:hyperlink>
          </w:p>
        </w:tc>
        <w:tc>
          <w:tcPr>
            <w:tcW w:type="dxa" w:w="3346"/>
          </w:tcPr>
          <w:p>
            <w:pPr>
              <w:spacing w:after="60" w:before="40"/>
            </w:pPr>
            <w:r>
              <w:rPr>
                <w:sz w:val="19"/>
              </w:rPr>
              <w:t>Full reviewNovember 2023 where displayed; energy/nutrition clinical reference</w:t>
            </w:r>
          </w:p>
        </w:tc>
      </w:tr>
      <w:tr>
        <w:tc>
          <w:tcPr>
            <w:tcW w:type="dxa" w:w="3346"/>
          </w:tcPr>
          <w:p>
            <w:pPr>
              <w:spacing w:after="60" w:before="40"/>
            </w:pPr>
            <w:r>
              <w:rPr>
                <w:sz w:val="19"/>
              </w:rPr>
              <w:t>R28</w:t>
            </w:r>
          </w:p>
        </w:tc>
        <w:tc>
          <w:tcPr>
            <w:tcW w:type="dxa" w:w="3346"/>
          </w:tcPr>
          <w:p>
            <w:pPr>
              <w:spacing w:after="60" w:before="40"/>
            </w:pPr>
            <w:hyperlink r:id="rId24">
              <w:r>
                <w:rPr>
                  <w:color w:val="165D67"/>
                  <w:u w:val="single"/>
                </w:rPr>
                <w:t>Merck feeding practices</w:t>
              </w:r>
            </w:hyperlink>
          </w:p>
        </w:tc>
        <w:tc>
          <w:tcPr>
            <w:tcW w:type="dxa" w:w="3346"/>
          </w:tcPr>
          <w:p>
            <w:pPr>
              <w:spacing w:after="60" w:before="40"/>
            </w:pPr>
            <w:r>
              <w:rPr>
                <w:sz w:val="19"/>
              </w:rPr>
              <w:t>Full reviewNovember 2023; updatedOctober 2024; canine growth/reproduction and meals</w:t>
            </w:r>
          </w:p>
        </w:tc>
      </w:tr>
      <w:tr>
        <w:tc>
          <w:tcPr>
            <w:tcW w:type="dxa" w:w="3346"/>
          </w:tcPr>
          <w:p>
            <w:pPr>
              <w:spacing w:after="60" w:before="40"/>
            </w:pPr>
            <w:r>
              <w:rPr>
                <w:sz w:val="19"/>
              </w:rPr>
              <w:t>R29</w:t>
            </w:r>
          </w:p>
        </w:tc>
        <w:tc>
          <w:tcPr>
            <w:tcW w:type="dxa" w:w="3346"/>
          </w:tcPr>
          <w:p>
            <w:pPr>
              <w:spacing w:after="60" w:before="40"/>
            </w:pPr>
            <w:hyperlink r:id="rId19">
              <w:r>
                <w:rPr>
                  <w:color w:val="165D67"/>
                  <w:u w:val="single"/>
                </w:rPr>
                <w:t>Cornell puppy/maternal development</w:t>
              </w:r>
            </w:hyperlink>
          </w:p>
        </w:tc>
        <w:tc>
          <w:tcPr>
            <w:tcW w:type="dxa" w:w="3346"/>
          </w:tcPr>
          <w:p>
            <w:pPr>
              <w:spacing w:after="60" w:before="40"/>
            </w:pPr>
            <w:r>
              <w:rPr>
                <w:sz w:val="19"/>
              </w:rPr>
              <w:t>Undated/live; weaning timeline and maternal care</w:t>
            </w:r>
          </w:p>
        </w:tc>
      </w:tr>
      <w:tr>
        <w:tc>
          <w:tcPr>
            <w:tcW w:type="dxa" w:w="3346"/>
          </w:tcPr>
          <w:p>
            <w:pPr>
              <w:spacing w:after="60" w:before="40"/>
            </w:pPr>
            <w:r>
              <w:rPr>
                <w:sz w:val="19"/>
              </w:rPr>
              <w:t>R30</w:t>
            </w:r>
          </w:p>
        </w:tc>
        <w:tc>
          <w:tcPr>
            <w:tcW w:type="dxa" w:w="3346"/>
          </w:tcPr>
          <w:p>
            <w:pPr>
              <w:spacing w:after="60" w:before="40"/>
            </w:pPr>
            <w:hyperlink r:id="rId29">
              <w:r>
                <w:rPr>
                  <w:color w:val="165D67"/>
                  <w:u w:val="single"/>
                </w:rPr>
                <w:t>DOST-FNRI PhilFCT</w:t>
              </w:r>
            </w:hyperlink>
          </w:p>
        </w:tc>
        <w:tc>
          <w:tcPr>
            <w:tcW w:type="dxa" w:w="3346"/>
          </w:tcPr>
          <w:p>
            <w:pPr>
              <w:spacing w:after="60" w:before="40"/>
            </w:pPr>
            <w:r>
              <w:rPr>
                <w:sz w:val="19"/>
              </w:rPr>
              <w:t>Live; Philippine composition sources; individual values not imported here</w:t>
            </w:r>
          </w:p>
        </w:tc>
      </w:tr>
      <w:tr>
        <w:tc>
          <w:tcPr>
            <w:tcW w:type="dxa" w:w="3346"/>
          </w:tcPr>
          <w:p>
            <w:pPr>
              <w:spacing w:after="60" w:before="40"/>
            </w:pPr>
            <w:r>
              <w:rPr>
                <w:sz w:val="19"/>
              </w:rPr>
              <w:t>R31</w:t>
            </w:r>
          </w:p>
        </w:tc>
        <w:tc>
          <w:tcPr>
            <w:tcW w:type="dxa" w:w="3346"/>
          </w:tcPr>
          <w:p>
            <w:pPr>
              <w:spacing w:after="60" w:before="40"/>
            </w:pPr>
            <w:hyperlink r:id="rId42">
              <w:r>
                <w:rPr>
                  <w:color w:val="165D67"/>
                  <w:u w:val="single"/>
                </w:rPr>
                <w:t>USDA FoodData Central documentation</w:t>
              </w:r>
            </w:hyperlink>
          </w:p>
        </w:tc>
        <w:tc>
          <w:tcPr>
            <w:tcW w:type="dxa" w:w="3346"/>
          </w:tcPr>
          <w:p>
            <w:pPr>
              <w:spacing w:after="60" w:before="40"/>
            </w:pPr>
            <w:r>
              <w:rPr>
                <w:sz w:val="19"/>
              </w:rPr>
              <w:t>Live; dataset types, analytical versus label evidence and updates</w:t>
            </w:r>
          </w:p>
        </w:tc>
      </w:tr>
      <w:tr>
        <w:tc>
          <w:tcPr>
            <w:tcW w:type="dxa" w:w="3346"/>
          </w:tcPr>
          <w:p>
            <w:pPr>
              <w:spacing w:after="60" w:before="40"/>
            </w:pPr>
            <w:r>
              <w:rPr>
                <w:sz w:val="19"/>
              </w:rPr>
              <w:t>R32</w:t>
            </w:r>
          </w:p>
        </w:tc>
        <w:tc>
          <w:tcPr>
            <w:tcW w:type="dxa" w:w="3346"/>
          </w:tcPr>
          <w:p>
            <w:pPr>
              <w:spacing w:after="60" w:before="40"/>
            </w:pPr>
            <w:hyperlink r:id="rId67">
              <w:r>
                <w:rPr>
                  <w:color w:val="165D67"/>
                  <w:u w:val="single"/>
                </w:rPr>
                <w:t>Stockman et al., home-prepared maintenance diets</w:t>
              </w:r>
            </w:hyperlink>
          </w:p>
        </w:tc>
        <w:tc>
          <w:tcPr>
            <w:tcW w:type="dxa" w:w="3346"/>
          </w:tcPr>
          <w:p>
            <w:pPr>
              <w:spacing w:after="60" w:before="40"/>
            </w:pPr>
            <w:r>
              <w:rPr>
                <w:sz w:val="19"/>
              </w:rPr>
              <w:t>1 June 2013, JAVMA 242:1500–1505, doi 10.2460/javma.242.11.1500; publication record notes a 2014 erratum; check full corrected paper before importing exact numerical study results</w:t>
            </w:r>
          </w:p>
        </w:tc>
      </w:tr>
      <w:tr>
        <w:tc>
          <w:tcPr>
            <w:tcW w:type="dxa" w:w="3346"/>
          </w:tcPr>
          <w:p>
            <w:pPr>
              <w:spacing w:after="60" w:before="40"/>
            </w:pPr>
            <w:r>
              <w:rPr>
                <w:sz w:val="19"/>
              </w:rPr>
              <w:t>R33</w:t>
            </w:r>
          </w:p>
        </w:tc>
        <w:tc>
          <w:tcPr>
            <w:tcW w:type="dxa" w:w="3346"/>
          </w:tcPr>
          <w:p>
            <w:pPr>
              <w:spacing w:after="60" w:before="40"/>
            </w:pPr>
            <w:hyperlink r:id="rId45">
              <w:r>
                <w:rPr>
                  <w:color w:val="165D67"/>
                  <w:u w:val="single"/>
                </w:rPr>
                <w:t>UC Davis study report</w:t>
              </w:r>
            </w:hyperlink>
          </w:p>
        </w:tc>
        <w:tc>
          <w:tcPr>
            <w:tcW w:type="dxa" w:w="3346"/>
          </w:tcPr>
          <w:p>
            <w:pPr>
              <w:spacing w:after="60" w:before="40"/>
            </w:pPr>
            <w:r>
              <w:rPr>
                <w:sz w:val="19"/>
              </w:rPr>
              <w:t>15 July 2013;200 recipes/34 sources and formulation concerns</w:t>
            </w:r>
          </w:p>
        </w:tc>
      </w:tr>
      <w:tr>
        <w:tc>
          <w:tcPr>
            <w:tcW w:type="dxa" w:w="3346"/>
          </w:tcPr>
          <w:p>
            <w:pPr>
              <w:spacing w:after="60" w:before="40"/>
            </w:pPr>
            <w:r>
              <w:rPr>
                <w:sz w:val="19"/>
              </w:rPr>
              <w:t>R34</w:t>
            </w:r>
          </w:p>
        </w:tc>
        <w:tc>
          <w:tcPr>
            <w:tcW w:type="dxa" w:w="3346"/>
          </w:tcPr>
          <w:p>
            <w:pPr>
              <w:spacing w:after="60" w:before="40"/>
            </w:pPr>
            <w:hyperlink r:id="rId68">
              <w:r>
                <w:rPr>
                  <w:color w:val="165D67"/>
                  <w:u w:val="single"/>
                </w:rPr>
                <w:t>Klein et al., growing-dog energy study</w:t>
              </w:r>
            </w:hyperlink>
          </w:p>
        </w:tc>
        <w:tc>
          <w:tcPr>
            <w:tcW w:type="dxa" w:w="3346"/>
          </w:tcPr>
          <w:p>
            <w:pPr>
              <w:spacing w:after="60" w:before="40"/>
            </w:pPr>
            <w:r>
              <w:rPr>
                <w:sz w:val="19"/>
              </w:rPr>
              <w:t>2019, Journal of Animal Physiology and Animal Nutrition 103:1952–1958; primary work cited by FEDIAF; individual-growth uncertainty</w:t>
            </w:r>
          </w:p>
        </w:tc>
      </w:tr>
      <w:tr>
        <w:tc>
          <w:tcPr>
            <w:tcW w:type="dxa" w:w="3346"/>
          </w:tcPr>
          <w:p>
            <w:pPr>
              <w:spacing w:after="60" w:before="40"/>
            </w:pPr>
            <w:r>
              <w:rPr>
                <w:sz w:val="19"/>
              </w:rPr>
              <w:t>R35</w:t>
            </w:r>
          </w:p>
        </w:tc>
        <w:tc>
          <w:tcPr>
            <w:tcW w:type="dxa" w:w="3346"/>
          </w:tcPr>
          <w:p>
            <w:pPr>
              <w:spacing w:after="60" w:before="40"/>
            </w:pPr>
            <w:hyperlink r:id="rId28">
              <w:r>
                <w:rPr>
                  <w:color w:val="165D67"/>
                  <w:u w:val="single"/>
                </w:rPr>
                <w:t>FDA safe handling/storage</w:t>
              </w:r>
            </w:hyperlink>
          </w:p>
        </w:tc>
        <w:tc>
          <w:tcPr>
            <w:tcW w:type="dxa" w:w="3346"/>
          </w:tcPr>
          <w:p>
            <w:pPr>
              <w:spacing w:after="60" w:before="40"/>
            </w:pPr>
            <w:r>
              <w:rPr>
                <w:sz w:val="19"/>
              </w:rPr>
              <w:t>Undated/live; processed/raw food and cross-contamination/storage</w:t>
            </w:r>
          </w:p>
        </w:tc>
      </w:tr>
      <w:tr>
        <w:tc>
          <w:tcPr>
            <w:tcW w:type="dxa" w:w="3346"/>
          </w:tcPr>
          <w:p>
            <w:pPr>
              <w:spacing w:after="60" w:before="40"/>
            </w:pPr>
            <w:r>
              <w:rPr>
                <w:sz w:val="19"/>
              </w:rPr>
              <w:t>R36</w:t>
            </w:r>
          </w:p>
        </w:tc>
        <w:tc>
          <w:tcPr>
            <w:tcW w:type="dxa" w:w="3346"/>
          </w:tcPr>
          <w:p>
            <w:pPr>
              <w:spacing w:after="60" w:before="40"/>
            </w:pPr>
            <w:hyperlink r:id="rId27">
              <w:r>
                <w:rPr>
                  <w:color w:val="165D67"/>
                  <w:u w:val="single"/>
                </w:rPr>
                <w:t>USDA leftovers handling</w:t>
              </w:r>
            </w:hyperlink>
          </w:p>
        </w:tc>
        <w:tc>
          <w:tcPr>
            <w:tcW w:type="dxa" w:w="3346"/>
          </w:tcPr>
          <w:p>
            <w:pPr>
              <w:spacing w:after="60" w:before="40"/>
            </w:pPr>
            <w:r>
              <w:rPr>
                <w:sz w:val="19"/>
              </w:rPr>
              <w:t>Live official guidance; time/temperature and storage</w:t>
            </w:r>
          </w:p>
        </w:tc>
      </w:tr>
      <w:tr>
        <w:tc>
          <w:tcPr>
            <w:tcW w:type="dxa" w:w="3346"/>
          </w:tcPr>
          <w:p>
            <w:pPr>
              <w:spacing w:after="60" w:before="40"/>
            </w:pPr>
            <w:r>
              <w:rPr>
                <w:sz w:val="19"/>
              </w:rPr>
              <w:t>R37</w:t>
            </w:r>
          </w:p>
        </w:tc>
        <w:tc>
          <w:tcPr>
            <w:tcW w:type="dxa" w:w="3346"/>
          </w:tcPr>
          <w:p>
            <w:pPr>
              <w:spacing w:after="60" w:before="40"/>
            </w:pPr>
            <w:hyperlink r:id="rId55">
              <w:r>
                <w:rPr>
                  <w:color w:val="165D67"/>
                  <w:u w:val="single"/>
                </w:rPr>
                <w:t>USDA two-hour rule</w:t>
              </w:r>
            </w:hyperlink>
          </w:p>
        </w:tc>
        <w:tc>
          <w:tcPr>
            <w:tcW w:type="dxa" w:w="3346"/>
          </w:tcPr>
          <w:p>
            <w:pPr>
              <w:spacing w:after="60" w:before="40"/>
            </w:pPr>
            <w:r>
              <w:rPr>
                <w:sz w:val="19"/>
              </w:rPr>
              <w:t>Undated/live; one-hour exception above 90°F</w:t>
            </w:r>
          </w:p>
        </w:tc>
      </w:tr>
      <w:tr>
        <w:tc>
          <w:tcPr>
            <w:tcW w:type="dxa" w:w="3346"/>
          </w:tcPr>
          <w:p>
            <w:pPr>
              <w:spacing w:after="60" w:before="40"/>
            </w:pPr>
            <w:r>
              <w:rPr>
                <w:sz w:val="19"/>
              </w:rPr>
              <w:t>R38</w:t>
            </w:r>
          </w:p>
        </w:tc>
        <w:tc>
          <w:tcPr>
            <w:tcW w:type="dxa" w:w="3346"/>
          </w:tcPr>
          <w:p>
            <w:pPr>
              <w:spacing w:after="60" w:before="40"/>
            </w:pPr>
            <w:hyperlink r:id="rId54">
              <w:r>
                <w:rPr>
                  <w:color w:val="165D67"/>
                  <w:u w:val="single"/>
                </w:rPr>
                <w:t>FoodSafety.gov cooking temperatures</w:t>
              </w:r>
            </w:hyperlink>
          </w:p>
        </w:tc>
        <w:tc>
          <w:tcPr>
            <w:tcW w:type="dxa" w:w="3346"/>
          </w:tcPr>
          <w:p>
            <w:pPr>
              <w:spacing w:after="60" w:before="40"/>
            </w:pPr>
            <w:r>
              <w:rPr>
                <w:sz w:val="19"/>
              </w:rPr>
              <w:t>Reviewed 21 November 2024; poultry/fish/eggs/ground meat/leftovers</w:t>
            </w:r>
          </w:p>
        </w:tc>
      </w:tr>
      <w:tr>
        <w:tc>
          <w:tcPr>
            <w:tcW w:type="dxa" w:w="3346"/>
          </w:tcPr>
          <w:p>
            <w:pPr>
              <w:spacing w:after="60" w:before="40"/>
            </w:pPr>
            <w:r>
              <w:rPr>
                <w:sz w:val="19"/>
              </w:rPr>
              <w:t>R39</w:t>
            </w:r>
          </w:p>
        </w:tc>
        <w:tc>
          <w:tcPr>
            <w:tcW w:type="dxa" w:w="3346"/>
          </w:tcPr>
          <w:p>
            <w:pPr>
              <w:spacing w:after="60" w:before="40"/>
            </w:pPr>
            <w:hyperlink r:id="rId26">
              <w:r>
                <w:rPr>
                  <w:color w:val="165D67"/>
                  <w:u w:val="single"/>
                </w:rPr>
                <w:t>PAGASA Philippine climate</w:t>
              </w:r>
            </w:hyperlink>
          </w:p>
        </w:tc>
        <w:tc>
          <w:tcPr>
            <w:tcW w:type="dxa" w:w="3346"/>
          </w:tcPr>
          <w:p>
            <w:pPr>
              <w:spacing w:after="60" w:before="40"/>
            </w:pPr>
            <w:r>
              <w:rPr>
                <w:sz w:val="19"/>
              </w:rPr>
              <w:t>Undated/live; seasons and regional climate differences</w:t>
            </w:r>
          </w:p>
        </w:tc>
      </w:tr>
      <w:tr>
        <w:tc>
          <w:tcPr>
            <w:tcW w:type="dxa" w:w="3346"/>
          </w:tcPr>
          <w:p>
            <w:pPr>
              <w:spacing w:after="60" w:before="40"/>
            </w:pPr>
            <w:r>
              <w:rPr>
                <w:sz w:val="19"/>
              </w:rPr>
              <w:t>R40</w:t>
            </w:r>
          </w:p>
        </w:tc>
        <w:tc>
          <w:tcPr>
            <w:tcW w:type="dxa" w:w="3346"/>
          </w:tcPr>
          <w:p>
            <w:pPr>
              <w:spacing w:after="60" w:before="40"/>
            </w:pPr>
            <w:hyperlink r:id="rId49">
              <w:r>
                <w:rPr>
                  <w:color w:val="165D67"/>
                  <w:u w:val="single"/>
                </w:rPr>
                <w:t>FDA xylitol warning</w:t>
              </w:r>
            </w:hyperlink>
          </w:p>
        </w:tc>
        <w:tc>
          <w:tcPr>
            <w:tcW w:type="dxa" w:w="3346"/>
          </w:tcPr>
          <w:p>
            <w:pPr>
              <w:spacing w:after="60" w:before="40"/>
            </w:pPr>
            <w:r>
              <w:rPr>
                <w:sz w:val="19"/>
              </w:rPr>
              <w:t>Live; possible canine exposure and prompt referral</w:t>
            </w:r>
          </w:p>
        </w:tc>
      </w:tr>
      <w:tr>
        <w:tc>
          <w:tcPr>
            <w:tcW w:type="dxa" w:w="3346"/>
          </w:tcPr>
          <w:p>
            <w:pPr>
              <w:spacing w:after="60" w:before="40"/>
            </w:pPr>
            <w:r>
              <w:rPr>
                <w:sz w:val="19"/>
              </w:rPr>
              <w:t>R41</w:t>
            </w:r>
          </w:p>
        </w:tc>
        <w:tc>
          <w:tcPr>
            <w:tcW w:type="dxa" w:w="3346"/>
          </w:tcPr>
          <w:p>
            <w:pPr>
              <w:spacing w:after="60" w:before="40"/>
            </w:pPr>
            <w:hyperlink r:id="rId46">
              <w:r>
                <w:rPr>
                  <w:color w:val="165D67"/>
                  <w:u w:val="single"/>
                </w:rPr>
                <w:t>Merck chocolate toxicology</w:t>
              </w:r>
            </w:hyperlink>
          </w:p>
        </w:tc>
        <w:tc>
          <w:tcPr>
            <w:tcW w:type="dxa" w:w="3346"/>
          </w:tcPr>
          <w:p>
            <w:pPr>
              <w:spacing w:after="60" w:before="40"/>
            </w:pPr>
            <w:r>
              <w:rPr>
                <w:sz w:val="19"/>
              </w:rPr>
              <w:t>Full reviewSeptember 2024; methylxanthine forms and individual variation</w:t>
            </w:r>
          </w:p>
        </w:tc>
      </w:tr>
      <w:tr>
        <w:tc>
          <w:tcPr>
            <w:tcW w:type="dxa" w:w="3346"/>
          </w:tcPr>
          <w:p>
            <w:pPr>
              <w:spacing w:after="60" w:before="40"/>
            </w:pPr>
            <w:r>
              <w:rPr>
                <w:sz w:val="19"/>
              </w:rPr>
              <w:t>R42</w:t>
            </w:r>
          </w:p>
        </w:tc>
        <w:tc>
          <w:tcPr>
            <w:tcW w:type="dxa" w:w="3346"/>
          </w:tcPr>
          <w:p>
            <w:pPr>
              <w:spacing w:after="60" w:before="40"/>
            </w:pPr>
            <w:hyperlink r:id="rId47">
              <w:r>
                <w:rPr>
                  <w:color w:val="165D67"/>
                  <w:u w:val="single"/>
                </w:rPr>
                <w:t>Cornell grape/raisin toxicity</w:t>
              </w:r>
            </w:hyperlink>
          </w:p>
        </w:tc>
        <w:tc>
          <w:tcPr>
            <w:tcW w:type="dxa" w:w="3346"/>
          </w:tcPr>
          <w:p>
            <w:pPr>
              <w:spacing w:after="60" w:before="40"/>
            </w:pPr>
            <w:r>
              <w:rPr>
                <w:sz w:val="19"/>
              </w:rPr>
              <w:t>Undated/live; unpredictable harmful exposure</w:t>
            </w:r>
          </w:p>
        </w:tc>
      </w:tr>
      <w:tr>
        <w:tc>
          <w:tcPr>
            <w:tcW w:type="dxa" w:w="3346"/>
          </w:tcPr>
          <w:p>
            <w:pPr>
              <w:spacing w:after="60" w:before="40"/>
            </w:pPr>
            <w:r>
              <w:rPr>
                <w:sz w:val="19"/>
              </w:rPr>
              <w:t>R43</w:t>
            </w:r>
          </w:p>
        </w:tc>
        <w:tc>
          <w:tcPr>
            <w:tcW w:type="dxa" w:w="3346"/>
          </w:tcPr>
          <w:p>
            <w:pPr>
              <w:spacing w:after="60" w:before="40"/>
            </w:pPr>
            <w:hyperlink r:id="rId48">
              <w:r>
                <w:rPr>
                  <w:color w:val="165D67"/>
                  <w:u w:val="single"/>
                </w:rPr>
                <w:t>Merck grape/raisin/tamarind toxicology</w:t>
              </w:r>
            </w:hyperlink>
          </w:p>
        </w:tc>
        <w:tc>
          <w:tcPr>
            <w:tcW w:type="dxa" w:w="3346"/>
          </w:tcPr>
          <w:p>
            <w:pPr>
              <w:spacing w:after="60" w:before="40"/>
            </w:pPr>
            <w:r>
              <w:rPr>
                <w:sz w:val="19"/>
              </w:rPr>
              <w:t>Full reviewSeptember 2024; current tartaric-acid context</w:t>
            </w:r>
          </w:p>
        </w:tc>
      </w:tr>
      <w:tr>
        <w:tc>
          <w:tcPr>
            <w:tcW w:type="dxa" w:w="3346"/>
          </w:tcPr>
          <w:p>
            <w:pPr>
              <w:spacing w:after="60" w:before="40"/>
            </w:pPr>
            <w:r>
              <w:rPr>
                <w:sz w:val="19"/>
              </w:rPr>
              <w:t>R44</w:t>
            </w:r>
          </w:p>
        </w:tc>
        <w:tc>
          <w:tcPr>
            <w:tcW w:type="dxa" w:w="3346"/>
          </w:tcPr>
          <w:p>
            <w:pPr>
              <w:spacing w:after="60" w:before="40"/>
            </w:pPr>
            <w:hyperlink r:id="rId50">
              <w:r>
                <w:rPr>
                  <w:color w:val="165D67"/>
                  <w:u w:val="single"/>
                </w:rPr>
                <w:t>Merck Allium toxicology</w:t>
              </w:r>
            </w:hyperlink>
          </w:p>
        </w:tc>
        <w:tc>
          <w:tcPr>
            <w:tcW w:type="dxa" w:w="3346"/>
          </w:tcPr>
          <w:p>
            <w:pPr>
              <w:spacing w:after="60" w:before="40"/>
            </w:pPr>
            <w:r>
              <w:rPr>
                <w:sz w:val="19"/>
              </w:rPr>
              <w:t>Review/updateSeptember 2024; raw/cooked/concentrated forms</w:t>
            </w:r>
          </w:p>
        </w:tc>
      </w:tr>
      <w:tr>
        <w:tc>
          <w:tcPr>
            <w:tcW w:type="dxa" w:w="3346"/>
          </w:tcPr>
          <w:p>
            <w:pPr>
              <w:spacing w:after="60" w:before="40"/>
            </w:pPr>
            <w:r>
              <w:rPr>
                <w:sz w:val="19"/>
              </w:rPr>
              <w:t>R45</w:t>
            </w:r>
          </w:p>
        </w:tc>
        <w:tc>
          <w:tcPr>
            <w:tcW w:type="dxa" w:w="3346"/>
          </w:tcPr>
          <w:p>
            <w:pPr>
              <w:spacing w:after="60" w:before="40"/>
            </w:pPr>
            <w:hyperlink r:id="rId51">
              <w:r>
                <w:rPr>
                  <w:color w:val="165D67"/>
                  <w:u w:val="single"/>
                </w:rPr>
                <w:t>Merck macadamia toxicology</w:t>
              </w:r>
            </w:hyperlink>
          </w:p>
        </w:tc>
        <w:tc>
          <w:tcPr>
            <w:tcW w:type="dxa" w:w="3346"/>
          </w:tcPr>
          <w:p>
            <w:pPr>
              <w:spacing w:after="60" w:before="40"/>
            </w:pPr>
            <w:r>
              <w:rPr>
                <w:sz w:val="19"/>
              </w:rPr>
              <w:t>Current reviewed page; exact displayed date not recorded; canine hazard</w:t>
            </w:r>
          </w:p>
        </w:tc>
      </w:tr>
      <w:tr>
        <w:tc>
          <w:tcPr>
            <w:tcW w:type="dxa" w:w="3346"/>
          </w:tcPr>
          <w:p>
            <w:pPr>
              <w:spacing w:after="60" w:before="40"/>
            </w:pPr>
            <w:r>
              <w:rPr>
                <w:sz w:val="19"/>
              </w:rPr>
              <w:t>R46</w:t>
            </w:r>
          </w:p>
        </w:tc>
        <w:tc>
          <w:tcPr>
            <w:tcW w:type="dxa" w:w="3346"/>
          </w:tcPr>
          <w:p>
            <w:pPr>
              <w:spacing w:after="60" w:before="40"/>
            </w:pPr>
            <w:hyperlink r:id="rId52">
              <w:r>
                <w:rPr>
                  <w:color w:val="165D67"/>
                  <w:u w:val="single"/>
                </w:rPr>
                <w:t>Cortinovis/Caloni household-food toxicology review</w:t>
              </w:r>
            </w:hyperlink>
          </w:p>
        </w:tc>
        <w:tc>
          <w:tcPr>
            <w:tcW w:type="dxa" w:w="3346"/>
          </w:tcPr>
          <w:p>
            <w:pPr>
              <w:spacing w:after="60" w:before="40"/>
            </w:pPr>
            <w:r>
              <w:rPr>
                <w:sz w:val="19"/>
              </w:rPr>
              <w:t>2016; canine food hazards; newer specific grape toxicology takes precedence</w:t>
            </w:r>
          </w:p>
        </w:tc>
      </w:tr>
      <w:tr>
        <w:tc>
          <w:tcPr>
            <w:tcW w:type="dxa" w:w="3346"/>
          </w:tcPr>
          <w:p>
            <w:pPr>
              <w:spacing w:after="60" w:before="40"/>
            </w:pPr>
            <w:r>
              <w:rPr>
                <w:sz w:val="19"/>
              </w:rPr>
              <w:t>R47</w:t>
            </w:r>
          </w:p>
        </w:tc>
        <w:tc>
          <w:tcPr>
            <w:tcW w:type="dxa" w:w="3346"/>
          </w:tcPr>
          <w:p>
            <w:pPr>
              <w:spacing w:after="60" w:before="40"/>
            </w:pPr>
            <w:hyperlink r:id="rId53">
              <w:r>
                <w:rPr>
                  <w:color w:val="165D67"/>
                  <w:u w:val="single"/>
                </w:rPr>
                <w:t>FDA holiday physical/food hazards</w:t>
              </w:r>
            </w:hyperlink>
          </w:p>
        </w:tc>
        <w:tc>
          <w:tcPr>
            <w:tcW w:type="dxa" w:w="3346"/>
          </w:tcPr>
          <w:p>
            <w:pPr>
              <w:spacing w:after="60" w:before="40"/>
            </w:pPr>
            <w:r>
              <w:rPr>
                <w:sz w:val="19"/>
              </w:rPr>
              <w:t>Live; bones and mixed-food hazards</w:t>
            </w:r>
          </w:p>
        </w:tc>
      </w:tr>
      <w:tr>
        <w:tc>
          <w:tcPr>
            <w:tcW w:type="dxa" w:w="3346"/>
          </w:tcPr>
          <w:p>
            <w:pPr>
              <w:spacing w:after="60" w:before="40"/>
            </w:pPr>
            <w:r>
              <w:rPr>
                <w:sz w:val="19"/>
              </w:rPr>
              <w:t>R48</w:t>
            </w:r>
          </w:p>
        </w:tc>
        <w:tc>
          <w:tcPr>
            <w:tcW w:type="dxa" w:w="3346"/>
          </w:tcPr>
          <w:p>
            <w:pPr>
              <w:spacing w:after="60" w:before="40"/>
            </w:pPr>
            <w:hyperlink r:id="rId30">
              <w:r>
                <w:rPr>
                  <w:color w:val="165D67"/>
                  <w:u w:val="single"/>
                </w:rPr>
                <w:t>FDA potentially dangerous items</w:t>
              </w:r>
            </w:hyperlink>
          </w:p>
        </w:tc>
        <w:tc>
          <w:tcPr>
            <w:tcW w:type="dxa" w:w="3346"/>
          </w:tcPr>
          <w:p>
            <w:pPr>
              <w:spacing w:after="60" w:before="40"/>
            </w:pPr>
            <w:r>
              <w:rPr>
                <w:sz w:val="19"/>
              </w:rPr>
              <w:t>Live; food/physical hazards; canine findings only</w:t>
            </w:r>
          </w:p>
        </w:tc>
      </w:tr>
      <w:tr>
        <w:tc>
          <w:tcPr>
            <w:tcW w:type="dxa" w:w="3346"/>
          </w:tcPr>
          <w:p>
            <w:pPr>
              <w:spacing w:after="60" w:before="40"/>
            </w:pPr>
            <w:r>
              <w:rPr>
                <w:sz w:val="19"/>
              </w:rPr>
              <w:t>R49</w:t>
            </w:r>
          </w:p>
        </w:tc>
        <w:tc>
          <w:tcPr>
            <w:tcW w:type="dxa" w:w="3346"/>
          </w:tcPr>
          <w:p>
            <w:pPr>
              <w:spacing w:after="60" w:before="40"/>
            </w:pPr>
            <w:hyperlink r:id="rId56">
              <w:r>
                <w:rPr>
                  <w:color w:val="165D67"/>
                  <w:u w:val="single"/>
                </w:rPr>
                <w:t>UC Davis hyperuricosuria</w:t>
              </w:r>
            </w:hyperlink>
          </w:p>
        </w:tc>
        <w:tc>
          <w:tcPr>
            <w:tcW w:type="dxa" w:w="3346"/>
          </w:tcPr>
          <w:p>
            <w:pPr>
              <w:spacing w:after="60" w:before="40"/>
            </w:pPr>
            <w:r>
              <w:rPr>
                <w:sz w:val="19"/>
              </w:rPr>
              <w:t>Undated/live; genotype-associated risk rather than blanket breed prescription</w:t>
            </w:r>
          </w:p>
        </w:tc>
      </w:tr>
      <w:tr>
        <w:tc>
          <w:tcPr>
            <w:tcW w:type="dxa" w:w="3346"/>
          </w:tcPr>
          <w:p>
            <w:pPr>
              <w:spacing w:after="60" w:before="40"/>
            </w:pPr>
            <w:r>
              <w:rPr>
                <w:sz w:val="19"/>
              </w:rPr>
              <w:t>R50</w:t>
            </w:r>
          </w:p>
        </w:tc>
        <w:tc>
          <w:tcPr>
            <w:tcW w:type="dxa" w:w="3346"/>
          </w:tcPr>
          <w:p>
            <w:pPr>
              <w:spacing w:after="60" w:before="40"/>
            </w:pPr>
            <w:hyperlink r:id="rId57">
              <w:r>
                <w:rPr>
                  <w:color w:val="165D67"/>
                  <w:u w:val="single"/>
                </w:rPr>
                <w:t>Merck chronic canine hepatitis</w:t>
              </w:r>
            </w:hyperlink>
          </w:p>
        </w:tc>
        <w:tc>
          <w:tcPr>
            <w:tcW w:type="dxa" w:w="3346"/>
          </w:tcPr>
          <w:p>
            <w:pPr>
              <w:spacing w:after="60" w:before="40"/>
            </w:pPr>
            <w:r>
              <w:rPr>
                <w:sz w:val="19"/>
              </w:rPr>
              <w:t>Current reviewed reference; individual copper/liver clinical context</w:t>
            </w:r>
          </w:p>
        </w:tc>
      </w:tr>
      <w:tr>
        <w:tc>
          <w:tcPr>
            <w:tcW w:type="dxa" w:w="3346"/>
          </w:tcPr>
          <w:p>
            <w:pPr>
              <w:spacing w:after="60" w:before="40"/>
            </w:pPr>
            <w:r>
              <w:rPr>
                <w:sz w:val="19"/>
              </w:rPr>
              <w:t>R51</w:t>
            </w:r>
          </w:p>
        </w:tc>
        <w:tc>
          <w:tcPr>
            <w:tcW w:type="dxa" w:w="3346"/>
          </w:tcPr>
          <w:p>
            <w:pPr>
              <w:spacing w:after="60" w:before="40"/>
            </w:pPr>
            <w:hyperlink r:id="rId62">
              <w:r>
                <w:rPr>
                  <w:color w:val="165D67"/>
                  <w:u w:val="single"/>
                </w:rPr>
                <w:t>UC Davis liver nutritional management</w:t>
              </w:r>
            </w:hyperlink>
          </w:p>
        </w:tc>
        <w:tc>
          <w:tcPr>
            <w:tcW w:type="dxa" w:w="3346"/>
          </w:tcPr>
          <w:p>
            <w:pPr>
              <w:spacing w:after="60" w:before="40"/>
            </w:pPr>
            <w:r>
              <w:rPr>
                <w:sz w:val="19"/>
              </w:rPr>
              <w:t>Undated/live; disease-specific assessment, not universal protein restriction</w:t>
            </w:r>
          </w:p>
        </w:tc>
      </w:tr>
      <w:tr>
        <w:tc>
          <w:tcPr>
            <w:tcW w:type="dxa" w:w="3346"/>
          </w:tcPr>
          <w:p>
            <w:pPr>
              <w:spacing w:after="60" w:before="40"/>
            </w:pPr>
            <w:r>
              <w:rPr>
                <w:sz w:val="19"/>
              </w:rPr>
              <w:t>R52</w:t>
            </w:r>
          </w:p>
        </w:tc>
        <w:tc>
          <w:tcPr>
            <w:tcW w:type="dxa" w:w="3346"/>
          </w:tcPr>
          <w:p>
            <w:pPr>
              <w:spacing w:after="60" w:before="40"/>
            </w:pPr>
            <w:hyperlink r:id="rId58">
              <w:r>
                <w:rPr>
                  <w:color w:val="165D67"/>
                  <w:u w:val="single"/>
                </w:rPr>
                <w:t>ACVS gastric dilatation-volvulus</w:t>
              </w:r>
            </w:hyperlink>
          </w:p>
        </w:tc>
        <w:tc>
          <w:tcPr>
            <w:tcW w:type="dxa" w:w="3346"/>
          </w:tcPr>
          <w:p>
            <w:pPr>
              <w:spacing w:after="60" w:before="40"/>
            </w:pPr>
            <w:r>
              <w:rPr>
                <w:sz w:val="19"/>
              </w:rPr>
              <w:t>Undated/live; risk and emergency assessment</w:t>
            </w:r>
          </w:p>
        </w:tc>
      </w:tr>
      <w:tr>
        <w:tc>
          <w:tcPr>
            <w:tcW w:type="dxa" w:w="3346"/>
          </w:tcPr>
          <w:p>
            <w:pPr>
              <w:spacing w:after="60" w:before="40"/>
            </w:pPr>
            <w:r>
              <w:rPr>
                <w:sz w:val="19"/>
              </w:rPr>
              <w:t>R53</w:t>
            </w:r>
          </w:p>
        </w:tc>
        <w:tc>
          <w:tcPr>
            <w:tcW w:type="dxa" w:w="3346"/>
          </w:tcPr>
          <w:p>
            <w:pPr>
              <w:spacing w:after="60" w:before="40"/>
            </w:pPr>
            <w:hyperlink r:id="rId59">
              <w:r>
                <w:rPr>
                  <w:color w:val="165D67"/>
                  <w:u w:val="single"/>
                </w:rPr>
                <w:t>FDA non-hereditary canine DCM questions</w:t>
              </w:r>
            </w:hyperlink>
          </w:p>
        </w:tc>
        <w:tc>
          <w:tcPr>
            <w:tcW w:type="dxa" w:w="3346"/>
          </w:tcPr>
          <w:p>
            <w:pPr>
              <w:spacing w:after="60" w:before="40"/>
            </w:pPr>
            <w:r>
              <w:rPr>
                <w:sz w:val="19"/>
              </w:rPr>
              <w:t>Current page; references December 2022 reporting; multifactorial uncertainty, no simple grain-free causal rule</w:t>
            </w:r>
          </w:p>
        </w:tc>
      </w:tr>
      <w:tr>
        <w:tc>
          <w:tcPr>
            <w:tcW w:type="dxa" w:w="3346"/>
          </w:tcPr>
          <w:p>
            <w:pPr>
              <w:spacing w:after="60" w:before="40"/>
            </w:pPr>
            <w:r>
              <w:rPr>
                <w:sz w:val="19"/>
              </w:rPr>
              <w:t>R54</w:t>
            </w:r>
          </w:p>
        </w:tc>
        <w:tc>
          <w:tcPr>
            <w:tcW w:type="dxa" w:w="3346"/>
          </w:tcPr>
          <w:p>
            <w:pPr>
              <w:spacing w:after="60" w:before="40"/>
            </w:pPr>
            <w:hyperlink r:id="rId40">
              <w:r>
                <w:rPr>
                  <w:color w:val="165D67"/>
                  <w:u w:val="single"/>
                </w:rPr>
                <w:t>AAFCO calorie calculation</w:t>
              </w:r>
            </w:hyperlink>
          </w:p>
        </w:tc>
        <w:tc>
          <w:tcPr>
            <w:tcW w:type="dxa" w:w="3346"/>
          </w:tcPr>
          <w:p>
            <w:pPr>
              <w:spacing w:after="60" w:before="40"/>
            </w:pPr>
            <w:r>
              <w:rPr>
                <w:sz w:val="19"/>
              </w:rPr>
              <w:t>Undated/live; modified Atwater formula, analytical input requirements and human-food energy distinction</w:t>
            </w:r>
          </w:p>
        </w:tc>
      </w:tr>
    </w:tbl>
    <w:p>
      <w:pPr>
        <w:spacing w:after="0"/>
      </w:pPr>
    </w:p>
    <w:p>
      <w:r>
        <w:t>Implementation policies, schema/API proposals, roadmap gates, synthetic test diets and mathematical derivations are original Vetify design recommendations. They are not claims that these organizations approved this application. Before coding, review the decision register in §21 and preserve this research snapshot as the design baseline.</w:t>
      </w:r>
    </w:p>
    <w:sectPr w:rsidR="00FC693F" w:rsidRPr="0006063C" w:rsidSect="00034616">
      <w:pgSz w:w="11909" w:h="16834"/>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Research/design proposal • veterinary validation required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VETIFY  |  DOG MEAL PLANNER  |  RESEARCH • 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4F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4F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4F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uropeanpetfood.org/self-regulation/nutritional-guidelines/" TargetMode="External"/><Relationship Id="rId12" Type="http://schemas.openxmlformats.org/officeDocument/2006/relationships/hyperlink" Target="https://www.aaha.org/resources/2021-aaha-nutrition-and-weight-management-guidelines/home/" TargetMode="External"/><Relationship Id="rId13" Type="http://schemas.openxmlformats.org/officeDocument/2006/relationships/hyperlink" Target="https://www.fda.gov/animal-veterinary/animal-health-literacy/complete-and-balanced-pet-food" TargetMode="External"/><Relationship Id="rId14" Type="http://schemas.openxmlformats.org/officeDocument/2006/relationships/hyperlink" Target="https://www.aaha.org/resources/2021-aaha-nutrition-and-weight-management-guidelines/weight-reduction-in-the-obese-pet/" TargetMode="External"/><Relationship Id="rId15" Type="http://schemas.openxmlformats.org/officeDocument/2006/relationships/hyperlink" Target="https://www.aaha.org/resources/2023-aaha-senior-care-guidelines-for-dogs-and-cats/nutrition/" TargetMode="External"/><Relationship Id="rId16" Type="http://schemas.openxmlformats.org/officeDocument/2006/relationships/hyperlink" Target="https://www.merckvetmanual.com/management-and-nutrition/nutrition-small-animals/nutritional-requirements-of-small-animals" TargetMode="External"/><Relationship Id="rId17" Type="http://schemas.openxmlformats.org/officeDocument/2006/relationships/hyperlink" Target="https://www.aaha.org/resources/2021-aaha-nutrition-and-weight-management-guidelines/prevention-of-obesity/" TargetMode="External"/><Relationship Id="rId18" Type="http://schemas.openxmlformats.org/officeDocument/2006/relationships/hyperlink" Target="https://europeanpetfood.org/wp-content/uploads/2025/09/FEDIAF-Nutritional-Guidelines_2025-ONLINE.pdf" TargetMode="External"/><Relationship Id="rId19" Type="http://schemas.openxmlformats.org/officeDocument/2006/relationships/hyperlink" Target="https://www.vet.cornell.edu/departments-centers-and-institutes/riney-canine-health-center/canine-health-topics/how-long-should-puppies-stay-their-mother" TargetMode="External"/><Relationship Id="rId20" Type="http://schemas.openxmlformats.org/officeDocument/2006/relationships/hyperlink" Target="https://www.aaha.org/resources/2021-aaha-nutrition-and-weight-management-guidelines/age-specific-and-breed-specific-diets/" TargetMode="External"/><Relationship Id="rId21" Type="http://schemas.openxmlformats.org/officeDocument/2006/relationships/hyperlink" Target="https://wsava.org/wp-content/uploads/2025/06/WSAVA_BCSCat_BCSDog_Nutrition_250612.pdf" TargetMode="External"/><Relationship Id="rId22" Type="http://schemas.openxmlformats.org/officeDocument/2006/relationships/hyperlink" Target="https://www.aaha.org/resources/2021-aaha-nutrition-and-weight-management-guidelines/feeding-plans-for-healthy-appropriate-weight-cats-and-dogs/" TargetMode="External"/><Relationship Id="rId23" Type="http://schemas.openxmlformats.org/officeDocument/2006/relationships/hyperlink" Target="https://www.aaha.org/resources/2014-aaha-weight-management-guidelines-for-dogs-and-cats/" TargetMode="External"/><Relationship Id="rId24" Type="http://schemas.openxmlformats.org/officeDocument/2006/relationships/hyperlink" Target="https://www.merckvetmanual.com/management-and-nutrition/nutrition-small-animals/feeding-practices-in-small-animals" TargetMode="External"/><Relationship Id="rId25" Type="http://schemas.openxmlformats.org/officeDocument/2006/relationships/hyperlink" Target="https://www.aaha.org/resources/2021-aaha-nutrition-and-weight-management-guidelines/use-of-therapeutic-diets-not-related-to-weight-loss/" TargetMode="External"/><Relationship Id="rId26" Type="http://schemas.openxmlformats.org/officeDocument/2006/relationships/hyperlink" Target="https://www.pagasa.dost.gov.ph/information/climate-philippines" TargetMode="External"/><Relationship Id="rId27" Type="http://schemas.openxmlformats.org/officeDocument/2006/relationships/hyperlink" Target="https://www.fsis.usda.gov/food-safety/safe-food-handling-and-preparation/food-safety-basics/leftovers-and-food-safety" TargetMode="External"/><Relationship Id="rId28" Type="http://schemas.openxmlformats.org/officeDocument/2006/relationships/hyperlink" Target="https://www.fda.gov/animal-veterinary/animal-health-literacy/tips-safe-handling-pet-food-and-treats" TargetMode="External"/><Relationship Id="rId29" Type="http://schemas.openxmlformats.org/officeDocument/2006/relationships/hyperlink" Target="https://i.fnri.dost.gov.ph/fct/library" TargetMode="External"/><Relationship Id="rId30" Type="http://schemas.openxmlformats.org/officeDocument/2006/relationships/hyperlink" Target="https://www.fda.gov/animal-veterinary/animal-health-literacy/potentially-dangerous-items-your-pet" TargetMode="External"/><Relationship Id="rId31" Type="http://schemas.openxmlformats.org/officeDocument/2006/relationships/hyperlink" Target="https://ccah.vetmed.ucdavis.edu/dogs/dog-health" TargetMode="External"/><Relationship Id="rId32" Type="http://schemas.openxmlformats.org/officeDocument/2006/relationships/hyperlink" Target="https://www.aaha.org/resources/2023-aaha-management-of-allergic-skin-diseases-in-dogs-and-cats-guidelines/" TargetMode="External"/><Relationship Id="rId33" Type="http://schemas.openxmlformats.org/officeDocument/2006/relationships/hyperlink" Target="https://www.aaha.org/wp-content/uploads/globalassets/02-guidelines/2023-aaha-management-of-allergic-skin-diseases-in-dogs-and-cats-guidelines/resources/2023-aaha-management-of-allergic-skin-diseases-guidelines.pdf" TargetMode="External"/><Relationship Id="rId34" Type="http://schemas.openxmlformats.org/officeDocument/2006/relationships/hyperlink" Target="https://www.vetmed.ucdavis.edu/node/16311" TargetMode="External"/><Relationship Id="rId35" Type="http://schemas.openxmlformats.org/officeDocument/2006/relationships/hyperlink" Target="https://wsava.org/wp-content/uploads/2020/01/WSAVA-Nutrition-Assessment-Guidelines-2011-JSAP.pdf" TargetMode="External"/><Relationship Id="rId36" Type="http://schemas.openxmlformats.org/officeDocument/2006/relationships/hyperlink" Target="https://www.aaha.org/resources/life-stage-canine-2019/canine-life-stage-definitions/" TargetMode="External"/><Relationship Id="rId37" Type="http://schemas.openxmlformats.org/officeDocument/2006/relationships/hyperlink" Target="https://www.aaha.org/resources/2023-aaha-senior-care-guidelines-for-dogs-and-cats/defining-the-senior-patient/" TargetMode="External"/><Relationship Id="rId38" Type="http://schemas.openxmlformats.org/officeDocument/2006/relationships/hyperlink" Target="https://www.aaha.org/resources/2026-aaha-diabetes-management-guidelines-for-dogs/section-6-dietary-management-in-diabetic-dogs/" TargetMode="External"/><Relationship Id="rId39" Type="http://schemas.openxmlformats.org/officeDocument/2006/relationships/hyperlink" Target="https://nap.nationalacademies.org/resource/10668/dog_nutrition_final_fix.pdf" TargetMode="External"/><Relationship Id="rId40" Type="http://schemas.openxmlformats.org/officeDocument/2006/relationships/hyperlink" Target="https://www.aafco.org/resources/startups/calorie-content/" TargetMode="External"/><Relationship Id="rId41" Type="http://schemas.openxmlformats.org/officeDocument/2006/relationships/hyperlink" Target="https://www.nationalacademies.org/publications/10668" TargetMode="External"/><Relationship Id="rId42" Type="http://schemas.openxmlformats.org/officeDocument/2006/relationships/hyperlink" Target="https://fdc.nal.usda.gov/data-documentation/" TargetMode="External"/><Relationship Id="rId43" Type="http://schemas.openxmlformats.org/officeDocument/2006/relationships/hyperlink" Target="https://wsava.org/wp-content/uploads/2021/04/Selecting-a-pet-food-for-your-pet-updated-2021_WSAVA-Global-Nutrition-Toolkit.pdf" TargetMode="External"/><Relationship Id="rId44" Type="http://schemas.openxmlformats.org/officeDocument/2006/relationships/hyperlink" Target="https://i.fnri.dost.gov.ph/login/fct" TargetMode="External"/><Relationship Id="rId45" Type="http://schemas.openxmlformats.org/officeDocument/2006/relationships/hyperlink" Target="https://www.ucdavis.edu/news/homemade-dog-food-recipes-can-be-risky-business-study-finds" TargetMode="External"/><Relationship Id="rId46" Type="http://schemas.openxmlformats.org/officeDocument/2006/relationships/hyperlink" Target="https://www.merckvetmanual.com/toxicology/food-hazards/chocolate-toxicosis-in-animals" TargetMode="External"/><Relationship Id="rId47" Type="http://schemas.openxmlformats.org/officeDocument/2006/relationships/hyperlink" Target="https://www.vet.cornell.edu/departments-centers-and-institutes/riney-canine-health-center/canine-health-information/grape-and-raisin-toxicity" TargetMode="External"/><Relationship Id="rId48" Type="http://schemas.openxmlformats.org/officeDocument/2006/relationships/hyperlink" Target="https://www.merckvetmanual.com/toxicology/food-hazards/grape-raisin-and-tamarind-vitis-spp-tamarindus-spp-toxicosis-in-dogs" TargetMode="External"/><Relationship Id="rId49" Type="http://schemas.openxmlformats.org/officeDocument/2006/relationships/hyperlink" Target="https://www.fda.gov/consumers/consumer-updates/paws-xylitol-its-dangerous-dogs" TargetMode="External"/><Relationship Id="rId50" Type="http://schemas.openxmlformats.org/officeDocument/2006/relationships/hyperlink" Target="https://www.merckvetmanual.com/toxicology/food-hazards/garlic-and-onion-allium-spp-toxicosis-in-animals" TargetMode="External"/><Relationship Id="rId51" Type="http://schemas.openxmlformats.org/officeDocument/2006/relationships/hyperlink" Target="https://www.merckvetmanual.com/toxicology/food-hazards/macadamia-nut-toxicosis-in-dogs" TargetMode="External"/><Relationship Id="rId52" Type="http://schemas.openxmlformats.org/officeDocument/2006/relationships/hyperlink" Target="https://pmc.ncbi.nlm.nih.gov/articles/PMC4801869/" TargetMode="External"/><Relationship Id="rId53" Type="http://schemas.openxmlformats.org/officeDocument/2006/relationships/hyperlink" Target="https://www.fda.gov/consumers/consumer-updates/keep-your-dogs-and-cats-safe-holiday-hazards" TargetMode="External"/><Relationship Id="rId54" Type="http://schemas.openxmlformats.org/officeDocument/2006/relationships/hyperlink" Target="https://www.foodsafety.gov/food-safety-charts/safe-minimum-internal-temperatures" TargetMode="External"/><Relationship Id="rId55" Type="http://schemas.openxmlformats.org/officeDocument/2006/relationships/hyperlink" Target="https://ask.fsis.usda.gov/article/What-is-the-2-Hour-Rule-with-leaving-food-out" TargetMode="External"/><Relationship Id="rId56" Type="http://schemas.openxmlformats.org/officeDocument/2006/relationships/hyperlink" Target="https://healthtopics.vetmed.ucdavis.edu/health-topics/canine/hyperuricosuria" TargetMode="External"/><Relationship Id="rId57" Type="http://schemas.openxmlformats.org/officeDocument/2006/relationships/hyperlink" Target="https://www.merckvetmanual.com/digestive-system/hepatic-diseases-of-small-animals/canine-chronic-hepatitis" TargetMode="External"/><Relationship Id="rId58" Type="http://schemas.openxmlformats.org/officeDocument/2006/relationships/hyperlink" Target="https://www.acvs.org/small-animal/gastric-dilatation-volvulus/" TargetMode="External"/><Relationship Id="rId59" Type="http://schemas.openxmlformats.org/officeDocument/2006/relationships/hyperlink" Target="https://www.fda.gov/animal-veterinary/animal-health-literacy/questions-answers-fdas-work-potential-causes-non-hereditary-dcm-dogs" TargetMode="External"/><Relationship Id="rId60" Type="http://schemas.openxmlformats.org/officeDocument/2006/relationships/hyperlink" Target="https://wsava.org/wp-content/uploads/2020/01/Muscle-Condition-Score-Chart-for-Dogs.pdf" TargetMode="External"/><Relationship Id="rId61" Type="http://schemas.openxmlformats.org/officeDocument/2006/relationships/hyperlink" Target="https://www.aaha.org/resources/2026-aaha-diabetes-management-guidelines-for-dogs/" TargetMode="External"/><Relationship Id="rId62" Type="http://schemas.openxmlformats.org/officeDocument/2006/relationships/hyperlink" Target="https://healthtopics.vetmed.ucdavis.edu/health-topics/canine/nutritional-management-liver-failure-and-hepatic-encephalopathy" TargetMode="External"/><Relationship Id="rId63" Type="http://schemas.openxmlformats.org/officeDocument/2006/relationships/hyperlink" Target="https://wsava.org/global-guidelines/global-nutrition-guidelines/" TargetMode="External"/><Relationship Id="rId64" Type="http://schemas.openxmlformats.org/officeDocument/2006/relationships/hyperlink" Target="https://www.aafco.org/" TargetMode="External"/><Relationship Id="rId65" Type="http://schemas.openxmlformats.org/officeDocument/2006/relationships/hyperlink" Target="https://www.aafco.org/wp-content/uploads/2023/01/Pet_Food_Report_Annual_2014-Appendix_A-Revised_AAFCO_Nutrient_Profiles-Final_092214.pdf" TargetMode="External"/><Relationship Id="rId66" Type="http://schemas.openxmlformats.org/officeDocument/2006/relationships/hyperlink" Target="https://www.aafco.org/wp-content/uploads/2026/02/Monthly-26-02-February.html" TargetMode="External"/><Relationship Id="rId67" Type="http://schemas.openxmlformats.org/officeDocument/2006/relationships/hyperlink" Target="https://pubmed.ncbi.nlm.nih.gov/23683013/" TargetMode="External"/><Relationship Id="rId68" Type="http://schemas.openxmlformats.org/officeDocument/2006/relationships/hyperlink" Target="https://onlinelibrary.wiley.com/doi/full/10.1111/jpn.13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Vetify Dog Meal Planner: Research and Technical Implementation Blueprint</dc:title>
  <dc:subject>Dogs-only nutrition research, calculations and implementation design</dc:subject>
  <dc:creator>Vetify research documentation</dc:creator>
  <cp:keywords>dog nutrition; FEDIAF; AAHA; portion planning; technical blueprint</cp:keywords>
  <dc:description>generated by python-docx</dc:description>
  <cp:lastModifiedBy/>
  <cp:revision>1</cp:revision>
  <dcterms:created xsi:type="dcterms:W3CDTF">2013-12-23T23:15:00Z</dcterms:created>
  <dcterms:modified xsi:type="dcterms:W3CDTF">2013-12-23T23:15:00Z</dcterms:modified>
  <cp:category/>
</cp:coreProperties>
</file>