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AB2" w:rsidRPr="006D5AB2" w:rsidRDefault="006D5AB2" w:rsidP="006D5AB2">
      <w:pPr>
        <w:shd w:val="clear" w:color="auto" w:fill="FFFFFF"/>
        <w:spacing w:before="75" w:after="180" w:line="240" w:lineRule="auto"/>
        <w:outlineLvl w:val="2"/>
        <w:rPr>
          <w:rFonts w:ascii="Verdana" w:eastAsia="Times New Roman" w:hAnsi="Verdana" w:cs="Times New Roman"/>
          <w:color w:val="000000"/>
          <w:sz w:val="29"/>
          <w:szCs w:val="29"/>
        </w:rPr>
      </w:pPr>
      <w:r w:rsidRPr="006D5AB2">
        <w:rPr>
          <w:rFonts w:ascii="Verdana" w:eastAsia="Times New Roman" w:hAnsi="Verdana" w:cs="Times New Roman"/>
          <w:color w:val="000000"/>
          <w:sz w:val="29"/>
          <w:szCs w:val="29"/>
        </w:rPr>
        <w:t>System Administrator Responsibilities</w:t>
      </w:r>
    </w:p>
    <w:p w:rsidR="006D5AB2" w:rsidRPr="006D5AB2" w:rsidRDefault="006D5AB2" w:rsidP="006D5AB2">
      <w:pPr>
        <w:shd w:val="clear" w:color="auto" w:fill="FFFFFF"/>
        <w:spacing w:after="180" w:line="336" w:lineRule="atLeast"/>
        <w:rPr>
          <w:rFonts w:ascii="Verdana" w:eastAsia="Times New Roman" w:hAnsi="Verdana" w:cs="Times New Roman"/>
          <w:color w:val="000000"/>
          <w:sz w:val="20"/>
          <w:szCs w:val="20"/>
        </w:rPr>
      </w:pPr>
      <w:bookmarkStart w:id="0" w:name="A_system"/>
      <w:bookmarkEnd w:id="0"/>
      <w:r w:rsidRPr="006D5AB2">
        <w:rPr>
          <w:rFonts w:ascii="Verdana" w:eastAsia="Times New Roman" w:hAnsi="Verdana" w:cs="Times New Roman"/>
          <w:color w:val="000000"/>
          <w:sz w:val="20"/>
          <w:szCs w:val="20"/>
        </w:rPr>
        <w:t>A system administrator is responsible for the integrity and availability of the data in a database. This is a simple concept, but it is a huge responsibility. Some large corporations place a valuation on their data as high as $1 million per 100MB. The investment in dollars is not the only issue; many companies that lose mission-critical data simply never recover.</w:t>
      </w:r>
    </w:p>
    <w:p w:rsidR="006D5AB2" w:rsidRPr="006D5AB2" w:rsidRDefault="006D5AB2" w:rsidP="006D5AB2">
      <w:pPr>
        <w:shd w:val="clear" w:color="auto" w:fill="FFFFFF"/>
        <w:spacing w:after="180" w:line="336" w:lineRule="atLeast"/>
        <w:rPr>
          <w:rFonts w:ascii="Verdana" w:eastAsia="Times New Roman" w:hAnsi="Verdana" w:cs="Times New Roman"/>
          <w:color w:val="000000"/>
          <w:sz w:val="20"/>
          <w:szCs w:val="20"/>
        </w:rPr>
      </w:pPr>
      <w:bookmarkStart w:id="1" w:name="vary_widely"/>
      <w:bookmarkEnd w:id="1"/>
      <w:r w:rsidRPr="006D5AB2">
        <w:rPr>
          <w:rFonts w:ascii="Verdana" w:eastAsia="Times New Roman" w:hAnsi="Verdana" w:cs="Times New Roman"/>
          <w:color w:val="000000"/>
          <w:sz w:val="20"/>
          <w:szCs w:val="20"/>
        </w:rPr>
        <w:t>Job descriptions for system administrators vary widely. In small shops, the administrator might lay out the physical design, install SQL Server, implement the logical design, tune the installation, and then manage ongoing tasks, such as backups. At larger sites, tasks might be broken out into separate job functions. Managing users and backing up data are common examples. However, a lead administrator should still be in place to define policy and coordinate efforts.</w:t>
      </w:r>
    </w:p>
    <w:p w:rsidR="006D5AB2" w:rsidRPr="006D5AB2" w:rsidRDefault="006D5AB2" w:rsidP="006D5AB2">
      <w:pPr>
        <w:shd w:val="clear" w:color="auto" w:fill="FFFFFF"/>
        <w:spacing w:after="180" w:line="336" w:lineRule="atLeast"/>
        <w:rPr>
          <w:rFonts w:ascii="Verdana" w:eastAsia="Times New Roman" w:hAnsi="Verdana" w:cs="Times New Roman"/>
          <w:color w:val="000000"/>
          <w:sz w:val="20"/>
          <w:szCs w:val="20"/>
        </w:rPr>
      </w:pPr>
      <w:bookmarkStart w:id="2" w:name="as_a"/>
      <w:bookmarkEnd w:id="2"/>
      <w:r w:rsidRPr="006D5AB2">
        <w:rPr>
          <w:rFonts w:ascii="Verdana" w:eastAsia="Times New Roman" w:hAnsi="Verdana" w:cs="Times New Roman"/>
          <w:color w:val="000000"/>
          <w:sz w:val="20"/>
          <w:szCs w:val="20"/>
        </w:rPr>
        <w:t>Whether performed by an individual or as a team, the core administration tasks are as follows:</w:t>
      </w:r>
    </w:p>
    <w:p w:rsidR="006D5AB2" w:rsidRPr="006D5AB2" w:rsidRDefault="006D5AB2" w:rsidP="006D5AB2">
      <w:pPr>
        <w:numPr>
          <w:ilvl w:val="0"/>
          <w:numId w:val="1"/>
        </w:numPr>
        <w:shd w:val="clear" w:color="auto" w:fill="FFFFFF"/>
        <w:spacing w:after="180" w:line="336" w:lineRule="atLeast"/>
        <w:rPr>
          <w:rFonts w:ascii="Verdana" w:eastAsia="Times New Roman" w:hAnsi="Verdana" w:cs="Times New Roman"/>
          <w:color w:val="000000"/>
          <w:sz w:val="20"/>
          <w:szCs w:val="20"/>
        </w:rPr>
      </w:pPr>
      <w:bookmarkStart w:id="3" w:name="SQL_Server"/>
      <w:bookmarkEnd w:id="3"/>
      <w:r w:rsidRPr="006D5AB2">
        <w:rPr>
          <w:rFonts w:ascii="Verdana" w:eastAsia="Times New Roman" w:hAnsi="Verdana" w:cs="Times New Roman"/>
          <w:color w:val="000000"/>
          <w:sz w:val="20"/>
          <w:szCs w:val="20"/>
        </w:rPr>
        <w:t>Install and configure SQL Server.</w:t>
      </w:r>
    </w:p>
    <w:p w:rsidR="006D5AB2" w:rsidRPr="006D5AB2" w:rsidRDefault="006D5AB2" w:rsidP="006D5AB2">
      <w:pPr>
        <w:numPr>
          <w:ilvl w:val="0"/>
          <w:numId w:val="1"/>
        </w:numPr>
        <w:shd w:val="clear" w:color="auto" w:fill="FFFFFF"/>
        <w:spacing w:after="180" w:line="336" w:lineRule="atLeast"/>
        <w:rPr>
          <w:rFonts w:ascii="Verdana" w:eastAsia="Times New Roman" w:hAnsi="Verdana" w:cs="Times New Roman"/>
          <w:color w:val="000000"/>
          <w:sz w:val="20"/>
          <w:szCs w:val="20"/>
        </w:rPr>
      </w:pPr>
      <w:r w:rsidRPr="006D5AB2">
        <w:rPr>
          <w:rFonts w:ascii="Verdana" w:eastAsia="Times New Roman" w:hAnsi="Verdana" w:cs="Times New Roman"/>
          <w:color w:val="000000"/>
          <w:sz w:val="20"/>
          <w:szCs w:val="20"/>
        </w:rPr>
        <w:t>Plan and create databases.</w:t>
      </w:r>
    </w:p>
    <w:p w:rsidR="006D5AB2" w:rsidRPr="006D5AB2" w:rsidRDefault="006D5AB2" w:rsidP="006D5AB2">
      <w:pPr>
        <w:numPr>
          <w:ilvl w:val="0"/>
          <w:numId w:val="1"/>
        </w:numPr>
        <w:shd w:val="clear" w:color="auto" w:fill="FFFFFF"/>
        <w:spacing w:after="180" w:line="336" w:lineRule="atLeast"/>
        <w:rPr>
          <w:rFonts w:ascii="Verdana" w:eastAsia="Times New Roman" w:hAnsi="Verdana" w:cs="Times New Roman"/>
          <w:color w:val="000000"/>
          <w:sz w:val="20"/>
          <w:szCs w:val="20"/>
        </w:rPr>
      </w:pPr>
      <w:r w:rsidRPr="006D5AB2">
        <w:rPr>
          <w:rFonts w:ascii="Verdana" w:eastAsia="Times New Roman" w:hAnsi="Verdana" w:cs="Times New Roman"/>
          <w:color w:val="000000"/>
          <w:sz w:val="20"/>
          <w:szCs w:val="20"/>
        </w:rPr>
        <w:t>Manage data storage.</w:t>
      </w:r>
    </w:p>
    <w:p w:rsidR="006D5AB2" w:rsidRPr="006D5AB2" w:rsidRDefault="006D5AB2" w:rsidP="006D5AB2">
      <w:pPr>
        <w:numPr>
          <w:ilvl w:val="0"/>
          <w:numId w:val="1"/>
        </w:numPr>
        <w:shd w:val="clear" w:color="auto" w:fill="FFFFFF"/>
        <w:spacing w:after="180" w:line="336" w:lineRule="atLeast"/>
        <w:rPr>
          <w:rFonts w:ascii="Verdana" w:eastAsia="Times New Roman" w:hAnsi="Verdana" w:cs="Times New Roman"/>
          <w:color w:val="000000"/>
          <w:sz w:val="20"/>
          <w:szCs w:val="20"/>
        </w:rPr>
      </w:pPr>
      <w:r w:rsidRPr="006D5AB2">
        <w:rPr>
          <w:rFonts w:ascii="Verdana" w:eastAsia="Times New Roman" w:hAnsi="Verdana" w:cs="Times New Roman"/>
          <w:color w:val="000000"/>
          <w:sz w:val="20"/>
          <w:szCs w:val="20"/>
        </w:rPr>
        <w:t>Control security.</w:t>
      </w:r>
    </w:p>
    <w:p w:rsidR="006D5AB2" w:rsidRPr="006D5AB2" w:rsidRDefault="006D5AB2" w:rsidP="006D5AB2">
      <w:pPr>
        <w:numPr>
          <w:ilvl w:val="0"/>
          <w:numId w:val="1"/>
        </w:numPr>
        <w:shd w:val="clear" w:color="auto" w:fill="FFFFFF"/>
        <w:spacing w:after="180" w:line="336" w:lineRule="atLeast"/>
        <w:rPr>
          <w:rFonts w:ascii="Verdana" w:eastAsia="Times New Roman" w:hAnsi="Verdana" w:cs="Times New Roman"/>
          <w:color w:val="000000"/>
          <w:sz w:val="20"/>
          <w:szCs w:val="20"/>
        </w:rPr>
      </w:pPr>
      <w:r w:rsidRPr="006D5AB2">
        <w:rPr>
          <w:rFonts w:ascii="Verdana" w:eastAsia="Times New Roman" w:hAnsi="Verdana" w:cs="Times New Roman"/>
          <w:color w:val="000000"/>
          <w:sz w:val="20"/>
          <w:szCs w:val="20"/>
        </w:rPr>
        <w:t>Tune the database.</w:t>
      </w:r>
    </w:p>
    <w:p w:rsidR="006D5AB2" w:rsidRPr="006D5AB2" w:rsidRDefault="006D5AB2" w:rsidP="006D5AB2">
      <w:pPr>
        <w:numPr>
          <w:ilvl w:val="0"/>
          <w:numId w:val="1"/>
        </w:numPr>
        <w:shd w:val="clear" w:color="auto" w:fill="FFFFFF"/>
        <w:spacing w:after="180" w:line="336" w:lineRule="atLeast"/>
        <w:rPr>
          <w:rFonts w:ascii="Verdana" w:eastAsia="Times New Roman" w:hAnsi="Verdana" w:cs="Times New Roman"/>
          <w:color w:val="000000"/>
          <w:sz w:val="20"/>
          <w:szCs w:val="20"/>
        </w:rPr>
      </w:pPr>
      <w:r w:rsidRPr="006D5AB2">
        <w:rPr>
          <w:rFonts w:ascii="Verdana" w:eastAsia="Times New Roman" w:hAnsi="Verdana" w:cs="Times New Roman"/>
          <w:color w:val="000000"/>
          <w:sz w:val="20"/>
          <w:szCs w:val="20"/>
        </w:rPr>
        <w:t>Perform backup and recovery.</w:t>
      </w:r>
    </w:p>
    <w:p w:rsidR="006D5AB2" w:rsidRPr="006D5AB2" w:rsidRDefault="006D5AB2" w:rsidP="006D5AB2">
      <w:pPr>
        <w:shd w:val="clear" w:color="auto" w:fill="FFFFFF"/>
        <w:spacing w:after="180" w:line="336" w:lineRule="atLeast"/>
        <w:rPr>
          <w:rFonts w:ascii="Verdana" w:eastAsia="Times New Roman" w:hAnsi="Verdana" w:cs="Times New Roman"/>
          <w:color w:val="000000"/>
          <w:sz w:val="20"/>
          <w:szCs w:val="20"/>
        </w:rPr>
      </w:pPr>
      <w:bookmarkStart w:id="4" w:name="Because_stored"/>
      <w:bookmarkEnd w:id="4"/>
      <w:r w:rsidRPr="006D5AB2">
        <w:rPr>
          <w:rFonts w:ascii="Verdana" w:eastAsia="Times New Roman" w:hAnsi="Verdana" w:cs="Times New Roman"/>
          <w:color w:val="000000"/>
          <w:sz w:val="20"/>
          <w:szCs w:val="20"/>
        </w:rPr>
        <w:t>Another task sometimes handled by administrators is managing stored procedures. Because stored procedures for user applications often contain complex Transact-SQL (T-SQL) code, they tend to fall into the realm of the application developer. However, because stored procedures are stored as objects in the database, they are also the responsibility of the administrator. If an application calls custom stored procedures, the system administrator must be aware of this and coordinate with the application developers.</w:t>
      </w:r>
    </w:p>
    <w:p w:rsidR="006D5AB2" w:rsidRPr="006D5AB2" w:rsidRDefault="006D5AB2" w:rsidP="006D5AB2">
      <w:pPr>
        <w:shd w:val="clear" w:color="auto" w:fill="FFFFFF"/>
        <w:spacing w:after="180" w:line="336" w:lineRule="atLeast"/>
        <w:rPr>
          <w:rFonts w:ascii="Verdana" w:eastAsia="Times New Roman" w:hAnsi="Verdana" w:cs="Times New Roman"/>
          <w:color w:val="000000"/>
          <w:sz w:val="20"/>
          <w:szCs w:val="20"/>
        </w:rPr>
      </w:pPr>
      <w:bookmarkStart w:id="5" w:name="can_be"/>
      <w:bookmarkEnd w:id="5"/>
      <w:r w:rsidRPr="006D5AB2">
        <w:rPr>
          <w:rFonts w:ascii="Verdana" w:eastAsia="Times New Roman" w:hAnsi="Verdana" w:cs="Times New Roman"/>
          <w:color w:val="000000"/>
          <w:sz w:val="20"/>
          <w:szCs w:val="20"/>
        </w:rPr>
        <w:t>The system administration job can be stressful, frustrating, and demanding, but it is a highly rewarding, interesting, and respected position. As a system administrator, you are expected to know all, see all, and predict all, but you should be well compensated for your efforts.</w:t>
      </w:r>
    </w:p>
    <w:p w:rsidR="00AC4E14" w:rsidRDefault="00AC4E14" w:rsidP="00AC4E14">
      <w:pPr>
        <w:pStyle w:val="Heading3"/>
        <w:shd w:val="clear" w:color="auto" w:fill="FFFFFF"/>
        <w:spacing w:before="75" w:beforeAutospacing="0" w:after="180" w:afterAutospacing="0"/>
        <w:rPr>
          <w:rFonts w:ascii="Verdana" w:hAnsi="Verdana"/>
          <w:b w:val="0"/>
          <w:bCs w:val="0"/>
          <w:color w:val="000000"/>
          <w:sz w:val="29"/>
          <w:szCs w:val="29"/>
        </w:rPr>
      </w:pPr>
      <w:r>
        <w:rPr>
          <w:rFonts w:ascii="Verdana" w:hAnsi="Verdana"/>
          <w:b w:val="0"/>
          <w:bCs w:val="0"/>
          <w:color w:val="000000"/>
          <w:sz w:val="29"/>
          <w:szCs w:val="29"/>
        </w:rPr>
        <w:t>System Databases</w:t>
      </w:r>
    </w:p>
    <w:p w:rsidR="00AC4E14" w:rsidRDefault="00AC4E14" w:rsidP="00AC4E14">
      <w:pPr>
        <w:pStyle w:val="doctext"/>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lastRenderedPageBreak/>
        <w:t>SQL Server uses system databases to support different parts of the database management system (DBMS). Each database plays a specific role and stores information that SQL Server needs to do its job. The system databases are much like the user databases created in SQL Server. They store data in tables and contain the views, stored procedures, and other</w:t>
      </w:r>
      <w:r>
        <w:rPr>
          <w:rStyle w:val="apple-converted-space"/>
          <w:rFonts w:ascii="Verdana" w:hAnsi="Verdana"/>
          <w:color w:val="000000"/>
          <w:sz w:val="20"/>
          <w:szCs w:val="20"/>
        </w:rPr>
        <w:t> </w:t>
      </w:r>
      <w:bookmarkStart w:id="6" w:name="iddle2431"/>
      <w:bookmarkStart w:id="7" w:name="iddle2435"/>
      <w:bookmarkStart w:id="8" w:name="iddle4250"/>
      <w:bookmarkStart w:id="9" w:name="iddle6962"/>
      <w:bookmarkStart w:id="10" w:name="iddle6967"/>
      <w:bookmarkStart w:id="11" w:name="see_in"/>
      <w:bookmarkEnd w:id="6"/>
      <w:bookmarkEnd w:id="7"/>
      <w:bookmarkEnd w:id="8"/>
      <w:bookmarkEnd w:id="9"/>
      <w:bookmarkEnd w:id="10"/>
      <w:bookmarkEnd w:id="11"/>
      <w:r>
        <w:rPr>
          <w:rFonts w:ascii="Verdana" w:hAnsi="Verdana"/>
          <w:color w:val="000000"/>
          <w:sz w:val="20"/>
          <w:szCs w:val="20"/>
        </w:rPr>
        <w:t>database objects that you also see in user databases. They also have associated database files (that is,</w:t>
      </w:r>
      <w:r>
        <w:rPr>
          <w:rStyle w:val="apple-converted-space"/>
          <w:rFonts w:ascii="Verdana" w:hAnsi="Verdana"/>
          <w:color w:val="000000"/>
          <w:sz w:val="20"/>
          <w:szCs w:val="20"/>
        </w:rPr>
        <w:t> </w:t>
      </w:r>
      <w:r>
        <w:rPr>
          <w:rStyle w:val="HTMLTypewriter"/>
          <w:rFonts w:eastAsiaTheme="majorEastAsia"/>
          <w:color w:val="008000"/>
        </w:rPr>
        <w:t>.</w:t>
      </w:r>
      <w:proofErr w:type="spellStart"/>
      <w:r>
        <w:rPr>
          <w:rStyle w:val="HTMLTypewriter"/>
          <w:rFonts w:eastAsiaTheme="majorEastAsia"/>
          <w:color w:val="008000"/>
        </w:rPr>
        <w:t>mdf</w:t>
      </w:r>
      <w:proofErr w:type="spellEnd"/>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Style w:val="HTMLTypewriter"/>
          <w:rFonts w:eastAsiaTheme="majorEastAsia"/>
          <w:color w:val="008000"/>
        </w:rPr>
        <w:t>.</w:t>
      </w:r>
      <w:proofErr w:type="spellStart"/>
      <w:r>
        <w:rPr>
          <w:rStyle w:val="HTMLTypewriter"/>
          <w:rFonts w:eastAsiaTheme="majorEastAsia"/>
          <w:color w:val="008000"/>
        </w:rPr>
        <w:t>ldf</w:t>
      </w:r>
      <w:proofErr w:type="spellEnd"/>
      <w:r>
        <w:rPr>
          <w:rStyle w:val="apple-converted-space"/>
          <w:rFonts w:ascii="Verdana" w:hAnsi="Verdana"/>
          <w:color w:val="000000"/>
          <w:sz w:val="20"/>
          <w:szCs w:val="20"/>
        </w:rPr>
        <w:t> </w:t>
      </w:r>
      <w:r>
        <w:rPr>
          <w:rFonts w:ascii="Verdana" w:hAnsi="Verdana"/>
          <w:color w:val="000000"/>
          <w:sz w:val="20"/>
          <w:szCs w:val="20"/>
        </w:rPr>
        <w:t>files) that are physically located on the SQL Server machine.</w:t>
      </w:r>
      <w:r>
        <w:rPr>
          <w:rStyle w:val="apple-converted-space"/>
          <w:rFonts w:ascii="Verdana" w:hAnsi="Verdana"/>
          <w:color w:val="000000"/>
          <w:sz w:val="20"/>
          <w:szCs w:val="20"/>
        </w:rPr>
        <w:t> </w:t>
      </w:r>
      <w:hyperlink r:id="rId5" w:history="1">
        <w:r>
          <w:rPr>
            <w:rStyle w:val="Hyperlink"/>
            <w:rFonts w:ascii="Verdana" w:hAnsi="Verdana"/>
            <w:b/>
            <w:bCs/>
            <w:color w:val="003399"/>
            <w:sz w:val="20"/>
            <w:szCs w:val="20"/>
          </w:rPr>
          <w:t>Table 7.1</w:t>
        </w:r>
      </w:hyperlink>
      <w:bookmarkStart w:id="12" w:name="and_their"/>
      <w:bookmarkEnd w:id="12"/>
      <w:r>
        <w:rPr>
          <w:rStyle w:val="apple-converted-space"/>
          <w:rFonts w:ascii="Verdana" w:hAnsi="Verdana"/>
          <w:color w:val="000000"/>
          <w:sz w:val="20"/>
          <w:szCs w:val="20"/>
        </w:rPr>
        <w:t> </w:t>
      </w:r>
      <w:r>
        <w:rPr>
          <w:rFonts w:ascii="Verdana" w:hAnsi="Verdana"/>
          <w:color w:val="000000"/>
          <w:sz w:val="20"/>
          <w:szCs w:val="20"/>
        </w:rPr>
        <w:t>lists system databases and their related database filenames.</w:t>
      </w:r>
    </w:p>
    <w:tbl>
      <w:tblPr>
        <w:tblW w:w="0" w:type="auto"/>
        <w:tblCellSpacing w:w="0" w:type="dxa"/>
        <w:shd w:val="clear" w:color="auto" w:fill="FFFFFF"/>
        <w:tblCellMar>
          <w:top w:w="75" w:type="dxa"/>
          <w:left w:w="75" w:type="dxa"/>
          <w:bottom w:w="75" w:type="dxa"/>
          <w:right w:w="75" w:type="dxa"/>
        </w:tblCellMar>
        <w:tblLook w:val="04A0"/>
      </w:tblPr>
      <w:tblGrid>
        <w:gridCol w:w="1566"/>
        <w:gridCol w:w="2914"/>
        <w:gridCol w:w="2914"/>
      </w:tblGrid>
      <w:tr w:rsidR="00AC4E14" w:rsidTr="00AC4E14">
        <w:trPr>
          <w:tblHeader/>
          <w:tblCellSpacing w:w="0" w:type="dxa"/>
        </w:trPr>
        <w:tc>
          <w:tcPr>
            <w:tcW w:w="0" w:type="auto"/>
            <w:gridSpan w:val="3"/>
            <w:tcBorders>
              <w:top w:val="nil"/>
              <w:left w:val="nil"/>
              <w:bottom w:val="nil"/>
              <w:right w:val="nil"/>
            </w:tcBorders>
            <w:shd w:val="clear" w:color="auto" w:fill="FFFFFF"/>
            <w:tcMar>
              <w:top w:w="75" w:type="dxa"/>
              <w:left w:w="45" w:type="dxa"/>
              <w:bottom w:w="75" w:type="dxa"/>
              <w:right w:w="45" w:type="dxa"/>
            </w:tcMar>
            <w:vAlign w:val="center"/>
            <w:hideMark/>
          </w:tcPr>
          <w:p w:rsidR="00AC4E14" w:rsidRDefault="00AC4E14">
            <w:pPr>
              <w:pStyle w:val="Heading5"/>
              <w:jc w:val="center"/>
              <w:rPr>
                <w:rFonts w:ascii="Verdana" w:hAnsi="Verdana"/>
                <w:color w:val="000000"/>
              </w:rPr>
            </w:pPr>
            <w:bookmarkStart w:id="13" w:name="ch07tab01"/>
            <w:bookmarkEnd w:id="13"/>
            <w:proofErr w:type="gramStart"/>
            <w:r>
              <w:rPr>
                <w:rFonts w:ascii="Verdana" w:hAnsi="Verdana"/>
                <w:color w:val="000000"/>
              </w:rPr>
              <w:t>Table 7.1.</w:t>
            </w:r>
            <w:proofErr w:type="gramEnd"/>
            <w:r>
              <w:rPr>
                <w:rFonts w:ascii="Verdana" w:hAnsi="Verdana"/>
                <w:color w:val="000000"/>
              </w:rPr>
              <w:t xml:space="preserve"> System Databases and Their Associated Database Files</w:t>
            </w:r>
          </w:p>
        </w:tc>
      </w:tr>
      <w:tr w:rsidR="00AC4E14" w:rsidTr="00AC4E14">
        <w:trPr>
          <w:tblHeader/>
          <w:tblCellSpacing w:w="0" w:type="dxa"/>
        </w:trPr>
        <w:tc>
          <w:tcPr>
            <w:tcW w:w="0" w:type="auto"/>
            <w:tcBorders>
              <w:bottom w:val="single" w:sz="6" w:space="0" w:color="000000"/>
            </w:tcBorders>
            <w:shd w:val="clear" w:color="auto" w:fill="FFFFFF"/>
            <w:tcMar>
              <w:top w:w="75" w:type="dxa"/>
              <w:left w:w="45" w:type="dxa"/>
              <w:bottom w:w="75" w:type="dxa"/>
              <w:right w:w="45" w:type="dxa"/>
            </w:tcMar>
            <w:hideMark/>
          </w:tcPr>
          <w:p w:rsidR="00AC4E14" w:rsidRDefault="00AC4E14">
            <w:pPr>
              <w:rPr>
                <w:rFonts w:ascii="Verdana" w:hAnsi="Verdana"/>
                <w:b/>
                <w:bCs/>
                <w:color w:val="000000"/>
                <w:sz w:val="20"/>
                <w:szCs w:val="20"/>
              </w:rPr>
            </w:pPr>
            <w:r>
              <w:rPr>
                <w:rFonts w:ascii="Verdana" w:hAnsi="Verdana"/>
                <w:b/>
                <w:bCs/>
                <w:color w:val="000000"/>
                <w:sz w:val="20"/>
                <w:szCs w:val="20"/>
              </w:rPr>
              <w:t>Database</w:t>
            </w:r>
          </w:p>
        </w:tc>
        <w:tc>
          <w:tcPr>
            <w:tcW w:w="0" w:type="auto"/>
            <w:tcBorders>
              <w:bottom w:val="single" w:sz="6" w:space="0" w:color="000000"/>
            </w:tcBorders>
            <w:shd w:val="clear" w:color="auto" w:fill="FFFFFF"/>
            <w:tcMar>
              <w:top w:w="75" w:type="dxa"/>
              <w:left w:w="45" w:type="dxa"/>
              <w:bottom w:w="75" w:type="dxa"/>
              <w:right w:w="45" w:type="dxa"/>
            </w:tcMar>
            <w:hideMark/>
          </w:tcPr>
          <w:p w:rsidR="00AC4E14" w:rsidRDefault="00AC4E14">
            <w:pPr>
              <w:rPr>
                <w:rFonts w:ascii="Verdana" w:hAnsi="Verdana"/>
                <w:b/>
                <w:bCs/>
                <w:color w:val="000000"/>
                <w:sz w:val="20"/>
                <w:szCs w:val="20"/>
              </w:rPr>
            </w:pPr>
            <w:r>
              <w:rPr>
                <w:rStyle w:val="HTMLTypewriter"/>
                <w:rFonts w:eastAsiaTheme="majorEastAsia"/>
                <w:b/>
                <w:bCs/>
                <w:color w:val="008000"/>
              </w:rPr>
              <w:t>.</w:t>
            </w:r>
            <w:proofErr w:type="spellStart"/>
            <w:r>
              <w:rPr>
                <w:rStyle w:val="HTMLTypewriter"/>
                <w:rFonts w:eastAsiaTheme="majorEastAsia"/>
                <w:b/>
                <w:bCs/>
                <w:color w:val="008000"/>
              </w:rPr>
              <w:t>mdf</w:t>
            </w:r>
            <w:proofErr w:type="spellEnd"/>
            <w:r>
              <w:rPr>
                <w:rStyle w:val="apple-converted-space"/>
                <w:rFonts w:ascii="Verdana" w:hAnsi="Verdana"/>
                <w:b/>
                <w:bCs/>
                <w:color w:val="000000"/>
                <w:sz w:val="20"/>
                <w:szCs w:val="20"/>
              </w:rPr>
              <w:t> </w:t>
            </w:r>
            <w:r>
              <w:rPr>
                <w:rFonts w:ascii="Verdana" w:hAnsi="Verdana"/>
                <w:b/>
                <w:bCs/>
                <w:color w:val="000000"/>
                <w:sz w:val="20"/>
                <w:szCs w:val="20"/>
              </w:rPr>
              <w:t>Filename</w:t>
            </w:r>
          </w:p>
        </w:tc>
        <w:tc>
          <w:tcPr>
            <w:tcW w:w="0" w:type="auto"/>
            <w:tcBorders>
              <w:bottom w:val="single" w:sz="6" w:space="0" w:color="000000"/>
            </w:tcBorders>
            <w:shd w:val="clear" w:color="auto" w:fill="FFFFFF"/>
            <w:tcMar>
              <w:top w:w="75" w:type="dxa"/>
              <w:left w:w="45" w:type="dxa"/>
              <w:bottom w:w="75" w:type="dxa"/>
              <w:right w:w="45" w:type="dxa"/>
            </w:tcMar>
            <w:hideMark/>
          </w:tcPr>
          <w:p w:rsidR="00AC4E14" w:rsidRDefault="00AC4E14">
            <w:pPr>
              <w:rPr>
                <w:rFonts w:ascii="Verdana" w:hAnsi="Verdana"/>
                <w:b/>
                <w:bCs/>
                <w:color w:val="000000"/>
                <w:sz w:val="20"/>
                <w:szCs w:val="20"/>
              </w:rPr>
            </w:pPr>
            <w:r>
              <w:rPr>
                <w:rStyle w:val="HTMLTypewriter"/>
                <w:rFonts w:eastAsiaTheme="majorEastAsia"/>
                <w:b/>
                <w:bCs/>
                <w:color w:val="008000"/>
              </w:rPr>
              <w:t>.</w:t>
            </w:r>
            <w:proofErr w:type="spellStart"/>
            <w:r>
              <w:rPr>
                <w:rStyle w:val="HTMLTypewriter"/>
                <w:rFonts w:eastAsiaTheme="majorEastAsia"/>
                <w:b/>
                <w:bCs/>
                <w:color w:val="008000"/>
              </w:rPr>
              <w:t>ldf</w:t>
            </w:r>
            <w:proofErr w:type="spellEnd"/>
            <w:r>
              <w:rPr>
                <w:rStyle w:val="apple-converted-space"/>
                <w:rFonts w:ascii="Verdana" w:hAnsi="Verdana"/>
                <w:b/>
                <w:bCs/>
                <w:color w:val="000000"/>
                <w:sz w:val="20"/>
                <w:szCs w:val="20"/>
              </w:rPr>
              <w:t> </w:t>
            </w:r>
            <w:r>
              <w:rPr>
                <w:rFonts w:ascii="Verdana" w:hAnsi="Verdana"/>
                <w:b/>
                <w:bCs/>
                <w:color w:val="000000"/>
                <w:sz w:val="20"/>
                <w:szCs w:val="20"/>
              </w:rPr>
              <w:t>Filename</w:t>
            </w:r>
          </w:p>
        </w:tc>
      </w:tr>
      <w:tr w:rsidR="00AC4E14" w:rsidTr="00AC4E14">
        <w:trPr>
          <w:tblCellSpacing w:w="0" w:type="dxa"/>
        </w:trPr>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master</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master.mdf</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mastlog.ldf</w:t>
            </w:r>
          </w:p>
        </w:tc>
      </w:tr>
      <w:tr w:rsidR="00AC4E14" w:rsidTr="00AC4E14">
        <w:trPr>
          <w:tblCellSpacing w:w="0" w:type="dxa"/>
        </w:trPr>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resource</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mssqlsystemresource.mdf</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mssqlsystemresource.ldf</w:t>
            </w:r>
          </w:p>
        </w:tc>
      </w:tr>
      <w:tr w:rsidR="00AC4E14" w:rsidTr="00AC4E14">
        <w:trPr>
          <w:tblCellSpacing w:w="0" w:type="dxa"/>
        </w:trPr>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model</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model.mdf</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modellog.ldf</w:t>
            </w:r>
          </w:p>
        </w:tc>
      </w:tr>
      <w:tr w:rsidR="00AC4E14" w:rsidTr="00AC4E14">
        <w:trPr>
          <w:tblCellSpacing w:w="0" w:type="dxa"/>
        </w:trPr>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proofErr w:type="spellStart"/>
            <w:r>
              <w:rPr>
                <w:rStyle w:val="HTMLTypewriter"/>
                <w:rFonts w:eastAsiaTheme="majorEastAsia"/>
                <w:color w:val="008000"/>
              </w:rPr>
              <w:t>msdb</w:t>
            </w:r>
            <w:proofErr w:type="spellEnd"/>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msdbdata.mdf</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msdblog.ldf</w:t>
            </w:r>
          </w:p>
        </w:tc>
      </w:tr>
      <w:tr w:rsidR="00AC4E14" w:rsidTr="00AC4E14">
        <w:trPr>
          <w:tblCellSpacing w:w="0" w:type="dxa"/>
        </w:trPr>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distribution</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distmdl.ldf</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distmdl.mdf</w:t>
            </w:r>
          </w:p>
        </w:tc>
      </w:tr>
      <w:tr w:rsidR="00AC4E14" w:rsidTr="00AC4E14">
        <w:trPr>
          <w:tblCellSpacing w:w="0" w:type="dxa"/>
        </w:trPr>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proofErr w:type="spellStart"/>
            <w:r>
              <w:rPr>
                <w:rStyle w:val="HTMLTypewriter"/>
                <w:rFonts w:eastAsiaTheme="majorEastAsia"/>
                <w:color w:val="008000"/>
              </w:rPr>
              <w:t>tempdb</w:t>
            </w:r>
            <w:proofErr w:type="spellEnd"/>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tempdb.mdf</w:t>
            </w:r>
          </w:p>
        </w:tc>
        <w:tc>
          <w:tcPr>
            <w:tcW w:w="0" w:type="auto"/>
            <w:shd w:val="clear" w:color="auto" w:fill="FFFFFF"/>
            <w:tcMar>
              <w:top w:w="75" w:type="dxa"/>
              <w:left w:w="45" w:type="dxa"/>
              <w:bottom w:w="75" w:type="dxa"/>
              <w:right w:w="45" w:type="dxa"/>
            </w:tcMar>
            <w:hideMark/>
          </w:tcPr>
          <w:p w:rsidR="00AC4E14" w:rsidRDefault="00AC4E14">
            <w:pPr>
              <w:rPr>
                <w:rFonts w:ascii="Verdana" w:hAnsi="Verdana"/>
                <w:color w:val="000000"/>
                <w:sz w:val="20"/>
                <w:szCs w:val="20"/>
              </w:rPr>
            </w:pPr>
            <w:r>
              <w:rPr>
                <w:rStyle w:val="HTMLTypewriter"/>
                <w:rFonts w:eastAsiaTheme="majorEastAsia"/>
                <w:color w:val="008000"/>
              </w:rPr>
              <w:t>templog.ldf</w:t>
            </w:r>
          </w:p>
        </w:tc>
      </w:tr>
    </w:tbl>
    <w:p w:rsidR="00AC4E14" w:rsidRDefault="00AC4E14" w:rsidP="00AC4E14">
      <w:pPr>
        <w:rPr>
          <w:rFonts w:ascii="Verdana" w:hAnsi="Verdana"/>
          <w:b/>
          <w:bCs/>
          <w:color w:val="000000"/>
          <w:sz w:val="20"/>
          <w:szCs w:val="20"/>
        </w:rPr>
      </w:pPr>
      <w:r>
        <w:rPr>
          <w:rFonts w:ascii="Verdana" w:hAnsi="Verdana"/>
          <w:color w:val="000000"/>
          <w:sz w:val="18"/>
          <w:szCs w:val="18"/>
        </w:rPr>
        <w:br/>
      </w:r>
      <w:bookmarkStart w:id="14" w:name="ch07note01"/>
      <w:bookmarkEnd w:id="14"/>
      <w:r>
        <w:rPr>
          <w:rFonts w:ascii="Verdana" w:hAnsi="Verdana"/>
          <w:b/>
          <w:bCs/>
          <w:color w:val="000000"/>
          <w:sz w:val="20"/>
          <w:szCs w:val="20"/>
        </w:rPr>
        <w:t>Tip</w:t>
      </w:r>
    </w:p>
    <w:p w:rsidR="00AC4E14" w:rsidRPr="007F0E28" w:rsidRDefault="00AC4E14" w:rsidP="00AC4E14">
      <w:pPr>
        <w:pStyle w:val="doctext"/>
        <w:shd w:val="clear" w:color="auto" w:fill="FFFFFF"/>
        <w:spacing w:before="0" w:beforeAutospacing="0" w:after="180" w:afterAutospacing="0" w:line="336" w:lineRule="atLeast"/>
        <w:rPr>
          <w:rFonts w:ascii="Verdana" w:hAnsi="Verdana"/>
          <w:color w:val="000000"/>
          <w:sz w:val="20"/>
          <w:szCs w:val="20"/>
          <w:u w:val="single"/>
        </w:rPr>
      </w:pPr>
      <w:r w:rsidRPr="007F0E28">
        <w:rPr>
          <w:rFonts w:ascii="Verdana" w:hAnsi="Verdana"/>
          <w:color w:val="000000"/>
          <w:sz w:val="20"/>
          <w:szCs w:val="20"/>
          <w:u w:val="single"/>
        </w:rPr>
        <w:t>You can use the</w:t>
      </w:r>
      <w:r w:rsidRPr="007F0E28">
        <w:rPr>
          <w:rStyle w:val="apple-converted-space"/>
          <w:rFonts w:ascii="Verdana" w:hAnsi="Verdana"/>
          <w:color w:val="000000"/>
          <w:sz w:val="20"/>
          <w:szCs w:val="20"/>
          <w:u w:val="single"/>
        </w:rPr>
        <w:t> </w:t>
      </w:r>
      <w:proofErr w:type="spellStart"/>
      <w:r w:rsidRPr="007F0E28">
        <w:rPr>
          <w:rStyle w:val="HTMLTypewriter"/>
          <w:rFonts w:eastAsiaTheme="majorEastAsia"/>
          <w:color w:val="008000"/>
          <w:u w:val="single"/>
        </w:rPr>
        <w:t>sys.master_files</w:t>
      </w:r>
      <w:bookmarkStart w:id="15" w:name="system_database"/>
      <w:bookmarkEnd w:id="15"/>
      <w:proofErr w:type="spellEnd"/>
      <w:r w:rsidRPr="007F0E28">
        <w:rPr>
          <w:rStyle w:val="apple-converted-space"/>
          <w:rFonts w:ascii="Verdana" w:hAnsi="Verdana"/>
          <w:color w:val="000000"/>
          <w:sz w:val="20"/>
          <w:szCs w:val="20"/>
          <w:u w:val="single"/>
        </w:rPr>
        <w:t> </w:t>
      </w:r>
      <w:r w:rsidRPr="007F0E28">
        <w:rPr>
          <w:rFonts w:ascii="Verdana" w:hAnsi="Verdana"/>
          <w:color w:val="000000"/>
          <w:sz w:val="20"/>
          <w:szCs w:val="20"/>
          <w:u w:val="single"/>
        </w:rPr>
        <w:t>catalog view to list the physical locations of the system database files as well as the user database files. This catalog view contains a myriad of information, including the logical name, current state, and size of each database file.</w:t>
      </w:r>
    </w:p>
    <w:p w:rsidR="00971DC5" w:rsidRDefault="00971DC5"/>
    <w:sectPr w:rsidR="00971DC5" w:rsidSect="00971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2E25"/>
    <w:multiLevelType w:val="multilevel"/>
    <w:tmpl w:val="B1E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5AB2"/>
    <w:rsid w:val="00022060"/>
    <w:rsid w:val="0035360C"/>
    <w:rsid w:val="006D5AB2"/>
    <w:rsid w:val="007F0E28"/>
    <w:rsid w:val="00971DC5"/>
    <w:rsid w:val="00AC4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DC5"/>
  </w:style>
  <w:style w:type="paragraph" w:styleId="Heading3">
    <w:name w:val="heading 3"/>
    <w:basedOn w:val="Normal"/>
    <w:link w:val="Heading3Char"/>
    <w:uiPriority w:val="9"/>
    <w:qFormat/>
    <w:rsid w:val="006D5A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C4E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AB2"/>
    <w:rPr>
      <w:rFonts w:ascii="Times New Roman" w:eastAsia="Times New Roman" w:hAnsi="Times New Roman" w:cs="Times New Roman"/>
      <w:b/>
      <w:bCs/>
      <w:sz w:val="27"/>
      <w:szCs w:val="27"/>
    </w:rPr>
  </w:style>
  <w:style w:type="paragraph" w:customStyle="1" w:styleId="doctext">
    <w:name w:val="doctext"/>
    <w:basedOn w:val="Normal"/>
    <w:rsid w:val="006D5A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6D5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C4E14"/>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AC4E14"/>
  </w:style>
  <w:style w:type="character" w:styleId="HTMLTypewriter">
    <w:name w:val="HTML Typewriter"/>
    <w:basedOn w:val="DefaultParagraphFont"/>
    <w:uiPriority w:val="99"/>
    <w:semiHidden/>
    <w:unhideWhenUsed/>
    <w:rsid w:val="00AC4E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C4E14"/>
    <w:rPr>
      <w:color w:val="0000FF"/>
      <w:u w:val="single"/>
    </w:rPr>
  </w:style>
  <w:style w:type="paragraph" w:customStyle="1" w:styleId="docnotetitle">
    <w:name w:val="docnotetitle"/>
    <w:basedOn w:val="Normal"/>
    <w:rsid w:val="00AC4E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3002581">
      <w:bodyDiv w:val="1"/>
      <w:marLeft w:val="0"/>
      <w:marRight w:val="0"/>
      <w:marTop w:val="0"/>
      <w:marBottom w:val="0"/>
      <w:divBdr>
        <w:top w:val="none" w:sz="0" w:space="0" w:color="auto"/>
        <w:left w:val="none" w:sz="0" w:space="0" w:color="auto"/>
        <w:bottom w:val="none" w:sz="0" w:space="0" w:color="auto"/>
        <w:right w:val="none" w:sz="0" w:space="0" w:color="auto"/>
      </w:divBdr>
      <w:divsChild>
        <w:div w:id="2107113766">
          <w:marLeft w:val="480"/>
          <w:marRight w:val="480"/>
          <w:marTop w:val="0"/>
          <w:marBottom w:val="480"/>
          <w:divBdr>
            <w:top w:val="none" w:sz="0" w:space="0" w:color="auto"/>
            <w:left w:val="none" w:sz="0" w:space="0" w:color="auto"/>
            <w:bottom w:val="none" w:sz="0" w:space="0" w:color="auto"/>
            <w:right w:val="none" w:sz="0" w:space="0" w:color="auto"/>
          </w:divBdr>
        </w:div>
      </w:divsChild>
    </w:div>
    <w:div w:id="129475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moveTo('ch07tab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jcui</dc:creator>
  <cp:keywords/>
  <dc:description/>
  <cp:lastModifiedBy>jcui</cp:lastModifiedBy>
  <cp:revision>3</cp:revision>
  <dcterms:created xsi:type="dcterms:W3CDTF">2012-07-06T14:15:00Z</dcterms:created>
  <dcterms:modified xsi:type="dcterms:W3CDTF">2012-07-06T14:17:00Z</dcterms:modified>
</cp:coreProperties>
</file>