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最优传输项目研究总结</w:t>
        <w:br/>
        <w:t>与论文创新路线评估</w:t>
      </w:r>
    </w:p>
    <w:p>
      <w:r>
        <w:rPr>
          <w:b w:val="0"/>
        </w:rPr>
        <w:t>供导师讨论    截至2026年10月9日    覆盖第1至38轮研究</w:t>
      </w:r>
    </w:p>
    <w:p>
      <w:pPr>
        <w:pStyle w:val="Heading1"/>
      </w:pPr>
      <w:r>
        <w:t>当前判断</w:t>
      </w:r>
    </w:p>
    <w:p>
      <w:r>
        <w:rPr>
          <w:b/>
        </w:rPr>
        <w:t>我们已建立可复现的求解器评测和数值诊断基础，也找到了一些值得研究的失败现象；但尚未形成证据充分、与已有工作差异清楚的论文主贡献。导师认为目前不足以发论文，与现有结果相符。</w:t>
      </w:r>
    </w:p>
    <w:p>
      <w:r>
        <w:rPr>
          <w:b w:val="0"/>
        </w:rPr>
        <w:t>主要缺口是创新问题尚未收敛、最接近文献与强基线比较不足、正面结果集中在少数开发案例，以及缺少机制解释和真实应用验证。继续增加试验轮数或调整阈值，不会自动补上这些缺口。</w:t>
      </w:r>
    </w:p>
    <w:p>
      <w:pPr>
        <w:pStyle w:val="Heading2"/>
      </w:pPr>
      <w:r>
        <w:t>建议选择的主线</w:t>
      </w:r>
    </w:p>
    <w:p>
      <w:r>
        <w:rPr>
          <w:b w:val="0"/>
        </w:rPr>
        <w:t>优先研究近平衡分簇数据中，微小跨簇质量需求为何造成慢收敛，以及怎样依据最终目标质量分配正则延续预算。先建立可验证的机制，再决定是否提出控制算法。现有评测平台作为支撑，不单独包装成算法创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4535"/>
        <w:gridCol w:w="2041"/>
      </w:tblGrid>
      <w:tr>
        <w:trPr>
          <w:tblHeader/>
        </w:trPr>
        <w:tc>
          <w:tcPr>
            <w:tcW w:type="dxa" w:w="2835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候选方向</w:t>
            </w:r>
          </w:p>
        </w:tc>
        <w:tc>
          <w:tcPr>
            <w:tcW w:type="dxa" w:w="4535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论文潜力判断</w:t>
            </w:r>
          </w:p>
        </w:tc>
        <w:tc>
          <w:tcPr>
            <w:tcW w:type="dxa" w:w="2041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建议位置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微小跨簇质量与慢收敛机制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最值得先验证；需超出已有停止准则反例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主研究问题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最终质量约束下的阶段预算分配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有方法潜力；与已有调度工作高度重叠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机制成立后的方法层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跨簇流量的低维纠正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技术改动更实质；实现和查新风险较高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前两项不足时的小规模备选</w:t>
            </w:r>
          </w:p>
        </w:tc>
      </w:tr>
    </w:tbl>
    <w:p>
      <w:pPr>
        <w:pStyle w:val="Heading2"/>
      </w:pPr>
      <w:r>
        <w:t>本次需要导师讨论的事项</w:t>
      </w:r>
    </w:p>
    <w:p>
      <w:r>
        <w:rPr>
          <w:b w:val="0"/>
        </w:rPr>
        <w:t>建议先用两周完成文献差异表、最小机制模型和关键强基线复现，再决定主线。若未发现新的机制或稳定的比较优势，应及时转向有具体应用问题的实证论文，而不是继续围绕两个合成案例调参。</w:t>
      </w:r>
    </w:p>
    <w:p>
      <w:r>
        <w:rPr>
          <w:b w:val="0"/>
        </w:rPr>
        <w:t>项目口径：2026年5月立项，2027年4月左右结项，总经费1万元。以完成可信的普通会议论文为当前成果目标；核心期刊作为更高目标，专利视技术方案成熟程度另行评估。以上不等于已确认的验收或录用承诺。</w:t>
      </w:r>
    </w:p>
    <w:p>
      <w:r>
        <w:br w:type="page"/>
      </w:r>
    </w:p>
    <w:p>
      <w:pPr>
        <w:pStyle w:val="Heading1"/>
      </w:pPr>
      <w:r>
        <w:t>一 已完成的研究与可复用资产</w:t>
      </w:r>
    </w:p>
    <w:p>
      <w:r>
        <w:rPr>
          <w:b w:val="0"/>
        </w:rPr>
        <w:t>原项目关注高维稀疏数据上的最优传输评测。当前重点已转向平衡离散熵正则OT的数值稳定性、慢收敛、路径切换和正则参数逐步减小。质量向量稀疏、特征维度高、代价矩阵稀疏、运输计划稀疏是不同概念，论文必须分别定义；16×16双簇试验本身不能支撑高维大规模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742"/>
      </w:tblGrid>
      <w:tr>
        <w:trPr>
          <w:tblHeader/>
        </w:trPr>
        <w:tc>
          <w:tcPr>
            <w:tcW w:type="dxa" w:w="1701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研究阶段</w:t>
            </w:r>
          </w:p>
        </w:tc>
        <w:tc>
          <w:tcPr>
            <w:tcW w:type="dxa" w:w="3969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已有工作</w:t>
            </w:r>
          </w:p>
        </w:tc>
        <w:tc>
          <w:tcPr>
            <w:tcW w:type="dxa" w:w="3742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实际意义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评测与数据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合成输入、MovieLens 100K及KOS处理；版本、输入哈希、原始日志与源码快照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能够复跑和定位失败；两语料共享预处理，独立配对不等于独立数据集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求解路径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普通、稳定化、对数域、正则延续及混合路径；固定切换、热冷启动等对照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排除了部分弱基线造成的虚假优势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质量判断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非负性、边缘残差、舍入可行计划、数值原始对偶间隙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区分可行与接近最优；浮点间隙不是严格区间证书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最近开发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阶段达标降温、固定节奏消融、失败时保留可行计划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找到正面开发案例，也暴露新种子失败边界</w:t>
            </w:r>
          </w:p>
        </w:tc>
      </w:tr>
    </w:tbl>
    <w:p>
      <w:pPr>
        <w:pStyle w:val="Heading2"/>
      </w:pPr>
      <w:r>
        <w:t>最有代表性的证据</w:t>
      </w:r>
    </w:p>
    <w:p>
      <w:r>
        <w:rPr>
          <w:b w:val="0"/>
        </w:rPr>
        <w:t>第28轮：新组中数值触发策略整体没有胜过早期固定切换；一个困难KOS案例在表示误差很小的情况下仍慢收敛。它说明数值失真与收敛慢需要分开处理，不能据此宣称触发判据普遍优越。[本地E1]</w:t>
      </w:r>
    </w:p>
    <w:p>
      <w:r>
        <w:rPr>
          <w:b w:val="0"/>
        </w:rPr>
        <w:t>第32轮：两个已查看数据组共288次求解全部达标；唯一调用正则延续兜底的困难条件，完整调用耗时减少约55.3%。这是一例集成收益，不能理解为所有任务平均加速55.3%。[本地E2]</w:t>
      </w:r>
    </w:p>
    <w:p>
      <w:r>
        <w:rPr>
          <w:b w:val="0"/>
        </w:rPr>
        <w:t>第35至36轮：两个已知失败例中，阶段达标再降温约29.6万和29.2万次内层达标；同倍率固定1块或10块降温均100万次未达标。支持相对这两个节奏的作用，但不是一般收敛保证。[本地E3]</w:t>
      </w:r>
    </w:p>
    <w:p>
      <w:r>
        <w:rPr>
          <w:b w:val="0"/>
        </w:rPr>
        <w:t>最新算法回归162项通过。测试数量说明实现检查覆盖，不能替代独立科学证据，也不能把38轮开发当作38组独立验证。</w:t>
      </w:r>
    </w:p>
    <w:p>
      <w:r>
        <w:br w:type="page"/>
      </w:r>
    </w:p>
    <w:p>
      <w:pPr>
        <w:pStyle w:val="Heading1"/>
      </w:pPr>
      <w:r>
        <w:t>二 新验证与负面结果</w:t>
      </w:r>
    </w:p>
    <w:p>
      <w:r>
        <w:rPr>
          <w:b w:val="0"/>
        </w:rPr>
        <w:t>第37轮预先冻结两个新种子、三档质量差δ和两档正则参数ε，构成6个输入、12个条件、三方法36次运行。各条件共享几何，属于同一设计合成族；这里的δ表示两个簇之间的质量差，总质量仍相等，不是非平衡OT。[本地E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1984"/>
        <w:gridCol w:w="1984"/>
        <w:gridCol w:w="2041"/>
      </w:tblGrid>
      <w:tr>
        <w:trPr>
          <w:tblHeader/>
        </w:trPr>
        <w:tc>
          <w:tcPr>
            <w:tcW w:type="dxa" w:w="3402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条件 每行含两种子</w:t>
            </w:r>
          </w:p>
        </w:tc>
        <w:tc>
          <w:tcPr>
            <w:tcW w:type="dxa" w:w="1984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阶段门槛迭代</w:t>
            </w:r>
          </w:p>
        </w:tc>
        <w:tc>
          <w:tcPr>
            <w:tcW w:type="dxa" w:w="1984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固定1块迭代</w:t>
            </w:r>
          </w:p>
        </w:tc>
        <w:tc>
          <w:tcPr>
            <w:tcW w:type="dxa" w:w="2041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δ=0  ε=.003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双方2/2达标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δ=0  ε=.001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1.1万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1.1万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双方2/2达标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δ=.001  ε=.003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3.4万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3.3万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双方2/2达标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δ=.001  ε=.001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4万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7.9万及7.7万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双方2/2达标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δ=.00001  ε=.003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100万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100万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双方0/2达标</w:t>
            </w:r>
          </w:p>
        </w:tc>
      </w:tr>
      <w:t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δ=.00001  ε=.001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100万</w:t>
            </w:r>
          </w:p>
        </w:tc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100万</w:t>
            </w:r>
          </w:p>
        </w:tc>
        <w:tc>
          <w:tcPr>
            <w:tcW w:type="dxa" w:w="204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双方0/2达标</w:t>
            </w:r>
          </w:p>
        </w:tc>
      </w:tr>
    </w:tbl>
    <w:p>
      <w:pPr>
        <w:spacing w:before="140"/>
      </w:pPr>
      <w:r>
        <w:rPr>
          <w:b w:val="0"/>
        </w:rPr>
        <w:t>三种方法的总体达标数均为8/12，固定10块方案也未提高成功率。相对固定1块，阶段门槛2个条件少算、2个多算、4个相同，其余4个双方失败。</w:t>
      </w:r>
    </w:p>
    <w:p>
      <w:pPr>
        <w:pStyle w:val="Heading2"/>
      </w:pPr>
      <w:r>
        <w:t>新方案的主要失败边界</w:t>
      </w:r>
    </w:p>
    <w:p>
      <w:r>
        <w:rPr>
          <w:b w:val="0"/>
        </w:rPr>
        <w:t>四个失败条件停在中间ε=.015625，尚未到目标参数。两个中间阶段共消耗76.4%预算；首次阶段间隙过关后仍合计约30万次迭代才满足降温条件。这提供了研究预算分配的线索，但不能直接断言这些迭代都可省略。</w:t>
      </w:r>
    </w:p>
    <w:p>
      <w:pPr>
        <w:pStyle w:val="Heading2"/>
      </w:pPr>
      <w:r>
        <w:t>第38轮解决了什么</w:t>
      </w:r>
    </w:p>
    <w:p>
      <w:r>
        <w:rPr>
          <w:b w:val="0"/>
        </w:rPr>
        <w:t>失败时保留当前或历史阶段的较好可行计划，使四个条件的最终目标值降低；轨迹和失败标志不变，仍0/4达标。所有最优候选恰好来自最后一块，因此本轮还未证明历史保留优于只保留最后阶段计划。[本地E5]</w:t>
      </w:r>
    </w:p>
    <w:p>
      <w:r>
        <w:rPr>
          <w:b w:val="0"/>
        </w:rPr>
        <w:t>目前应保留的结论是局部收益与明确失败边界并存。暂不写“鲁棒收敛”“普遍加速”“解决高维稀疏OT”或“新算法全面优于现有方法”。</w:t>
      </w:r>
    </w:p>
    <w:p>
      <w:r>
        <w:br w:type="page"/>
      </w:r>
    </w:p>
    <w:p>
      <w:pPr>
        <w:pStyle w:val="Heading1"/>
      </w:pPr>
      <w:r>
        <w:t>三 为什么现阶段不足以支撑方法论文</w:t>
      </w:r>
    </w:p>
    <w:p>
      <w:pPr>
        <w:pStyle w:val="Heading2"/>
      </w:pPr>
      <w:r>
        <w:t>已有方法覆盖了主要组件</w:t>
      </w:r>
    </w:p>
    <w:p>
      <w:r>
        <w:rPr>
          <w:b w:val="0"/>
        </w:rPr>
        <w:t>Schmitzer的工作已组合稳定化、正则延续、自适应截断和多尺度；全文算法1至3明确包含停止准则与逐阶段求解，注5及例1讨论小边缘误差下对偶变量仍远离解。因此，热启动、逐阶段达标、原始对偶检查和小质量反例本身都不能直接视为新贡献。[1]</w:t>
      </w:r>
    </w:p>
    <w:p>
      <w:r>
        <w:rPr>
          <w:b w:val="0"/>
        </w:rPr>
        <w:t>Chen等研究自适应正则调度并给出特定假设下的复杂度结果；Chizat研究退火路径及松弛误差并提出去偏修正。其渐近目标与我们固定最终ε的有限预算目标并不完全相同，仍必须逐项比较而非以问题名称不同排除。[2][3]</w:t>
      </w:r>
    </w:p>
    <w:p>
      <w:r>
        <w:rPr>
          <w:b w:val="0"/>
        </w:rPr>
        <w:t>2026年一篇预印本提出基于状态监测的暂停降温；作者主张其适用于结构推断。尚未独立验证其理论与实验，但“检测后暂停降温”的概念重叠已经需要认真处理。[4]</w:t>
      </w:r>
    </w:p>
    <w:p>
      <w:pPr>
        <w:pStyle w:val="Heading2"/>
      </w:pPr>
      <w:r>
        <w:t>目前证据还缺少完整贡献链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005"/>
        <w:gridCol w:w="4706"/>
      </w:tblGrid>
      <w:tr>
        <w:trPr>
          <w:tblHeader/>
        </w:trPr>
        <w:tc>
          <w:tcPr>
            <w:tcW w:type="dxa" w:w="1701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缺口</w:t>
            </w:r>
          </w:p>
        </w:tc>
        <w:tc>
          <w:tcPr>
            <w:tcW w:type="dxa" w:w="3005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当前表现</w:t>
            </w:r>
          </w:p>
        </w:tc>
        <w:tc>
          <w:tcPr>
            <w:tcW w:type="dxa" w:w="4706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投稿前需要补上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差异不清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主要是现有组件加阈值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与最近工作逐项对照，明确新问题或新规则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解释不足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发现慢收敛与失败，机制多为推测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最小模型、可检验预测及边界条件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基线不足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近期主要对比固定节奏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相关调度、Newton或多尺度强方法及合理调参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泛化不足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局部合成收益，新组成功率持平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冻结验证集、更多结构及真实任务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应用与规模不足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小矩阵、有限语料、稠密代价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规模增长、端到端耗时、内存与下游质量</w:t>
            </w:r>
          </w:p>
        </w:tc>
      </w:tr>
    </w:tbl>
    <w:p>
      <w:pPr>
        <w:spacing w:before="140"/>
      </w:pPr>
      <w:r>
        <w:rPr>
          <w:b w:val="0"/>
        </w:rPr>
        <w:t>工程测试、审计、修复以及保留失败结果非常必要，但通常作为论文可信性的基础。普通会议也需要一个明确且有证据的增量；未确定具体会议前，不把任何统一样本数或改进百分比当作录用标准。</w:t>
      </w:r>
    </w:p>
    <w:p>
      <w:r>
        <w:br w:type="page"/>
      </w:r>
    </w:p>
    <w:p>
      <w:pPr>
        <w:pStyle w:val="Heading1"/>
      </w:pPr>
      <w:r>
        <w:t>四 最值得先做的创新方向</w:t>
      </w:r>
    </w:p>
    <w:p>
      <w:pPr>
        <w:pStyle w:val="Heading2"/>
      </w:pPr>
      <w:r>
        <w:t>方向一 微小跨簇质量导致慢收敛的机制与预测</w:t>
      </w:r>
    </w:p>
    <w:p>
      <w:r>
        <w:rPr>
          <w:b w:val="0"/>
        </w:rPr>
        <w:t>容易理解的目标：解释“完全平衡时容易，只差一点反而很慢”，并预测哪些输入会失败。值得研究的增量是几何分离、跨簇质量差、ε与阶段容差之间的定量关系，而不是再次证明残差小不等于最优。</w:t>
      </w:r>
    </w:p>
    <w:p>
      <w:r>
        <w:rPr>
          <w:b w:val="0"/>
        </w:rPr>
        <w:t>可从两点模型开始：源质量为(A,1−A)，目标为(A+δ,1−A−δ)，簇内代价0、跨簇代价c。可行计划可写为[[A−t,t],[t+δ,1−A−δ−t]]。在正元素内点，熵正则目标的一阶条件给出 t(t+δ)/[(A−t)(1−A−δ−t)] = exp(−2c/ε)。该式是标准最优性条件的推导起点，不是新定理；它还不能说明迭代速度。</w:t>
      </w:r>
    </w:p>
    <w:p>
      <w:r>
        <w:rPr>
          <w:b w:val="0"/>
        </w:rPr>
        <w:t>后续必须推导迭代或局部收缩关系，再检验δ与核跨簇权重之间的关系是否能预测平台期和阶段耗时。推广到多簇、簇内扰动和真实几何时，要给误差范围或明确失效条件，不能把两点结果直接移植到16点及高维输入。</w:t>
      </w:r>
    </w:p>
    <w:p>
      <w:r>
        <w:rPr>
          <w:b w:val="0"/>
        </w:rPr>
        <w:t>成立门槛：预测应在未用于设计的参数组合上优于“只看ε”“只看零元素比例”“只看早期斜率”；至少形成一个非平凡命题或稳定、可解释的新经验规律。若只是重现[1]中的现象，这个方向不足以独立成文。</w:t>
      </w:r>
    </w:p>
    <w:p>
      <w:pPr>
        <w:pStyle w:val="Heading2"/>
      </w:pPr>
      <w:r>
        <w:t>方向二 面向最终质量的阶段预算分配</w:t>
      </w:r>
    </w:p>
    <w:p>
      <w:r>
        <w:rPr>
          <w:b w:val="0"/>
        </w:rPr>
        <w:t>容易理解的目标：总预算固定时，避免在中间问题上过度求精，也避免过早降温丢掉必要进展。候选差异应落在最终目标质量、跨阶段进展估计及剩余预算的联合决策，不能只是把固定1e-8改为另一个阈值。</w:t>
      </w:r>
    </w:p>
    <w:p>
      <w:r>
        <w:rPr>
          <w:b w:val="0"/>
        </w:rPr>
        <w:t>建议先比较间隙门槛、原始残差门槛及二者组合，再由方向一的机制设计阶段容差或分配规则。可行上界与有效对偶下界可以帮助判断最终误差，但中间势直接搬到目标参数的下界可能很松；需要先检验诊断是否有信息，而不是先堆叠控制器。</w:t>
      </w:r>
    </w:p>
    <w:p>
      <w:r>
        <w:rPr>
          <w:b w:val="0"/>
        </w:rPr>
        <w:t>成立门槛：在同一最终问题、同一外部质量标准下，计入诊断成本后，改善成功率或成功条件耗时，并报告长尾退步。须与[1]至[4]对应方法及调参充分的固定调度比较。它是最自然的方法扩展，但目前没有证明新颖性。</w:t>
      </w:r>
    </w:p>
    <w:p>
      <w:r>
        <w:br w:type="page"/>
      </w:r>
    </w:p>
    <w:p>
      <w:pPr>
        <w:pStyle w:val="Heading1"/>
      </w:pPr>
      <w:r>
        <w:t>五 备选创新与明确不作为主创新的内容</w:t>
      </w:r>
    </w:p>
    <w:p>
      <w:pPr>
        <w:pStyle w:val="Heading2"/>
      </w:pPr>
      <w:r>
        <w:t>方向三 跨簇流量的低维纠正</w:t>
      </w:r>
    </w:p>
    <w:p>
      <w:r>
        <w:rPr>
          <w:b w:val="0"/>
        </w:rPr>
        <w:t>容易理解的目标：当普通缩放在簇内已经调得很好，却迟迟无法搬运少量跨簇质量时，直接对簇间流量或簇级势差做一次低维纠正，再恢复细粒度迭代。与仅改变“何时降温”相比，这是对求解更新本身的改变。</w:t>
      </w:r>
    </w:p>
    <w:p>
      <w:r>
        <w:rPr>
          <w:b w:val="0"/>
        </w:rPr>
        <w:t>可检验原型：用不依赖标准答案的方式识别块结构，构造小规模纠正子问题，映射回原问题，并对代价下降、可行性或对偶有效性作检查。必须计算聚类、建图和纠正的全部开销；不能使用合成数据的真实簇标签却宣称一般方法可部署。</w:t>
      </w:r>
    </w:p>
    <w:p>
      <w:r>
        <w:rPr>
          <w:b w:val="0"/>
        </w:rPr>
        <w:t>这一方向已有很强的邻近工作：稀疏Newton、域分解和跨区域流更新均提供了直接参考。[5][6][7] 只有证明更便宜的纠正触发或结构适用性，并在这些强基线下仍有收益，才可能构成贡献。若实现只是现有方法的简化复刻，应作为基线或工程应用。</w:t>
      </w:r>
    </w:p>
    <w:p>
      <w:pPr>
        <w:pStyle w:val="Heading2"/>
      </w:pPr>
      <w:r>
        <w:t>建议的优先级与论文组织</w:t>
      </w:r>
    </w:p>
    <w:p>
      <w:r>
        <w:rPr>
          <w:b w:val="0"/>
        </w:rPr>
        <w:t>先推进方向一，再选择方向二作为方法层；方向三只做有时间上限的可行性探测。不要同时承诺三篇论文，也不要把三个未成熟点拼成一个复杂算法。建议候选题目为“近平衡分簇离散最优传输的慢收敛诊断与预算受限求解”。题目中的机制与方法都需后续证据才能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329"/>
      </w:tblGrid>
      <w:tr>
        <w:trPr>
          <w:tblHeader/>
        </w:trPr>
        <w:tc>
          <w:tcPr>
            <w:tcW w:type="dxa" w:w="4082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已有内容</w:t>
            </w:r>
          </w:p>
        </w:tc>
        <w:tc>
          <w:tcPr>
            <w:tcW w:type="dxa" w:w="5329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建议在论文中的位置</w:t>
            </w:r>
          </w:p>
        </w:tc>
      </w:tr>
      <w:t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统一质量验收及可复现评测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实验方法和补充材料；有新规模或新任务时再讨论基准贡献</w:t>
            </w:r>
          </w:p>
        </w:tc>
      </w:tr>
      <w:t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热启动与短段检查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实现细节及消融，不能单独作为首创</w:t>
            </w:r>
          </w:p>
        </w:tc>
      </w:tr>
      <w:t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质量达标后提前停止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效率组件；需区分既有原始对偶停止规则</w:t>
            </w:r>
          </w:p>
        </w:tc>
      </w:tr>
      <w:t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失败时返回较好可行解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健壮性设计；当前无收敛提升证据</w:t>
            </w:r>
          </w:p>
        </w:tc>
      </w:tr>
      <w:tr>
        <w:tc>
          <w:tcPr>
            <w:tcW w:type="dxa" w:w="408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跨簇流量与阶段预算新规律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若得到验证，可成为论文主结果</w:t>
            </w:r>
          </w:p>
        </w:tc>
      </w:tr>
    </w:tbl>
    <w:p>
      <w:pPr>
        <w:spacing w:before="140"/>
      </w:pPr>
      <w:r>
        <w:rPr>
          <w:b w:val="0"/>
        </w:rPr>
        <w:t>专利方面，目前不建议直接把组件组合和阈值申请包装为发明点。先形成明确技术方案及可复现效果，再做针对性查新；本次论文检索不能替代专利检索，也没有确认任何候选具备可授权性。</w:t>
      </w:r>
    </w:p>
    <w:p>
      <w:r>
        <w:br w:type="page"/>
      </w:r>
    </w:p>
    <w:p>
      <w:pPr>
        <w:pStyle w:val="Heading1"/>
      </w:pPr>
      <w:r>
        <w:t>六 下一阶段的实验与时间安排</w:t>
      </w:r>
    </w:p>
    <w:p>
      <w:pPr>
        <w:pStyle w:val="Heading2"/>
      </w:pPr>
      <w:r>
        <w:t>先设决策点 再扩大实验</w:t>
      </w:r>
    </w:p>
    <w:p>
      <w:r>
        <w:rPr>
          <w:b w:val="0"/>
        </w:rPr>
        <w:t>10月10日至23日建议完成：精读并复现最接近的2至3种方法；建立两点模型与高精度小问题参考；冻结阶段门槛消融；同时覆盖旧成功例和新失败例。两周后向导师提交差异表、机制图和完整结果，决定是否值得继续。</w:t>
      </w:r>
    </w:p>
    <w:p>
      <w:r>
        <w:rPr>
          <w:b w:val="0"/>
        </w:rPr>
        <w:t>若继续：10月下旬至11月完成规则与开发消融；11月至12月完成冻结的新结构、新语料和规模验证；12月至2027年1月形成论文初稿并确定投稿对象；2月至4月留给修改、补实验和结项整理。这是建议排期，录用时间取决于实际投稿渠道，应以其正式日程另行核对。</w:t>
      </w:r>
    </w:p>
    <w:p>
      <w:pPr>
        <w:pStyle w:val="Heading2"/>
      </w:pPr>
      <w:r>
        <w:t>最小研究包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005"/>
        <w:gridCol w:w="4706"/>
      </w:tblGrid>
      <w:tr>
        <w:trPr>
          <w:tblHeader/>
        </w:trPr>
        <w:tc>
          <w:tcPr>
            <w:tcW w:type="dxa" w:w="1701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工作包</w:t>
            </w:r>
          </w:p>
        </w:tc>
        <w:tc>
          <w:tcPr>
            <w:tcW w:type="dxa" w:w="3005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需要回答的问题</w:t>
            </w:r>
          </w:p>
        </w:tc>
        <w:tc>
          <w:tcPr>
            <w:tcW w:type="dxa" w:w="4706"/>
            <w:vAlign w:val="center"/>
            <w:shd w:fill="E8EEF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应交付的证据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机制模型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为什么微小跨簇需求更难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两点推导、扰动检验、可预测的失败边界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关键消融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残差门槛是否必要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间隙单独、残差单独、联合及阶段预算对照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强基线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是否只赢弱固定节奏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原生稳定化、成熟延续、相关调度；必要时SNS/域分解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冻结验证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对新结构是否有效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独立种子、多簇与不对称质量；参数按结构隔离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真实价值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是否改善实际任务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一个合适下游任务、端到端时间和质量、峰值内存</w:t>
            </w:r>
          </w:p>
        </w:tc>
      </w:tr>
    </w:tbl>
    <w:p>
      <w:pPr>
        <w:spacing w:before="140"/>
      </w:pPr>
      <w:r>
        <w:rPr>
          <w:b w:val="0"/>
        </w:rPr>
        <w:t>规模建议从16、64、256到1024活动支撑递增，并分别改变特征维度、质量稀疏率和几何分离，避免同时改变多项后无法归因。先做资源预估；这些是计划档位，不是已完成的结果，也不预设需要付费算力。</w:t>
      </w:r>
    </w:p>
    <w:p>
      <w:r>
        <w:rPr>
          <w:b w:val="0"/>
        </w:rPr>
        <w:t>精度统一以最终固定ε的熵正则问题为主，另列未正则OT偏差，不能把二者混为一个误差。小问题用独立求解或高精度计算校核；大问题报告浮点可行性和原始对偶间隙。重复计时与独立实例分开统计，失败作为失败报告，不当作普通耗时删掉。</w:t>
      </w:r>
    </w:p>
    <w:p>
      <w:pPr>
        <w:pStyle w:val="Heading2"/>
      </w:pPr>
      <w:r>
        <w:t>继续投入或转向的依据</w:t>
      </w:r>
    </w:p>
    <w:p>
      <w:r>
        <w:rPr>
          <w:b w:val="0"/>
        </w:rPr>
        <w:t>如果新机制被既有分析覆盖、控制规则在冻结验证中没有稳定增量，或强基线能轻易消除当前优势，就停止这条方法包装。可转向一个具体应用中的精度成本折中，但必须有应用问题、合适数据和下游结果；不能靠换标题补足贡献。</w:t>
      </w:r>
    </w:p>
    <w:p>
      <w:r>
        <w:br w:type="page"/>
      </w:r>
    </w:p>
    <w:p>
      <w:pPr>
        <w:pStyle w:val="Heading1"/>
      </w:pPr>
      <w:r>
        <w:t>七 文献与本地证据索引</w:t>
      </w:r>
    </w:p>
    <w:p>
      <w:r>
        <w:rPr>
          <w:b w:val="0"/>
        </w:rPr>
        <w:t>检索核对日期为2026年10月9日。以下为本次直接打开的原始来源；不是穷尽检索。对新颖性的判断仍是选题评估，不能据未检索到相同标题认定创新。在线POT文档显示0.9.7，本项目实验使用0.9.6.post1，复现实验应以冻结版本和源码为准。</w:t>
      </w:r>
    </w:p>
    <w:p>
      <w:r>
        <w:rPr>
          <w:b w:val="0"/>
          <w:sz w:val="18"/>
        </w:rPr>
        <w:t>[1] Schmitzer B. Stabilized Sparse Scaling Algorithms for Entropy Regularized Transport Problems. SIAM J. Scientific Computing, 2019. 本次核对全文算法1至3、注5与例1。https://arxiv.org/abs/1610.06519</w:t>
      </w:r>
    </w:p>
    <w:p>
      <w:r>
        <w:rPr>
          <w:b w:val="0"/>
          <w:sz w:val="18"/>
        </w:rPr>
        <w:t>[2] Chen J et al. Exponential Convergence of Sinkhorn Under Regularization Scheduling. ACDA 2023. 本次核对作者摘要，适用假设须全文复核。https://arxiv.org/abs/2207.00736</w:t>
      </w:r>
    </w:p>
    <w:p>
      <w:r>
        <w:rPr>
          <w:b w:val="0"/>
          <w:sz w:val="18"/>
        </w:rPr>
        <w:t>[3] Chizat L. Annealed Sinkhorn for Optimal Transport convergence regularization path and debiasing. 2024预印本。核对摘要和全文页面。https://arxiv.org/abs/2408.11620</w:t>
      </w:r>
    </w:p>
    <w:p>
      <w:r>
        <w:rPr>
          <w:b w:val="0"/>
          <w:sz w:val="18"/>
        </w:rPr>
        <w:t>[4] Liu Y. Avoiding Premature Collapse Adaptive Annealing for Entropy Regularized Structural Inference. 2026预印本v3。核对正文引言及方法定位，未独立复现。https://arxiv.org/abs/2601.23039v3</w:t>
      </w:r>
    </w:p>
    <w:p>
      <w:r>
        <w:rPr>
          <w:b w:val="0"/>
          <w:sz w:val="18"/>
        </w:rPr>
        <w:t>[5] Tang X et al. Accelerating Sinkhorn Algorithm with Sparse Newton Iterations. ICLR 2024. 核对作者摘要。https://arxiv.org/abs/2401.12253</w:t>
      </w:r>
    </w:p>
    <w:p>
      <w:r>
        <w:rPr>
          <w:b w:val="0"/>
          <w:sz w:val="18"/>
        </w:rPr>
        <w:t>[6] Bonafini M and Schmitzer B. Domain decomposition for entropy regularized optimal transport. Numerische Mathematik, 2021. 核对作者摘要。https://arxiv.org/abs/2001.10986</w:t>
      </w:r>
    </w:p>
    <w:p>
      <w:r>
        <w:rPr>
          <w:b w:val="0"/>
          <w:sz w:val="18"/>
        </w:rPr>
        <w:t>[7] Medina I and Schmitzer B. Flow updates for domain decomposition of entropic optimal transport. 核对2024预印本摘要。https://arxiv.org/abs/2405.09400</w:t>
      </w:r>
    </w:p>
    <w:p>
      <w:r>
        <w:rPr>
          <w:b w:val="0"/>
          <w:sz w:val="18"/>
        </w:rPr>
        <w:t>[8] POT 官方Sinkhorn实现文档。https://pythonot.github.io/_modules/ot/bregman/_sinkhorn.html</w:t>
      </w:r>
    </w:p>
    <w:p>
      <w:pPr>
        <w:pStyle w:val="Heading2"/>
      </w:pPr>
      <w:r>
        <w:t>项目内可追溯证据</w:t>
      </w:r>
    </w:p>
    <w:p>
      <w:r>
        <w:rPr>
          <w:b w:val="0"/>
        </w:rPr>
        <w:t>以下路径相对于项目文件夹ot_benchmark，完整结果与源码快照保留在对应日期目录。</w:t>
      </w:r>
    </w:p>
    <w:p>
      <w:r>
        <w:rPr>
          <w:b w:val="0"/>
          <w:sz w:val="18"/>
        </w:rPr>
        <w:t>E1 validation/2026-10-07/ 第28轮固定切换与困难案例报告及原始结果。</w:t>
      </w:r>
    </w:p>
    <w:p>
      <w:r>
        <w:rPr>
          <w:b w:val="0"/>
          <w:sz w:val="18"/>
        </w:rPr>
        <w:t>E2 validation/2026-10-08/ 第32轮质量兜底完整流程报告及原始结果。</w:t>
      </w:r>
    </w:p>
    <w:p>
      <w:r>
        <w:rPr>
          <w:b w:val="0"/>
          <w:sz w:val="18"/>
        </w:rPr>
        <w:t>E3 validation/2026-10-09/ 第35至36轮阶段达标及同倍率消融报告。</w:t>
      </w:r>
    </w:p>
    <w:p>
      <w:r>
        <w:rPr>
          <w:b w:val="0"/>
          <w:sz w:val="18"/>
        </w:rPr>
        <w:t>E4 validation/2026-10-09/cooling_boundary_round37/ 及第37轮报告。</w:t>
      </w:r>
    </w:p>
    <w:p>
      <w:r>
        <w:rPr>
          <w:b w:val="0"/>
          <w:sz w:val="18"/>
        </w:rPr>
        <w:t>E5 validation/2026-10-09/best_return_round38/ 及第38轮报告。</w:t>
      </w:r>
    </w:p>
    <w:p>
      <w:r>
        <w:rPr>
          <w:b w:val="0"/>
          <w:sz w:val="18"/>
        </w:rPr>
        <w:t>汇总 research/论文方法贡献证据表.md；测试 validation/2026-10-09/tests_round38.log。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 w:line="283" w:lineRule="auto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83" w:lineRule="auto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宋体" w:hAnsi="宋体" w:eastAsia="黑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最优传输项目研究总结与论文创新路线评估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