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OT项目双方向研究规划与协作任务书</w:t>
      </w:r>
    </w:p>
    <w:p>
      <w:pPr>
        <w:pStyle w:val="Subtitle"/>
      </w:pPr>
      <w:r>
        <w:t>协作讨论与首轮探索安排    2026年10月10日</w:t>
      </w:r>
    </w:p>
    <w:p>
      <w:r>
        <w:t>我们继续以原来的OT评测平台为基础，分两条研究线寻找创新点。建议先推进1A和2A，其他方案先做小规模筛查。以下六条都是待验证的候选；目前还没有证明新算法有效，也没有验证AIGC最终效果提高。</w:t>
      </w:r>
    </w:p>
    <w:p>
      <w:pPr>
        <w:pStyle w:val="Heading2"/>
      </w:pPr>
      <w:r>
        <w:t>项目目标与分工</w:t>
      </w:r>
    </w:p>
    <w:p>
      <w:r>
        <w:t>大创总体目标仍是回答不同数据条件下该选什么算法，以及怎样公平、自动地比较算法。两条研究线从平台发现的问题出发，为项目补充有深度的研究成果，不等于正式修改立项方向。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6336"/>
        <w:gridCol w:w="2592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研究线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研究目标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建议分工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方向1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设计新的OT求解或近似方法，研究精度与时间内存的平衡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合作成员推进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方向2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改造具体应用中的匹配或引导环节，提高最终生成编辑效果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我们继续推进</w:t>
            </w:r>
          </w:p>
        </w:tc>
      </w:tr>
    </w:tbl>
    <w:p>
      <w:pPr>
        <w:spacing w:after="0"/>
      </w:pPr>
    </w:p>
    <w:p>
      <w:pPr>
        <w:pStyle w:val="Heading2"/>
      </w:pPr>
      <w:r>
        <w:t>六条候选与优先级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6336"/>
        <w:gridCol w:w="2592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候选方案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首轮定位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1A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面向分簇数据的簇间慢模态校正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方向1主线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1B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保留必要跨簇通道的自适应稀疏OT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备选筛查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1C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误差预算驱动的因子化计划与局部细化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备选筛查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2A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对象完整性约束的空间关系OT引导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方向2主线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2B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语义区域守恒的参考图风格传输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备选筛查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2C</w:t>
            </w:r>
          </w:p>
        </w:tc>
        <w:tc>
          <w:tcPr>
            <w:tcW w:type="dxa" w:w="63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编辑区域与保留区域分工的OT轨迹引导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备选筛查</w:t>
            </w:r>
          </w:p>
        </w:tc>
      </w:tr>
    </w:tbl>
    <w:p>
      <w:pPr>
        <w:spacing w:after="0"/>
      </w:pPr>
    </w:p>
    <w:p>
      <w:r>
        <w:t>方向2先用成熟求解器，不等待方向1成功。将来接入新求解器时，分别检验应用建模和求解器的贡献。已有“模块A”是成熟算法对照模块，不是新研究方向1，不能直接覆盖。</w:t>
      </w:r>
    </w:p>
    <w:p>
      <w:r>
        <w:rPr>
          <w:sz w:val="20"/>
        </w:rPr>
        <w:t>阅读建议：方向1成员重点看第2页和第5页；方向2重点看第3至5页。两边选中主线后，先补齐最接近3至5篇论文的差异表，再实现最小原型。</w:t>
      </w:r>
    </w:p>
    <w:p>
      <w:r>
        <w:br w:type="page"/>
      </w:r>
    </w:p>
    <w:p>
      <w:pPr>
        <w:pStyle w:val="Heading1"/>
      </w:pPr>
      <w:r>
        <w:t>方向1 新OT算法的三条候选</w:t>
      </w:r>
    </w:p>
    <w:p>
      <w:r>
        <w:t>现有平台已有生成数据、统一运行、质量诊断和结果追溯。在特定1D双簇协议下，成熟基线模块完成432次调用、19项测试；普通Sinkhorn在24/48条件达标，稳定化和正则延续各30/48，按三个重复均通过计。近平衡非零簇间质量差是共同困难，但还不能推广为高维结论。</w:t>
      </w:r>
    </w:p>
    <w:p>
      <w:pPr>
        <w:pStyle w:val="Heading2"/>
      </w:pPr>
      <w:r>
        <w:t>1A 簇间慢模态校正</w:t>
      </w:r>
    </w:p>
    <w:p>
      <w:r>
        <w:rPr>
          <w:b/>
        </w:rPr>
        <w:t xml:space="preserve">核心设想 </w:t>
      </w:r>
      <w:r>
        <w:t>簇内匹配已稳定时，少量跨簇质量可能移动很慢。尝试在固定最终正则参数的对偶空间中，构造簇常数粗空间，求小规模粗校正方向，再做线搜索和细层Sinkhorn更新。需要处理势的平移自由度与近奇异系统。</w:t>
      </w:r>
    </w:p>
    <w:p>
      <w:r>
        <w:rPr>
          <w:b/>
        </w:rPr>
        <w:t xml:space="preserve">区别与对照 </w:t>
      </w:r>
      <w:r>
        <w:t>创新候选是自动识别真正慢的跨簇模式，并由原始目标误差决定校正时机。Sinkhorn加Newton已有工作[2][3]，因此必须比较普通粗初始化、固定周期校正、随机粗空间、SNS或准Newton和正则延续。</w:t>
      </w:r>
    </w:p>
    <w:p>
      <w:r>
        <w:rPr>
          <w:b/>
        </w:rPr>
        <w:t xml:space="preserve">验证与止损 </w:t>
      </w:r>
      <w:r>
        <w:t>历史1D族只用于开发；独立测试改变簇数、质量差、簇内宽度、重叠和初始化，再扩展真实高维特征。在原始成本和相同精度下比较达标时间、可靠性及全部开销。若收益仅来自已知双簇标签，或扰动后消失，降级为机制研究。仍构造完整矩阵时不声称省内存。</w:t>
      </w:r>
    </w:p>
    <w:p>
      <w:pPr>
        <w:pStyle w:val="Heading2"/>
      </w:pPr>
      <w:r>
        <w:t>1B 自适应稀疏OT</w:t>
      </w:r>
    </w:p>
    <w:p>
      <w:r>
        <w:rPr>
          <w:b/>
        </w:rPr>
        <w:t xml:space="preserve">核心设想 </w:t>
      </w:r>
      <w:r>
        <w:t>近邻截断可能删掉很小但必要的跨簇运输。尝试从局部近邻和少量跨簇边开始，用质量缺额、对偶约化成本与遗漏质量界补边，并安排分块全问题审核。</w:t>
      </w:r>
    </w:p>
    <w:p>
      <w:r>
        <w:rPr>
          <w:b/>
        </w:rPr>
        <w:t xml:space="preserve">区别与风险 </w:t>
      </w:r>
      <w:r>
        <w:t>稀疏核、多尺度和块筛选已有[1][9][10]；候选增量在质量可行性与原始误差共同驱动的补边预算。图连通不保证给定边缘质量可行；正熵OT的有限稀疏计划是近似，稀疏子问题的gap不能证明原始问题达标。</w:t>
      </w:r>
    </w:p>
    <w:p>
      <w:r>
        <w:rPr>
          <w:b/>
        </w:rPr>
        <w:t xml:space="preserve">验证与止损 </w:t>
      </w:r>
      <w:r>
        <w:t>比较固定近邻、固定阈值、成熟筛选与多尺度方法。必须计入遗漏边审核、补边、回退的时间和内存；避免先构造完整成本矩阵。若全局审核抵消收益，或边数趋近稠密，则停止。</w:t>
      </w:r>
    </w:p>
    <w:p>
      <w:pPr>
        <w:pStyle w:val="Heading2"/>
      </w:pPr>
      <w:r>
        <w:t>1C 自适应因子化计划与局部细化</w:t>
      </w:r>
    </w:p>
    <w:p>
      <w:r>
        <w:rPr>
          <w:b/>
        </w:rPr>
        <w:t xml:space="preserve">核心设想 </w:t>
      </w:r>
      <w:r>
        <w:t>以真正的低秩运输计划起步，根据剩余误差决定增加全局秩、拆分因子或细化局部结构，保持非负与边缘约束。候选贡献是误差预算下的容量分配规则；固定低秩、低秩加稀疏及层次细化已有[5][6][7]。</w:t>
      </w:r>
    </w:p>
    <w:p>
      <w:r>
        <w:rPr>
          <w:b/>
        </w:rPr>
        <w:t xml:space="preserve">验证与止损 </w:t>
      </w:r>
      <w:r>
        <w:t>对比多档固定秩、单纯增秩与兼容场景下的层次方法，画误差—时间—内存前沿。低秩问题的驻点不等于原始OT全局解。只有成本算子也避免稠密存储、且不重建完整计划，才谈端到端省内存；若只是多试几档秩，保留为平台扩展。</w:t>
      </w:r>
    </w:p>
    <w:p>
      <w:r>
        <w:br w:type="page"/>
      </w:r>
    </w:p>
    <w:p>
      <w:pPr>
        <w:pStyle w:val="Heading1"/>
      </w:pPr>
      <w:r>
        <w:t>方向2 优先尝试空间关系OT引导</w:t>
      </w:r>
    </w:p>
    <w:p>
      <w:pPr>
        <w:pStyle w:val="Heading2"/>
      </w:pPr>
      <w:r>
        <w:t>2A 对象完整性约束的空间关系OT引导</w:t>
      </w:r>
    </w:p>
    <w:p>
      <w:r>
        <w:t>场景是“红猫在蓝狗左边”“小杯子在大桌子上方”等多对象文生图。改动去噪过程中注意力的空间引导，目标是对象都出现、关系与属性正确，同时保持图像质量。该路线主要是已有OT改为任务适配的OT；另设非OT引导对照。</w:t>
      </w:r>
    </w:p>
    <w:p>
      <w:r>
        <w:rPr>
          <w:b/>
        </w:rPr>
        <w:t xml:space="preserve">候选机制 </w:t>
      </w:r>
      <w:r>
        <w:t>使用真正的源—目标位置代价，按对象置信度设置匹配容量。可以不强制迁移不确定背景，但要保留对象存在和有效匹配质量下限，防止非平衡OT通过删除难对象降低损失。最初只改一个OT建模机制，固定生成骨干、噪声和更新预算。</w:t>
      </w:r>
    </w:p>
    <w:p>
      <w:pPr>
        <w:pStyle w:val="Heading2"/>
      </w:pPr>
      <w:r>
        <w:t>先完成STORM的论文代码一致性审计</w:t>
      </w:r>
    </w:p>
    <w:p>
      <w:r>
        <w:t>STORM已经用OT控制空间布局[11]。静态读取其公开pipeline.py发现，一条成本构造路径将同一个行成本重复到所有列。在精确平衡、固定边缘质量下，这类成本不能区分运输匹配路径；而论文补充材料描述了含位置间距离的混合成本。</w:t>
      </w:r>
    </w:p>
    <w:p>
      <w:r>
        <w:t>这是尚待端到端复核的一致性疑点，不代表所有损失项都退化，也不否定论文报告的效果。有限迭代及分母稳定项可能使计划未精确满足边缘约束，不能直接套用精确条件下的结论。</w:t>
      </w:r>
    </w:p>
    <w:p>
      <w:r>
        <w:t>首轮至少比较原版STORM、纯行成本解析对照、论文一致的混合位置成本、稳定化且质量匹配的求解版本，以及候选方法。补齐成本或稳定化属于复现修正；新方案只有超过修正后的强基线，才讨论研究贡献。</w:t>
      </w:r>
    </w:p>
    <w:p>
      <w:pPr>
        <w:pStyle w:val="Heading2"/>
      </w:pPr>
      <w:r>
        <w:t>实验与最终验收</w:t>
      </w:r>
    </w:p>
    <w:p>
      <w:r>
        <w:t>先用同一模型复现STORM、无引导生成和非OT注意力引导。开发40条提示×4个种子，冻结至少200条独立提示×4个种子做初筛；通过后扩展完整官方协议。上述规模是探索建议，不是已经完成的实验。</w:t>
      </w:r>
    </w:p>
    <w:p>
      <w:r>
        <w:rPr>
          <w:b/>
        </w:rPr>
        <w:t xml:space="preserve">主指标 </w:t>
      </w:r>
      <w:r>
        <w:t>最终主指标覆盖全体输出的对象存在与关系正确率，例如VISOR的无条件关系指标；缺对象必须计失败。同时报告属性绑定、复杂组合及T2I-CompBench完整任务分项[18]，保留固定评估器和盲审质量。不能只报内部OT损失或挑选空间子集。</w:t>
      </w:r>
    </w:p>
    <w:p>
      <w:r>
        <w:rPr>
          <w:b/>
        </w:rPr>
        <w:t xml:space="preserve">公平对照 </w:t>
      </w:r>
      <w:r>
        <w:t>分别消融几何成本、对象质量下限、置信度、平衡与非平衡匹配、固定与自适应引导。提供相同梯度步数的非OT质心或布局损失对照；所有方法使用同样的布局信息。</w:t>
      </w:r>
    </w:p>
    <w:p>
      <w:r>
        <w:rPr>
          <w:b/>
        </w:rPr>
        <w:t xml:space="preserve">止损条件 </w:t>
      </w:r>
      <w:r>
        <w:t>若空间分提高但对象存在、属性或质量明显下降；只胜公开代码而不胜论文一致版本；或者优势仅来自更多更新，均不保留为主成果。</w:t>
      </w:r>
    </w:p>
    <w:p>
      <w:r>
        <w:br w:type="page"/>
      </w:r>
    </w:p>
    <w:p>
      <w:pPr>
        <w:pStyle w:val="Heading1"/>
      </w:pPr>
      <w:r>
        <w:t>方向2 两条备选应用路线</w:t>
      </w:r>
    </w:p>
    <w:p>
      <w:pPr>
        <w:pStyle w:val="Heading2"/>
      </w:pPr>
      <w:r>
        <w:t>2B 语义区域守恒的参考图风格传输</w:t>
      </w:r>
    </w:p>
    <w:p>
      <w:r>
        <w:t>任务是只改变衣服、动物或建筑的参考纹理，保留脸、轮廓和背景。可在冻结的Attention Distillation或特征注入环节[12]，将softmax或最近邻匹配改为带语义区域容量及拒配的OT。不同面积、缺失语义区域不强行一一匹配；不可靠匹配保留原内容特征。</w:t>
      </w:r>
    </w:p>
    <w:p>
      <w:r>
        <w:rPr>
          <w:b/>
        </w:rPr>
        <w:t xml:space="preserve">创新边界 </w:t>
      </w:r>
      <w:r>
        <w:t>候选增量是不等面积、不完全重叠区域下的约束与不确定性处理。UOT替代注意力、颜色OT及区域风格控制已有[13][14][15]，不能直接称为新颖。应保留原Q/K尺度和残差结构，先核对匹配接口，而非盲目替换整层注意力。</w:t>
      </w:r>
    </w:p>
    <w:p>
      <w:r>
        <w:rPr>
          <w:b/>
        </w:rPr>
        <w:t xml:space="preserve">最小实验 </w:t>
      </w:r>
      <w:r>
        <w:t>比较原非OT匹配、简单mask门控、平衡OT、普通UOT和候选区域OT，使用同一自动区域估计流程。真值mask仅用于评估，oracle实验单列。开发30组内容—参考—区域组合×3个种子，再冻结至少100组独立组合，防止内容或参考图跨集合泄漏。</w:t>
      </w:r>
    </w:p>
    <w:p>
      <w:r>
        <w:rPr>
          <w:b/>
        </w:rPr>
        <w:t xml:space="preserve">验收与止损 </w:t>
      </w:r>
      <w:r>
        <w:t>主指标是在区域外保护门槛下的区域风格达成；同时报告区域外LPIPS/MSE、身份轮廓和盲审。完全不编辑与修改背景均不能算成功。若与简单mask门控无差异、复制参考对象内容、或最近论文已覆盖机制，则停止。RegionRoute含训练与LoRA，跨系统比较必须单列资源差异。</w:t>
      </w:r>
    </w:p>
    <w:p>
      <w:pPr>
        <w:pStyle w:val="Heading2"/>
      </w:pPr>
      <w:r>
        <w:t>2C 编辑区域与保留区域分工的OT轨迹引导</w:t>
      </w:r>
    </w:p>
    <w:p>
      <w:r>
        <w:t>任务是红车变蓝、给人加眼镜或替换物体，保留非编辑区。可在FlowEdit或Rectified Flow编辑的速度场修正环节[16][17]，显式建立patch或token匹配：保留区强调几何语义一致，编辑区放松对应或允许部分匹配，不确定区降低引导，限制对原更新的扰动。</w:t>
      </w:r>
    </w:p>
    <w:p>
      <w:r>
        <w:rPr>
          <w:b/>
        </w:rPr>
        <w:t xml:space="preserve">创新边界 </w:t>
      </w:r>
      <w:r>
        <w:t>OT-RF已做闭式位移和时间调度引导；所读方法并非离散Sinkhorn层，不能把方案描述为“替换它的Sinkhorn”。加入token级OT是新的建模假设，必须证明对应关系与最终效果有意义，仅加mask或改时间权重不足以说明贡献。</w:t>
      </w:r>
    </w:p>
    <w:p>
      <w:r>
        <w:rPr>
          <w:b/>
        </w:rPr>
        <w:t xml:space="preserve">最小实验 </w:t>
      </w:r>
      <w:r>
        <w:t>比较FlowEdit、OT-RF、同区域信息的mask化OT-RF、简单局部插值、标准平衡或部分OT，以及候选。按PIE-Bench任务类型划分开发测试，先筛查80个独立案例，再扩展完整协议。同骨干、源图、噪声、步数和区域信息配对；评估真值mask不得泄漏到候选。</w:t>
      </w:r>
    </w:p>
    <w:p>
      <w:r>
        <w:rPr>
          <w:b/>
        </w:rPr>
        <w:t xml:space="preserve">验收与止损 </w:t>
      </w:r>
      <w:r>
        <w:t>主指标是背景保护门槛下的编辑达成率，并报告编辑区目标一致性、区域外LPIPS和身份结构。无实际编辑计失败，重建更好不等于编辑成功。若保护背景却压制编辑、与mask基线无差异，或优势来自更强模型而非机制，则停止。</w:t>
      </w:r>
    </w:p>
    <w:p>
      <w:r>
        <w:br w:type="page"/>
      </w:r>
    </w:p>
    <w:p>
      <w:pPr>
        <w:pStyle w:val="Heading1"/>
      </w:pPr>
      <w:r>
        <w:t>共同实验协议与协作安排</w:t>
      </w:r>
    </w:p>
    <w:p>
      <w:pPr>
        <w:pStyle w:val="Heading2"/>
      </w:pPr>
      <w:r>
        <w:t>评测与接口要求</w:t>
      </w:r>
    </w:p>
    <w:p>
      <w:r>
        <w:t>方向1比较相同原始目标、正则参数和质量门槛下的时间、内存与达标率；先试目标间隙1e-6和1e-8两档。方向2预先冻结最终任务主指标、不可牺牲的质量指标和资源预算。OT求得更精确不保证图像更好，内部误差只能解释结果。</w:t>
      </w:r>
    </w:p>
    <w:p>
      <w:r>
        <w:t>所有预处理、聚类、成本构造、求解、审核和回退计入端到端时间。GPU同步计时，CPU与GPU峰值内存分别报告；模型载入、训练和特征缓存另列。未运行、超时、无效、质量失败和成功完整保留，先报达标率，再比较共同达标实例耗时。</w:t>
      </w:r>
    </w:p>
    <w:p>
      <w:r>
        <w:t>开发、验证、测试独立。以提示或图像案例为统计单位，先汇总同案例的随机种子，再按案例做配对bootstrap。全量保存生成图和负例，不以少量图片的FID或精选展示图证明总体提高。</w:t>
      </w:r>
    </w:p>
    <w:p>
      <w:r>
        <w:t>保留原距离标量插件接口，新增可返回计划、因子或映射的研究接口，并记录目标类型、原始成本、正则、势、验收原因、分阶段耗时、内存、种子与配置代码模型哈希。非平衡、部分OT等目标需要自己的验收，不能套平衡EOT诊断。</w:t>
      </w:r>
    </w:p>
    <w:p>
      <w:pPr>
        <w:pStyle w:val="Heading2"/>
      </w:pPr>
      <w:r>
        <w:t>首轮工作安排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032"/>
        <w:gridCol w:w="403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方向1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spacing w:after="0" w:line="259" w:lineRule="auto"/>
              <w:jc w:val="left"/>
            </w:pPr>
            <w:r>
              <w:rPr>
                <w:b/>
                <w:sz w:val="20"/>
              </w:rPr>
              <w:t>方向2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复现审计</w:t>
              <w:br/>
              <w:t>约2至3工作日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读1A近邻全文；重放失败；统一精度强基线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审计STORM；跑通最终指标；检查2B与2C代码数据可用性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最小原型</w:t>
              <w:br/>
              <w:t>约3至5工作日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实现1A最小校正；筛查1B与1C的关键风险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实现2A一个机制；2B与2C各做小样本筛查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正式验证</w:t>
              <w:br/>
              <w:t>实测后排期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保留一条；跨结构规模与真实数据验证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20"/>
              </w:rPr>
              <w:t>保留一个应用；冻结独立测试与完整协议</w:t>
            </w:r>
          </w:p>
        </w:tc>
      </w:tr>
    </w:tbl>
    <w:p>
      <w:pPr>
        <w:spacing w:after="0"/>
      </w:pPr>
    </w:p>
    <w:p>
      <w:r>
        <w:t>上述是工作窗口，不是效果或论文发表保证。正式排期由每实例耗时、方法数、样本数和显存实测确定。每条路线都需要给出支持结果与失败结果；仅内部损失改善的应用方案不进入正式主线。</w:t>
      </w:r>
    </w:p>
    <w:p>
      <w:pPr>
        <w:pStyle w:val="Heading2"/>
      </w:pPr>
      <w:r>
        <w:t>算力与协作交付</w:t>
      </w:r>
    </w:p>
    <w:p>
      <w:r>
        <w:t>算力按RTX 5070 Ti规划，必要时使用云平台。先核对可用显存、驱动、CUDA、权重和模型许可；付费云使用前确认预算。第一版冻结预训练模型，不以大规模训练作为起点。</w:t>
      </w:r>
    </w:p>
    <w:p>
      <w:r>
        <w:t>两个方向使用独立目录、环境、开发测试清单、种子命名空间与分支，保留模块A。方向1建议交付目标与算法定义、可复现代码、统一精度对照、原始记录、失败边界和论文差异表。我们负责方向2实现与最终效果评测，并汇总双方结论；合并前共同复核，避免覆盖对方修改。</w:t>
      </w:r>
    </w:p>
    <w:p>
      <w:r>
        <w:t>目前完成的是方案、文献依据与协作规划。新方案查新、AIGC端到端复现、算法实现和最终得分提高都还待执行。</w:t>
      </w:r>
    </w:p>
    <w:p>
      <w:r>
        <w:br w:type="page"/>
      </w:r>
    </w:p>
    <w:p>
      <w:pPr>
        <w:pStyle w:val="Heading1"/>
      </w:pPr>
      <w:r>
        <w:t>参考论文 OT求解与近似</w:t>
      </w:r>
    </w:p>
    <w:p>
      <w:r>
        <w:rPr>
          <w:sz w:val="20"/>
        </w:rPr>
        <w:t>以下链接来自前期检索与原文或官方页面核验。部分工作只核对了摘要和会议记录，尚未穷尽全文查新；各路线选定后仍需补充最接近论文的算法与假设差异。预印本与已发表论文分别标注。</w:t>
      </w:r>
    </w:p>
    <w:p>
      <w:pPr>
        <w:keepNext/>
      </w:pPr>
      <w:r>
        <w:rPr>
          <w:sz w:val="20"/>
        </w:rPr>
        <w:t>[1] Schmitzer — Stabilized Sparse Scaling Algorithms for Entropy Regularized Transport Problems。SIAM Journal on Scientific Computing 2019；预印本2016。</w:t>
      </w:r>
    </w:p>
    <w:p>
      <w:pPr>
        <w:spacing w:after="180"/>
      </w:pPr>
      <w:r>
        <w:rPr>
          <w:sz w:val="20"/>
        </w:rPr>
        <w:t xml:space="preserve">稳定化、截断、多尺度与正则延续基线；原文及项目原文笔记。 </w:t>
      </w:r>
      <w:hyperlink r:id="rId10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[2] Tang et al. — Accelerating Sinkhorn algorithm with sparse Newton iterations。ICLR 2024。</w:t>
      </w:r>
    </w:p>
    <w:p>
      <w:pPr>
        <w:spacing w:after="180"/>
      </w:pPr>
      <w:r>
        <w:rPr>
          <w:sz w:val="20"/>
        </w:rPr>
        <w:t xml:space="preserve">1A的Newton强近邻；核对会议页面与摘要。 </w:t>
      </w:r>
      <w:hyperlink r:id="rId11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[3] Wang and Qiu — The Sparse-Plus-Low-Rank Quasi-Newton Method for Entropic-Regularized Optimal Transport。ICML 2025。</w:t>
      </w:r>
    </w:p>
    <w:p>
      <w:pPr>
        <w:spacing w:after="180"/>
      </w:pPr>
      <w:r>
        <w:rPr>
          <w:sz w:val="20"/>
        </w:rPr>
        <w:t xml:space="preserve">稀疏加低秩Hessian近似已有；不是低秩运输计划。核对会议页面与摘要。 </w:t>
      </w:r>
      <w:hyperlink r:id="rId12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[4] Qiu — cuRegOT A GPU-Accelerated Solver for Entropic-Regularized Optimal Transport。ICML 2026。</w:t>
      </w:r>
    </w:p>
    <w:p>
      <w:pPr>
        <w:spacing w:after="180"/>
      </w:pPr>
      <w:r>
        <w:rPr>
          <w:sz w:val="20"/>
        </w:rPr>
        <w:t xml:space="preserve">GPU高性能基线；核对会议页面与摘要。 </w:t>
      </w:r>
      <w:hyperlink r:id="rId13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[5] Scetbon Cuturi and Peyré — Low-Rank Sinkhorn Factorization。ICML 2021。</w:t>
      </w:r>
    </w:p>
    <w:p>
      <w:pPr>
        <w:spacing w:after="180"/>
      </w:pPr>
      <w:r>
        <w:rPr>
          <w:sz w:val="20"/>
        </w:rPr>
        <w:t xml:space="preserve">1C真正低秩耦合的基础；核对会议页面与摘要。 </w:t>
      </w:r>
      <w:hyperlink r:id="rId14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[6] Halmos et al. — Hierarchical Refinement Optimal Transport to Infinity and Beyond。ICML 2025。</w:t>
      </w:r>
    </w:p>
    <w:p>
      <w:pPr>
        <w:spacing w:after="180"/>
      </w:pPr>
      <w:r>
        <w:rPr>
          <w:sz w:val="20"/>
        </w:rPr>
        <w:t xml:space="preserve">低秩与层次细化近邻；assignment设定需区别非均匀质量。核对摘要。 </w:t>
      </w:r>
      <w:hyperlink r:id="rId15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[7] Liu et al. — Approximating Optimal Transport via Low-rank and Sparse Factorization。2021预印本。</w:t>
      </w:r>
    </w:p>
    <w:p>
      <w:pPr>
        <w:spacing w:after="180"/>
      </w:pPr>
      <w:r>
        <w:rPr>
          <w:sz w:val="20"/>
        </w:rPr>
        <w:t xml:space="preserve">低秩加稀疏已有；核对作者页与摘要。 </w:t>
      </w:r>
      <w:hyperlink r:id="rId16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[8] Hsieh et al. — SinkSLOT Sinkhorn via Sparse Lifted Optimal Transport。2026年8月28日预印本。</w:t>
      </w:r>
    </w:p>
    <w:p>
      <w:pPr>
        <w:spacing w:after="180"/>
      </w:pPr>
      <w:r>
        <w:rPr>
          <w:sz w:val="20"/>
        </w:rPr>
        <w:t xml:space="preserve">稀疏先验可能改变目标，不按同一EOT证书混排。核对作者页与摘要。 </w:t>
      </w:r>
      <w:hyperlink r:id="rId17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[9] Ye et al. — FlashSinkhorn 2 Block-Sparse Entropic Optimal Transport。2026年10月1日预印本。</w:t>
      </w:r>
    </w:p>
    <w:p>
      <w:pPr>
        <w:spacing w:after="180"/>
      </w:pPr>
      <w:r>
        <w:rPr>
          <w:sz w:val="20"/>
        </w:rPr>
        <w:t xml:space="preserve">1B块筛选最新近邻，尚非同行评审结论。核对作者页与摘要。 </w:t>
      </w:r>
      <w:hyperlink r:id="rId18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[10] GeomLoss — Multiscale Sinkhorn and kernel truncation。官方实现文档。</w:t>
      </w:r>
    </w:p>
    <w:p>
      <w:pPr>
        <w:spacing w:after="180"/>
      </w:pPr>
      <w:r>
        <w:rPr>
          <w:sz w:val="20"/>
        </w:rPr>
        <w:t xml:space="preserve">多尺度与截断基线；比较时统一目标、正则和debias选项。 </w:t>
      </w:r>
      <w:hyperlink r:id="rId19">
        <w:r>
          <w:rPr>
            <w:color w:val="164E79"/>
            <w:sz w:val="20"/>
          </w:rPr>
          <w:t>官方文档</w:t>
        </w:r>
      </w:hyperlink>
    </w:p>
    <w:p>
      <w:r>
        <w:br w:type="page"/>
      </w:r>
    </w:p>
    <w:p>
      <w:pPr>
        <w:pStyle w:val="Heading1"/>
      </w:pPr>
      <w:r>
        <w:t>参考论文 AIGC应用与评测</w:t>
      </w:r>
    </w:p>
    <w:p>
      <w:pPr>
        <w:keepNext/>
      </w:pPr>
      <w:r>
        <w:rPr>
          <w:sz w:val="20"/>
        </w:rPr>
        <w:t>[11] Han et al. — Spatial Transport Optimization by Repositioning Attention Map for Training-Free Text-to-Image Synthesis。CVPR 2025。</w:t>
      </w:r>
    </w:p>
    <w:p>
      <w:pPr>
        <w:spacing w:after="180"/>
      </w:pPr>
      <w:r>
        <w:rPr>
          <w:sz w:val="20"/>
        </w:rPr>
        <w:t xml:space="preserve">STORM是2A强基线；读取方法、附录与官方代码关键路径。 </w:t>
      </w:r>
      <w:hyperlink r:id="rId20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[12] Zhou et al. — Attention Distillation A Unified Approach to Visual Characteristics Transfer。CVPR 2025。</w:t>
      </w:r>
    </w:p>
    <w:p>
      <w:pPr>
        <w:spacing w:after="180"/>
      </w:pPr>
      <w:r>
        <w:rPr>
          <w:sz w:val="20"/>
        </w:rPr>
        <w:t xml:space="preserve">2B非OT参考特征转移基线；核对会议索引与作者项目代码。 </w:t>
      </w:r>
      <w:hyperlink r:id="rId21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[13] Li et al. — Arbitrary style transfer with attentional networks via unbalanced optimal transport。IET Image Processing 2022。</w:t>
      </w:r>
    </w:p>
    <w:p>
      <w:pPr>
        <w:spacing w:after="180"/>
      </w:pPr>
      <w:r>
        <w:rPr>
          <w:sz w:val="20"/>
        </w:rPr>
        <w:t xml:space="preserve">UOT注意力已有，不能作为2B独立新颖性；核对出版社全文3.2与3.3。 </w:t>
      </w:r>
      <w:hyperlink r:id="rId22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[14] Wang et al. — COTA Color-guided optimal transport attention for arbitrary style transfer。Array 31 101197 2026年9月。</w:t>
      </w:r>
    </w:p>
    <w:p>
      <w:pPr>
        <w:spacing w:after="180"/>
      </w:pPr>
      <w:r>
        <w:rPr>
          <w:sz w:val="20"/>
        </w:rPr>
        <w:t xml:space="preserve">颜色OT与门控近邻；核对作者机构记录，尚未全文复核。 </w:t>
      </w:r>
      <w:hyperlink r:id="rId23">
        <w:r>
          <w:rPr>
            <w:color w:val="164E79"/>
            <w:sz w:val="20"/>
          </w:rPr>
          <w:t>作者机构记录</w:t>
        </w:r>
      </w:hyperlink>
    </w:p>
    <w:p>
      <w:pPr>
        <w:keepNext/>
      </w:pPr>
      <w:r>
        <w:rPr>
          <w:sz w:val="20"/>
        </w:rPr>
        <w:t>[15] Chen et al. — RegionRoute Regional Style Transfer with Diffusion Model。CVPR 2026。</w:t>
      </w:r>
    </w:p>
    <w:p>
      <w:pPr>
        <w:spacing w:after="180"/>
      </w:pPr>
      <w:r>
        <w:rPr>
          <w:sz w:val="20"/>
        </w:rPr>
        <w:t xml:space="preserve">区域风格强近邻；读取作者原文方法与指标。 </w:t>
      </w:r>
      <w:hyperlink r:id="rId24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[16] Kulikov et al. — FlowEdit Inversion-Free Text-Based Editing Using Pre-Trained Flow Models。ICCV 2025。</w:t>
      </w:r>
    </w:p>
    <w:p>
      <w:pPr>
        <w:spacing w:after="180"/>
      </w:pPr>
      <w:r>
        <w:rPr>
          <w:sz w:val="20"/>
        </w:rPr>
        <w:t xml:space="preserve">2C非OT编辑强基线；核对会议索引与官方代码。 </w:t>
      </w:r>
      <w:hyperlink r:id="rId25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[17] Lupaşcu and Stupariu — Optimal Transport for Rectified Flow Image Editing Unifying Inversion-Based and Direct Methods。WACV 2026。</w:t>
      </w:r>
    </w:p>
    <w:p>
      <w:pPr>
        <w:spacing w:after="180"/>
      </w:pPr>
      <w:r>
        <w:rPr>
          <w:sz w:val="20"/>
        </w:rPr>
        <w:t xml:space="preserve">OT-RF已做轨迹引导；读取作者原文3.3至3.5与算法。 </w:t>
      </w:r>
      <w:hyperlink r:id="rId26">
        <w:r>
          <w:rPr>
            <w:color w:val="164E79"/>
            <w:sz w:val="20"/>
          </w:rPr>
          <w:t>论文或官方页面</w:t>
        </w:r>
      </w:hyperlink>
    </w:p>
    <w:p>
      <w:pPr>
        <w:keepNext/>
      </w:pPr>
      <w:r>
        <w:rPr>
          <w:sz w:val="20"/>
        </w:rPr>
        <w:t>[18] Huang et al. — T2I-CompBench A Comprehensive Benchmark for Open-world Compositional Text-to-image Generation。NeurIPS 2023 Datasets and Benchmarks。</w:t>
      </w:r>
    </w:p>
    <w:p>
      <w:pPr>
        <w:spacing w:after="180"/>
      </w:pPr>
      <w:r>
        <w:rPr>
          <w:sz w:val="20"/>
        </w:rPr>
        <w:t xml:space="preserve">最终图像组合任务评测；核对官方会议页面。 </w:t>
      </w:r>
      <w:hyperlink r:id="rId27">
        <w:r>
          <w:rPr>
            <w:color w:val="164E79"/>
            <w:sz w:val="20"/>
          </w:rPr>
          <w:t>论文或官方页面</w:t>
        </w:r>
      </w:hyperlink>
    </w:p>
    <w:p>
      <w:pPr>
        <w:pStyle w:val="Heading2"/>
      </w:pPr>
      <w:r>
        <w:t>代码与数据入口</w:t>
      </w:r>
    </w:p>
    <w:p>
      <w:pPr>
        <w:spacing w:after="40"/>
      </w:pPr>
      <w:hyperlink r:id="rId28">
        <w:r>
          <w:rPr>
            <w:color w:val="164E79"/>
            <w:sz w:val="20"/>
          </w:rPr>
          <w:t>OT项目仓库</w:t>
        </w:r>
      </w:hyperlink>
    </w:p>
    <w:p>
      <w:pPr>
        <w:spacing w:after="40"/>
      </w:pPr>
      <w:hyperlink r:id="rId29">
        <w:r>
          <w:rPr>
            <w:color w:val="164E79"/>
            <w:sz w:val="20"/>
          </w:rPr>
          <w:t>STORM官方代码</w:t>
        </w:r>
      </w:hyperlink>
    </w:p>
    <w:p>
      <w:pPr>
        <w:spacing w:after="40"/>
      </w:pPr>
      <w:hyperlink r:id="rId30">
        <w:r>
          <w:rPr>
            <w:color w:val="164E79"/>
            <w:sz w:val="20"/>
          </w:rPr>
          <w:t>Attention Distillation官方代码</w:t>
        </w:r>
      </w:hyperlink>
    </w:p>
    <w:p>
      <w:pPr>
        <w:spacing w:after="40"/>
      </w:pPr>
      <w:hyperlink r:id="rId31">
        <w:r>
          <w:rPr>
            <w:color w:val="164E79"/>
            <w:sz w:val="20"/>
          </w:rPr>
          <w:t>RegionRoute官方代码</w:t>
        </w:r>
      </w:hyperlink>
    </w:p>
    <w:p>
      <w:pPr>
        <w:spacing w:after="40"/>
      </w:pPr>
      <w:hyperlink r:id="rId32">
        <w:r>
          <w:rPr>
            <w:color w:val="164E79"/>
            <w:sz w:val="20"/>
          </w:rPr>
          <w:t>FlowEdit官方代码</w:t>
        </w:r>
      </w:hyperlink>
    </w:p>
    <w:p>
      <w:pPr>
        <w:spacing w:after="40"/>
      </w:pPr>
      <w:hyperlink r:id="rId33">
        <w:r>
          <w:rPr>
            <w:color w:val="164E79"/>
            <w:sz w:val="20"/>
          </w:rPr>
          <w:t>T2I-CompBench官方代码</w:t>
        </w:r>
      </w:hyperlink>
    </w:p>
    <w:p>
      <w:pPr>
        <w:spacing w:after="40"/>
      </w:pPr>
      <w:hyperlink r:id="rId34">
        <w:r>
          <w:rPr>
            <w:color w:val="164E79"/>
            <w:sz w:val="20"/>
          </w:rPr>
          <w:t>PIE-Bench数据入口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1610.06519" TargetMode="External"/><Relationship Id="rId11" Type="http://schemas.openxmlformats.org/officeDocument/2006/relationships/hyperlink" Target="https://proceedings.iclr.cc/paper_files/paper/2024/hash/3a819a53408e20b75d1954bf617ccc0a-Abstract-Conference.html" TargetMode="External"/><Relationship Id="rId12" Type="http://schemas.openxmlformats.org/officeDocument/2006/relationships/hyperlink" Target="https://proceedings.mlr.press/v267/wang25ck.html" TargetMode="External"/><Relationship Id="rId13" Type="http://schemas.openxmlformats.org/officeDocument/2006/relationships/hyperlink" Target="https://proceedings.mlr.press/v306/qiu26y.html" TargetMode="External"/><Relationship Id="rId14" Type="http://schemas.openxmlformats.org/officeDocument/2006/relationships/hyperlink" Target="https://proceedings.mlr.press/v139/scetbon21a.html" TargetMode="External"/><Relationship Id="rId15" Type="http://schemas.openxmlformats.org/officeDocument/2006/relationships/hyperlink" Target="https://proceedings.mlr.press/v267/halmos25a.html" TargetMode="External"/><Relationship Id="rId16" Type="http://schemas.openxmlformats.org/officeDocument/2006/relationships/hyperlink" Target="https://arxiv.org/abs/2111.06546" TargetMode="External"/><Relationship Id="rId17" Type="http://schemas.openxmlformats.org/officeDocument/2006/relationships/hyperlink" Target="https://arxiv.org/abs/2608.28262" TargetMode="External"/><Relationship Id="rId18" Type="http://schemas.openxmlformats.org/officeDocument/2006/relationships/hyperlink" Target="https://arxiv.org/abs/2610.02395" TargetMode="External"/><Relationship Id="rId19" Type="http://schemas.openxmlformats.org/officeDocument/2006/relationships/hyperlink" Target="https://www.kernel-operations.io/geomloss/_auto_examples/sinkhorn_multiscale/plot_kernel_truncation.html" TargetMode="External"/><Relationship Id="rId20" Type="http://schemas.openxmlformats.org/officeDocument/2006/relationships/hyperlink" Target="https://arxiv.org/html/2503.22168v1" TargetMode="External"/><Relationship Id="rId21" Type="http://schemas.openxmlformats.org/officeDocument/2006/relationships/hyperlink" Target="https://arxiv.org/abs/2502.20235" TargetMode="External"/><Relationship Id="rId22" Type="http://schemas.openxmlformats.org/officeDocument/2006/relationships/hyperlink" Target="https://ietresearch.onlinelibrary.wiley.com/doi/full/10.1049/ipr2.12403" TargetMode="External"/><Relationship Id="rId23" Type="http://schemas.openxmlformats.org/officeDocument/2006/relationships/hyperlink" Target="https://researchoutput.csu.edu.au/en/publications/cota-color-guided-optimal-transport-attention-for-arbitrary-style/" TargetMode="External"/><Relationship Id="rId24" Type="http://schemas.openxmlformats.org/officeDocument/2006/relationships/hyperlink" Target="https://arxiv.org/html/2602.19254v1" TargetMode="External"/><Relationship Id="rId25" Type="http://schemas.openxmlformats.org/officeDocument/2006/relationships/hyperlink" Target="https://openaccess.thecvf.com/content/ICCV2025/html/Kulikov_FlowEdit_Inversion-Free_Text-Based_Editing_Using_Pre-Trained_Flow_Models_ICCV_2025_paper.html" TargetMode="External"/><Relationship Id="rId26" Type="http://schemas.openxmlformats.org/officeDocument/2006/relationships/hyperlink" Target="https://arxiv.org/html/2508.02363v2" TargetMode="External"/><Relationship Id="rId27" Type="http://schemas.openxmlformats.org/officeDocument/2006/relationships/hyperlink" Target="https://papers.neurips.cc/paper_files/paper/2023/hash/f8ad010cdd9143dbb0e9308c093aff24-Abstract-Datasets_and_Benchmarks.html" TargetMode="External"/><Relationship Id="rId28" Type="http://schemas.openxmlformats.org/officeDocument/2006/relationships/hyperlink" Target="https://github.com/iJay0928/ot-benchmark-" TargetMode="External"/><Relationship Id="rId29" Type="http://schemas.openxmlformats.org/officeDocument/2006/relationships/hyperlink" Target="https://github.com/MICV-yonsei/STORM" TargetMode="External"/><Relationship Id="rId30" Type="http://schemas.openxmlformats.org/officeDocument/2006/relationships/hyperlink" Target="https://github.com/xugao97/AttentionDistillation" TargetMode="External"/><Relationship Id="rId31" Type="http://schemas.openxmlformats.org/officeDocument/2006/relationships/hyperlink" Target="https://github.com/bwchen05/RegionRoute" TargetMode="External"/><Relationship Id="rId32" Type="http://schemas.openxmlformats.org/officeDocument/2006/relationships/hyperlink" Target="https://github.com/fallenshock/FlowEdit" TargetMode="External"/><Relationship Id="rId33" Type="http://schemas.openxmlformats.org/officeDocument/2006/relationships/hyperlink" Target="https://github.com/Karine-Huang/T2I-CompBench" TargetMode="External"/><Relationship Id="rId34" Type="http://schemas.openxmlformats.org/officeDocument/2006/relationships/hyperlink" Target="https://github.com/cure-lab/PnPInver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OT项目双方向研究规划与协作任务书</dc:title>
  <dc:subject>OT算法研究与AIGC应用研究的候选方案和并行协作</dc:subject>
  <dc:creator>项目组</dc:creator>
  <cp:keywords>最优传输 OT AIGC 评测 研究规划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