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4AC4C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pacing w:val="8"/>
          <w:sz w:val="28"/>
          <w:szCs w:val="28"/>
        </w:rPr>
        <w:t xml:space="preserve">ESTÁNDAR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Programa Flagship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De usuario funcional a Consultor BI en 8 semanas.</w:t>
      </w:r>
    </w:p>
    <w:p>
      <w:pPr>
        <w:pBdr>
          <w:bottom w:val="single" w:color="D4AC4C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8 sesiones  ·  16 horas  ·  1 a 1 online (Zoom / Meet)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D4AC4C"/>
          <w:sz w:val="24"/>
          <w:szCs w:val="24"/>
        </w:rPr>
        <w:t xml:space="preserve">$8,500 MXN  ·  aprox. $470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D4AC4C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programa más completo: arquitectura BI 2026, DAX avanzado, Calculation Groups, optimización con DAX Studio + Tabular Editor, Power BI Service con RLS, y un dashboard real publicado con tus datos.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(Zoom / Meet)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horas (8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sesiones, 1 vez por semana, durante 8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$8,500 MXN  ·  aprox. $470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(5% descuento) o 2 partes sin recargo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días de soporte WhatsApp + revisión de 1 dashboard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2 sientes que esto no es para ti, te devuelvo el 100% del pago.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modelo dimensional en estrella optimizado con cardinalidades correctas.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Modelo &lt; 1 GB en memoria, refresh &lt; 90s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Escribir medidas DAX avanzadas (CALCULATE, iteradores, time intelligence) sin Google.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20+ medidas reusables documentadas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Optimizar reportes lentos a &lt; 3s con Performance Analyzer y DAX Studio.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Reducción ≥ 60% vs base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dashboard ejecutivo con storytelling visual.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Score UX ≥ 8/10 en checklist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Publicar en Power BI Service con RLS, dataflows y deployment pipelines.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Dashboard productivo con RLS validado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Automatizar refresh y alertas con Subscriptions de Power BI / Power BI Subscriptions.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1 flujo de alertas activo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portafolio público con 1 dashboard demo.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URL pública en LinkedIn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Arquitectura BI 2026 + Power Query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Mindset de arquitectura BI moderna y dominio de Power Query reproducible.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Dimensional + Calendario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modelos en estrella optimizados con cardinalidades correctas.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Contextos, CALCULATE,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contexto de filtro, contexto de fila y CALCULATE.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Calculation Groups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arsenal temporal y eliminar duplicación con Calculation Groups.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Visualización Ejecutiva + UX/UI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 dashboards "bonitos" a dashboards que el CEO entiende en 5 segundos.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con DAX Studio + Tabular Editor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reportes lentos en reportes &lt; 3s con herramientas profesionales.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Service: RLS, Dataflows, Pipelines, REST API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Llevar el dashboard del Desktop al Service de manera profesional.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Avanzado + Portafolio + Cierre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features avanzadas del Service (Apps, Subscriptions, Data Alerts, Sensitivity Labels, Usage Metrics) y cerrar con tu portafolio público.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Arquitectura BI 2026 + Power Query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Mindset de arquitectura BI moderna y dominio de Power Query reproducible.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Pirámide BI: dato → modelo → métrica → narrativa → decisión.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Carpetas Origen / Staging / Producción dentro de Power 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y reutilizables.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Manejo de errores, replace de nulos, merges robustos.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Project (.pbip) + Git desde el día 1.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Versiona el .pbip con Git desde el día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Plantilla .pbit con queries staging + funciones M reutilizables.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Modelado Dimensional + Calendario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modelos en estrella optimizados con cardinalidades correctas.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Star vs snowflake: cuándo cada uno.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Cardinalidades 1:*, *:* y direccionalidad: reglas de oro.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completa con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Role-playing dimensions y USERELATIONSHIP.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alta cardinalidad = enemigo.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tabla calendario explícitamente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Carpetas "_Medidas", "_KPIs" (subrayado al inicio para que aparezcan arriba).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Vista de modelo horizontal: hechos al centro, dimensiones alrededor.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calendario +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 — Contextos, CALCULATE,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contexto de filtro, contexto de fila y CALCULATE.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 y modificadores de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RETURN. Patrones de % participación, ranking, top 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"todo el modelo" usa REMOVEFILTERS, no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una medida funciona pero no entiendes — revisa contexto antes de seguir.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10 medidas DAX documentadas con caso de uso.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DAX II — Time Intelligence + Calculation Groups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arsenal temporal y eliminar duplicación con Calculation Groups.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Field Parameters y Visual Calculations 2024+.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Calculation Groups requieren Tabular Editor (incluido).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IsAvailableInMDX = false en columnas no usadas → menos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Field Parameters reemplazan 6 visuales por 1 con selector.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el Calculation Group con un emoji al inicio (★ Tiempo).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Visual Calculations IDEALES para running totals que cuestan caro en DAX.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Calculation Group + Field Parameter + visual con selector dinámico.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5 — Visualización Ejecutiva + UX/UI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 dashboards "bonitos" a dashboards que el CEO entiende en 5 segundos.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Eliminar chartjunk: ejes, líneas, sombras.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Selection panel + drill-through.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Tooltips personalizados con páginas tooltip.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Plantilla de tema JSON corporativo (incluida).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ocultas.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Smart Narrative solo para borrador, nunca producción.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máximo 5 KPIs visibles a primera vista.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Página ejecutiva con tema corporativo + 3 bookmarks + drill-through.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6 — Optimización con DAX Studio + Tabular Editor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reportes lentos en reportes &lt; 3s con herramientas profesionales.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Performance Analyzer: leer Visual + DAX + Other.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DAX Studio: View Metrics, Server Timings, Query Plan.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vs FE: dónde está el cuello.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Best Practice Analyzer (BPA) en Tabular Editor.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ALM Toolkit: comparar modelos como Git diff.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Ctrl+E en DAX Studio para limpiar caché entre tests.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Medida &gt; 500ms → revisa FILTER innecesario.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Columnas calculadas → migra a Power Query (mejor compresión).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Bidirectional filter solo cuando NO hay otra opción.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BPA Script "Remove unused columns" libera memoria automáticamente.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Reporte 60% más rápido + tabla comparativa antes/después + BPA limpio.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7 — Power BI Service: RLS, Dataflows, Pipelines, REST API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Llevar el dashboard del Desktop al Service de manera profesional.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Workspaces, apps, permisos por rol.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Row-Level Security (RLS) dinámico con USERPRINCIPALNAME().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Dataflows Gen2: ETL centralizado.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Pipelines: DEV → TEST → PROD.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REST API: refresh, listas,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.pbip + Git: versionado real.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RLS dinámico con tabla bridge Usuarios → Filtros — escala mejor.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REST API → triggers de refresh y exports desde Service Principal.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Pipelines vía API → CI/CD con GitHub Actions viable.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.pbip + TMDL = los pull requests al modelo se leen como código.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Workspace productivo con RLS + dataflow + pipeline DEV/TEST/PROD.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8 — Power BI Service Avanzado + Portafolio + Cierre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features avanzadas del Service (Apps, Subscriptions, Data Alerts, Sensitivity Labels, Usage Metrics) y cerrar con tu portafolio público.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Apps: distribución profesional a usuarios finales.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Subscriptions y Data Alerts nativas.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Sensitivity Labels y Microsoft Information Protection.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Usage Metrics y análisis de adopción del workspace.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Construcción del portafolio público en LinkedIn.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monetización Power BI 90 días.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Apps siempre que distribuyas a 5+ personas. Mejor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 Alerts solo viven en Dashboards (tiles), no en visuales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Sensitivity Labels heredan al exportar (PDF/Excel mantienen cifrado).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Usage Metrics &gt; 90 días sin acceso = candidato a archivar.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LinkedIn pesa 5× un certificado.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1 App publicada + 1 Subscription + 1 Data Alert + 1 dashboard demo público en LinkedIn.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Desde la sesión 4 trabajamos sobre los datos reales del alumno. El proyecto final es un dashboard ejecutivo publicado en Power BI Service que el alumno puede usar de inmediato en su empresa o portafolio.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 final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con diagrama (.png).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Mínimo 15 medidas DAX con descripción.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 página ejecutiva + 1 página de detalle + 1 página de drill-through.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corporativo personalizado (.json).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publicado con RLS funcional y refresh automático.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técnico de 1 página con arquitectura y supuestos.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Versión .pbip en repo Git privado o público.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Subscriptions de Power BI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Incluido en M365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30 días de soporte WhatsApp + revisión de 1 dashboard.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50 hacks se entrega impresa al alumno y representa el valor condensado de años de trabajo en producción.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Reemplaza errores con null al inicio del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Parametriza la ruta de archivos para que el .pbix sea portable.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Table.Buffer() solo si vas a mergear N veces la misma tabla.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Anota cada paso renombrando 'Removed Columns' → '#Eliminar columnas técnicas'.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(11-20)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Cardinalidades 1:* siempre que puedas.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Direccionalidad simple, no bidireccional, salvo bridge tables.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Mide tu modelo con DAX Studio → View Metrics.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Reduce columnas con alta cardinalidad (separar en 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Crea una tabla 'Medidas' vacía para agruparlas todas.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(21-32)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27. </w:t>
      </w:r>
      <w:r>
        <w:rPr>
          <w:rFonts w:ascii="Calibri" w:cs="Calibri" w:eastAsia="Calibri" w:hAnsi="Calibri"/>
          <w:sz w:val="22"/>
          <w:szCs w:val="22"/>
        </w:rPr>
        <w:t xml:space="preserve">Field Parameters: deja que el usuario elija dimensión Y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28. </w:t>
      </w:r>
      <w:r>
        <w:rPr>
          <w:rFonts w:ascii="Calibri" w:cs="Calibri" w:eastAsia="Calibri" w:hAnsi="Calibri"/>
          <w:sz w:val="22"/>
          <w:szCs w:val="22"/>
        </w:rPr>
        <w:t xml:space="preserve">Time Intelligence: TOTALYTD requiere tabla calendario marcada.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29. </w:t>
      </w:r>
      <w:r>
        <w:rPr>
          <w:rFonts w:ascii="Calibri" w:cs="Calibri" w:eastAsia="Calibri" w:hAnsi="Calibri"/>
          <w:sz w:val="22"/>
          <w:szCs w:val="22"/>
        </w:rPr>
        <w:t xml:space="preserve">RANKX con DENSE para rankings sin saltos.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30. </w:t>
      </w:r>
      <w:r>
        <w:rPr>
          <w:rFonts w:ascii="Calibri" w:cs="Calibri" w:eastAsia="Calibri" w:hAnsi="Calibri"/>
          <w:sz w:val="22"/>
          <w:szCs w:val="22"/>
        </w:rPr>
        <w:t xml:space="preserve">COALESCE() en lugar de IF(ISBLANK(...), 0, 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31. </w:t>
      </w:r>
      <w:r>
        <w:rPr>
          <w:rFonts w:ascii="Calibri" w:cs="Calibri" w:eastAsia="Calibri" w:hAnsi="Calibri"/>
          <w:sz w:val="22"/>
          <w:szCs w:val="22"/>
        </w:rPr>
        <w:t xml:space="preserve">Visual Calculations para running totals.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32. </w:t>
      </w:r>
      <w:r>
        <w:rPr>
          <w:rFonts w:ascii="Calibri" w:cs="Calibri" w:eastAsia="Calibri" w:hAnsi="Calibri"/>
          <w:sz w:val="22"/>
          <w:szCs w:val="22"/>
        </w:rPr>
        <w:t xml:space="preserve">Documenta cada medida en el campo Description.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Visualización &amp; UX (33-40)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33.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34.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35.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— no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36. </w:t>
      </w:r>
      <w:r>
        <w:rPr>
          <w:rFonts w:ascii="Calibri" w:cs="Calibri" w:eastAsia="Calibri" w:hAnsi="Calibri"/>
          <w:sz w:val="22"/>
          <w:szCs w:val="22"/>
        </w:rPr>
        <w:t xml:space="preserve">Bookmarks asignados a botones con etiquetas claras.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37. </w:t>
      </w:r>
      <w:r>
        <w:rPr>
          <w:rFonts w:ascii="Calibri" w:cs="Calibri" w:eastAsia="Calibri" w:hAnsi="Calibri"/>
          <w:sz w:val="22"/>
          <w:szCs w:val="22"/>
        </w:rPr>
        <w:t xml:space="preserve">Drill-through bidireccional cuando el negocio lo justifica.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38. </w:t>
      </w:r>
      <w:r>
        <w:rPr>
          <w:rFonts w:ascii="Calibri" w:cs="Calibri" w:eastAsia="Calibri" w:hAnsi="Calibri"/>
          <w:sz w:val="22"/>
          <w:szCs w:val="22"/>
        </w:rPr>
        <w:t xml:space="preserve">Tema JSON corporativo — no uses default Power BI nunca.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39. </w:t>
      </w:r>
      <w:r>
        <w:rPr>
          <w:rFonts w:ascii="Calibri" w:cs="Calibri" w:eastAsia="Calibri" w:hAnsi="Calibri"/>
          <w:sz w:val="22"/>
          <w:szCs w:val="22"/>
        </w:rPr>
        <w:t xml:space="preserve">Custom visuals AppSource: revisa rating + última actualización.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40. </w:t>
      </w:r>
      <w:r>
        <w:rPr>
          <w:rFonts w:ascii="Calibri" w:cs="Calibri" w:eastAsia="Calibri" w:hAnsi="Calibri"/>
          <w:sz w:val="22"/>
          <w:szCs w:val="22"/>
        </w:rPr>
        <w:t xml:space="preserve">Page background con gradiente sutil para dar profundidad.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Service &amp; Automatización (41-50)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41.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42.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43. </w:t>
      </w:r>
      <w:r>
        <w:rPr>
          <w:rFonts w:ascii="Calibri" w:cs="Calibri" w:eastAsia="Calibri" w:hAnsi="Calibri"/>
          <w:sz w:val="22"/>
          <w:szCs w:val="22"/>
        </w:rPr>
        <w:t xml:space="preserve">Deployment Pipelines + REST API + GitHub Actions = CI/CD real.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44. </w:t>
      </w:r>
      <w:r>
        <w:rPr>
          <w:rFonts w:ascii="Calibri" w:cs="Calibri" w:eastAsia="Calibri" w:hAnsi="Calibri"/>
          <w:sz w:val="22"/>
          <w:szCs w:val="22"/>
        </w:rPr>
        <w:t xml:space="preserve">.pbip + TMDL: los PRs al modelo se leen como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45. </w:t>
      </w:r>
      <w:r>
        <w:rPr>
          <w:rFonts w:ascii="Calibri" w:cs="Calibri" w:eastAsia="Calibri" w:hAnsi="Calibri"/>
          <w:sz w:val="22"/>
          <w:szCs w:val="22"/>
        </w:rPr>
        <w:t xml:space="preserve">Premium Capacity mode (Power BI Premium):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46.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47. </w:t>
      </w:r>
      <w:r>
        <w:rPr>
          <w:rFonts w:ascii="Calibri" w:cs="Calibri" w:eastAsia="Calibri" w:hAnsi="Calibri"/>
          <w:sz w:val="22"/>
          <w:szCs w:val="22"/>
        </w:rPr>
        <w:t xml:space="preserve">Subscriptions de Power BI: 'Run a query against a dataset' para alertas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48. </w:t>
      </w:r>
      <w:r>
        <w:rPr>
          <w:rFonts w:ascii="Calibri" w:cs="Calibri" w:eastAsia="Calibri" w:hAnsi="Calibri"/>
          <w:sz w:val="22"/>
          <w:szCs w:val="22"/>
        </w:rPr>
        <w:t xml:space="preserve">Power BI Subscriptions + Webhook = orquestación open-source flexible.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49. </w:t>
      </w:r>
      <w:r>
        <w:rPr>
          <w:rFonts w:ascii="Calibri" w:cs="Calibri" w:eastAsia="Calibri" w:hAnsi="Calibri"/>
          <w:sz w:val="22"/>
          <w:szCs w:val="22"/>
        </w:rPr>
        <w:t xml:space="preserve">Semantic Link en notebooks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50. </w:t>
      </w:r>
      <w:r>
        <w:rPr>
          <w:rFonts w:ascii="Calibri" w:cs="Calibri" w:eastAsia="Calibri" w:hAnsi="Calibri"/>
          <w:sz w:val="22"/>
          <w:szCs w:val="22"/>
        </w:rPr>
        <w:t xml:space="preserve">Capacidades dedicadas (P1/F2+): permite Premium Capacity.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completa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hecho + 4 dimensiones + calendario.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30 Medidas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Documentadas con caso de uso.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.dax / 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 Tiempo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YTD, MTD, YoY, MoM, vs Target listos.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.bim / TE script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editable con paleta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KPIs Ejecutivos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KPIs + tendencia + ranking.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Script Tabular Editor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BPA + 'Remove unused columns'.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.cs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Documentación Cliente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1-pager técnico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.docx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patrones DAX en producción.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ejemplo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Estructura .pbip + TMDL + GitHub Actions.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Bonus: Flow Power BI Subscriptions Lead → CRM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Captura leads y registra en Notion.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JSON Power BI Subscriptions</w:t>
            </w:r>
          </w:p>
        </w:tc>
      </w:tr>
    </w:tbl>
    <w:p>
      <w:pPr>
        <w:spacing w:before="600"/>
      </w:pPr>
    </w:p>
    <w:p>
      <w:pPr>
        <w:pBdr>
          <w:top w:val="single" w:color="D4AC4C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D4AC4C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Flagship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Programa Flagship — Plan de Trabajo</dc:title>
  <dc:creator>2BI</dc:creator>
  <dc:description>Plan de trabajo del programa 2BI ESTÁNDAR</dc:description>
  <cp:lastModifiedBy>Un-named</cp:lastModifiedBy>
  <cp:revision>1</cp:revision>
  <dcterms:created xsi:type="dcterms:W3CDTF">2026-05-08T04:07:06.885Z</dcterms:created>
  <dcterms:modified xsi:type="dcterms:W3CDTF">2026-05-08T04:07:06.885Z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