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4AC4C" w:sz="32" w:space="0"/>
        </w:pBdr>
        <w:spacing w:after="0" w:before="0"/>
      </w:pPr>
      <w:r>
        <w:rPr>
          <w:sz w:val="8"/>
          <w:szCs w:val="8"/>
        </w:rPr>
        <w:t xml:space="preserve"> </w:t>
      </w:r>
    </w:p>
    <w:p>
      <w:pPr>
        <w:spacing w:before="800"/>
      </w:pPr>
    </w:p>
    <w:p>
      <w:pPr>
        <w:spacing w:after="400"/>
        <w:jc w:val="center"/>
      </w:pPr>
      <w:r>
        <w:drawing>
          <wp:inline distT="0" distB="0" distL="0" distR="0">
            <wp:extent cx="2667000" cy="885825"/>
            <wp:effectExtent t="0" r="0" b="0" l="0"/>
            <wp:docPr id="1" name="logo2BI" descr="Logo 2BI Business Intelligence Studio" title="2B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4AC4C"/>
          <w:spacing w:val="8"/>
          <w:sz w:val="28"/>
          <w:szCs w:val="28"/>
        </w:rPr>
        <w:t xml:space="preserve">ESTÁNDAR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z w:val="56"/>
          <w:szCs w:val="56"/>
        </w:rPr>
        <w:t xml:space="preserve">Programa Flagship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2D3748"/>
          <w:sz w:val="26"/>
          <w:szCs w:val="26"/>
        </w:rPr>
        <w:t xml:space="preserve">De usuario funcional a Consultor BI en 8 semanas.</w:t>
      </w:r>
    </w:p>
    <w:p>
      <w:pPr>
        <w:pBdr>
          <w:bottom w:val="single" w:color="D4AC4C" w:sz="18" w:space="8"/>
        </w:pBdr>
        <w:spacing w:after="200"/>
        <w:jc w:val="center"/>
      </w:pPr>
      <w:r>
        <w:rPr>
          <w:rFonts w:ascii="Calibri" w:cs="Calibri" w:eastAsia="Calibri" w:hAnsi="Calibri"/>
          <w:b/>
          <w:bCs/>
          <w:color w:val="0F1B2D"/>
          <w:spacing w:val="4"/>
          <w:sz w:val="22"/>
          <w:szCs w:val="22"/>
        </w:rPr>
        <w:t xml:space="preserve">PLAN DE TRABAJO  ·  CURRÍCULO  ·  ENTREGABLES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8 sesiones  ·  16 horas  ·  1 a 1 online (Zoom / Meet)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D4AC4C"/>
          <w:sz w:val="24"/>
          <w:szCs w:val="24"/>
        </w:rPr>
        <w:t xml:space="preserve">$8,500 MXN  ·  aprox. $470 USD</w:t>
      </w:r>
    </w:p>
    <w:p>
      <w:pPr>
        <w:spacing w:before="140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2BI  ·  Business Intelligence Studio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D4AC4C"/>
          <w:sz w:val="18"/>
          <w:szCs w:val="18"/>
        </w:rPr>
        <w:t xml:space="preserve">Inteligencia que multiplica tu negocio.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718096"/>
          <w:sz w:val="16"/>
          <w:szCs w:val="16"/>
        </w:rPr>
        <w:t xml:space="preserve">Documento confidencial · v1.0 · 2026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1. Resumen Ejecutivo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programa más completo: arquitectura BI 2026, DAX avanzado, Calculation Groups, optimización con DAX Studio + Tabular Editor, Power BI Service con RLS, y un dashboard real publicado con tus datos.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Ficha Técnica del Programa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Modalidad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a 1 online (Zoom / Meet)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Duración total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16 horas (8 sesiones de 2 horas)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Calendario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8 sesiones, 1 vez por semana, durante 8 semanas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Inversión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$8,500 MXN  ·  aprox. $470 USD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Pago en 1 exhibición (5% descuento) o 2 partes sin recargo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Mentoría post-curso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 días de soporte WhatsApp + revisión de 1 dashboard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Proyecto final con datos del alumno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Sí, incluido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Garantía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Si después de la sesión 2 sientes que esto no es para ti, te devuelvo el 100% del pago.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Idioma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Español (material en español; comandos y herramientas en inglés)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Stack requerido</w:t>
            </w:r>
          </w:p>
        </w:tc>
        <w:tc>
          <w:tcPr>
            <w:tcW w:type="dxa" w:w="63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Power BI Desktop (gratis) + cuenta gratuita Power BI Service</w:t>
            </w:r>
          </w:p>
        </w:tc>
      </w:tr>
    </w:tbl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2. Objetivos del Programa (SMART)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objetivo es Específico, Medible, Alcanzable, Relevante y Temporalmente acotado al cierre del programa.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800"/>
        <w:gridCol w:w="2960"/>
      </w:tblGrid>
      <w:tr>
        <w:trPr>
          <w:tblHeader/>
        </w:trP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 de logro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un modelo dimensional en estrella optimizado con cardinalidades correctas.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Modelo &lt; 1 GB en memoria, refresh &lt; 90s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2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Escribir medidas DAX avanzadas (CALCULATE, iteradores, time intelligence) sin Google.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20+ medidas reusables documentadas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Optimizar reportes lentos a &lt; 3s con Performance Analyzer y DAX Studio.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Reducción ≥ 60% vs base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un dashboard ejecutivo con storytelling visual.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Score UX ≥ 8/10 en checklist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5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Publicar en Power BI Service con RLS, dataflows y deployment pipelines.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Dashboard productivo con RLS validado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Automatizar refresh y alertas con Power Automate / n8n.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1 flujo de alertas activo</w:t>
            </w:r>
          </w:p>
        </w:tc>
      </w:tr>
      <w:tr>
        <w:tc>
          <w:tcPr>
            <w:tcW w:type="dxa" w:w="6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7</w:t>
            </w:r>
          </w:p>
        </w:tc>
        <w:tc>
          <w:tcPr>
            <w:tcW w:type="dxa" w:w="5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portafolio público con 1 dashboard demo.</w:t>
            </w:r>
          </w:p>
        </w:tc>
        <w:tc>
          <w:tcPr>
            <w:tcW w:type="dxa" w:w="2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URL pública en LinkedIn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3. Roadmap del Programa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Cada sesión entrega una victoria tangible. El alumno ve progreso desde la primera clase.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000"/>
        <w:gridCol w:w="4500"/>
        <w:gridCol w:w="1060"/>
      </w:tblGrid>
      <w:tr>
        <w:trPr>
          <w:tblHeader/>
        </w:trP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Sesión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tangible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Quick Win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1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Arquitectura BI 2026 + Power Query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Mindset de arquitectura BI moderna y dominio de Power Query reproducible.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2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Modelado Dimensional + Calendario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Diseñar modelos en estrella optimizados con cardinalidades correctas.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3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 — Contextos, CALCULATE, Iteradores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Dominar contexto de filtro, contexto de fila y CALCULATE.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4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II — Time Intelligence + Calculation Groups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Construir arsenal temporal y eliminar duplicación con Calculation Groups.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5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Visualización Ejecutiva + UX/UI Profesional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De dashboards "bonitos" a dashboards que el CEO entiende en 5 segundos.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6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Optimización con DAX Studio + Tabular Editor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Convertir reportes lentos en reportes &lt; 3s con herramientas profesionales.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7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Service: RLS, Dataflows, Pipelines, REST API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Llevar el dashboard del Desktop al Service de manera profesional.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  <w:tr>
        <w:tc>
          <w:tcPr>
            <w:tcW w:type="dxa" w:w="8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4"/>
                <w:szCs w:val="24"/>
              </w:rPr>
              <w:t xml:space="preserve">8</w:t>
            </w:r>
          </w:p>
        </w:tc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Fabric + Copilot + Automatización + Portafolio</w:t>
            </w:r>
          </w:p>
        </w:tc>
        <w:tc>
          <w:tcPr>
            <w:tcW w:type="dxa" w:w="45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Cerrar el programa con features 2026 y plan de monetización.</w:t>
            </w:r>
          </w:p>
        </w:tc>
        <w:tc>
          <w:tcPr>
            <w:tcW w:type="dxa" w:w="10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8"/>
                <w:szCs w:val="28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4. Detalle Sesión por Sesión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1 — Arquitectura BI 2026 + Power Query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Mindset de arquitectura BI moderna y dominio de Power Query reproducible.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Pirámide BI: dato → modelo → métrica → narrativa → decisión.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Carpetas Origen / Staging / Producción dentro de Power Query.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Funciones M parametrizadas y reutilizables.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Manejo de errores, replace de nulos, merges robustos.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Project (.pbip) + Git desde el día 1.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"Background data"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Disable load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Versiona el .pbip con Git desde el día 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Plantilla .pbit con queries staging + funciones M reutilizables.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2 — Modelado Dimensional + Calendario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Diseñar modelos en estrella optimizados con cardinalidades correctas.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Star vs snowflake: cuándo cada uno.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Cardinalidades 1:*, *:* y direccionalidad: reglas de oro.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Tabla calendario completa con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Role-playing dimensions y USERELATIONSHIP.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Compresión VertiPaq: alta cardinalidad = enemigo.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tabla calendario explícitamente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Carpetas "_Medidas", "_KPIs" (subrayado al inicio para que aparezcan arriba).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Apaga Auto Date/Time →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Vista de modelo horizontal: hechos al centro, dimensiones alrededor.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Modelo .pbix con star schema + calendario + medidas base.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3 — DAX I — Contextos, CALCULATE, Iteradores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Dominar contexto de filtro, contexto de fila y CALCULATE.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Contexto de fila vs contexto de filtro.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CALCULATE y modificadores de contexto.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Iteradores SUMX, AVERAGEX, MAXX, RANKX.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FILTER vs KEEPFILTERS vs ALL vs REMOVEFILTERS.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 + RETURN. Patrones de % participación, ranking, top 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Siempre VAR + RETURN.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DIVIDE() en vez de "/" — maneja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Para "todo el modelo" usa REMOVEFILTERS, no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Si una medida funciona pero no entiendes — revisa contexto antes de seguir.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Pack de 10 medidas DAX documentadas con caso de uso.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4 — DAX II — Time Intelligence + Calculation Groups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Construir arsenal temporal y eliminar duplicación con Calculation Groups.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TOTALYTD, TOTALMTD, TOTALQTD.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DATEADD, SAMEPERIODLASTYEAR, PARALLELPERIOD.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Comparativas YoY, MoM, vs Target.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Field Parameters y Visual Calculations 2024+.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Calculation Groups requieren Tabular Editor (incluido).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IsAvailableInMDX = false en columnas no usadas → menos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Field Parameters reemplazan 6 visuales por 1 con selector.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Marca el Calculation Group con un emoji al inicio (★ Tiempo).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Visual Calculations IDEALES para running totals que cuestan caro en DAX.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Calculation Group + Field Parameter + visual con selector dinámico.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5 — Visualización Ejecutiva + UX/UI Profesional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 dashboards "bonitos" a dashboards que el CEO entiende en 5 segundos.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Regla 60-30-10 de color.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Eliminar chartjunk: ejes, líneas, sombras.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Bookmarks + Selection panel + drill-through.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Tooltips personalizados con páginas tooltip.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Custom themes JSON corporativo.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Plantilla de tema JSON corporativo (incluida).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ocultas.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Bookmarks → botones, no checkboxes.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Smart Narrative solo para borrador, nunca producción.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Regla del 5: máximo 5 KPIs visibles a primera vista.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Página ejecutiva con tema corporativo + 3 bookmarks + drill-through.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6 — Optimización con DAX Studio + Tabular Editor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Convertir reportes lentos en reportes &lt; 3s con herramientas profesionales.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Performance Analyzer: leer Visual + DAX + Other.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DAX Studio: View Metrics, Server Timings, Query Plan.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 vs FE: dónde está el cuello.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Best Practice Analyzer (BPA) en Tabular Editor.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ALM Toolkit: comparar modelos como Git diff.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Ctrl+E en DAX Studio para limpiar caché entre tests.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Medida &gt; 500ms → revisa FILTER innecesario.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Columnas calculadas → migra a Power Query (mejor compresión).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Bidirectional filter solo cuando NO hay otra opción.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BPA Script "Remove unused columns" libera memoria automáticamente.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Reporte 60% más rápido + tabla comparativa antes/después + BPA limpio.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7 — Power BI Service: RLS, Dataflows, Pipelines, REST API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Llevar el dashboard del Desktop al Service de manera profesional.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Workspaces, apps, permisos por rol.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Row-Level Security (RLS) dinámico con USERPRINCIPALNAME().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Dataflows Gen2: ETL centralizado.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Deployment Pipelines: DEV → TEST → PROD.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BI REST API: refresh, listas, métricas.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.pbip + Git: versionado real.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RLS dinámico con tabla bridge Usuarios → Filtros — escala mejor.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Dataflows Gen2 + Lakehouse Fabric = ETL versionado.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REST API → triggers de refresh desde n8n / Python / Power Automate.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Pipelines vía API → CI/CD con GitHub Actions viable.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.pbip + TMDL = los pull requests al modelo se leen como código.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Workspace productivo con RLS + dataflow + pipeline DEV/TEST/PROD.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Sesión 8 — Fabric + Copilot + Automatización + Portafolio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Duración: </w:t>
      </w:r>
      <w:r>
        <w:rPr>
          <w:rFonts w:ascii="Calibri" w:cs="Calibri" w:eastAsia="Calibri" w:hAnsi="Calibri"/>
          <w:sz w:val="22"/>
          <w:szCs w:val="22"/>
        </w:rPr>
        <w:t xml:space="preserve">2 horas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Objetivo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Cerrar el programa con features 2026 y plan de monetización.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Contenido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Microsoft Fabric: Lakehouse, OneLake, Direct Lake.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Direct Lake vs Import vs DirectQuery.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Copilot en Power BI: prompts efectivos.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Power Automate + n8n: alertas y refresh.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Construcción del portafolio público.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Plan de monetización: cómo cobrar tu primer freelance.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Hacks profesionales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Copilot funciona mejor con nombres semánticos (FechaVenta no Fecha1).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Direct Lake =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Power Automate "Export Power BI report" para PDFs automáticos.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Semantic Link → escribir modelos a producción desde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★ </w:t>
      </w:r>
      <w:r>
        <w:rPr>
          <w:rFonts w:ascii="Calibri" w:cs="Calibri" w:eastAsia="Calibri" w:hAnsi="Calibri"/>
          <w:sz w:val="22"/>
          <w:szCs w:val="22"/>
        </w:rPr>
        <w:t xml:space="preserve">Tu portafolio LinkedIn pesa más que un certificado.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Entregable de la sesión</w:t>
      </w:r>
    </w:p>
    <w:p>
      <w:pPr>
        <w:pBdr>
          <w:left w:val="single" w:color="D4AC4C" w:sz="24" w:space="8"/>
        </w:pBdr>
        <w:spacing w:after="220"/>
        <w:jc w:val="both"/>
      </w:pPr>
      <w:r>
        <w:rPr>
          <w:rFonts w:ascii="Calibri" w:cs="Calibri" w:eastAsia="Calibri" w:hAnsi="Calibri"/>
          <w:b/>
          <w:bCs/>
          <w:color w:val="0F1B2D"/>
          <w:sz w:val="22"/>
          <w:szCs w:val="22"/>
        </w:rPr>
        <w:t xml:space="preserve">✓ </w:t>
      </w:r>
      <w:r>
        <w:rPr>
          <w:rFonts w:ascii="Calibri" w:cs="Calibri" w:eastAsia="Calibri" w:hAnsi="Calibri"/>
          <w:sz w:val="22"/>
          <w:szCs w:val="22"/>
        </w:rPr>
        <w:t xml:space="preserve">Flujo de alertas activo + 1 dashboard demo público + plan a 90 días.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5. Proyecto Final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Desde la sesión 4 trabajamos sobre los datos reales del alumno. El proyecto final es un dashboard ejecutivo publicado en Power BI Service que el alumno puede usar de inmediato en su empresa o portafolio.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Entregables del proyecto final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 dimensional documentado con diagrama (.png).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Mínimo 15 medidas DAX con descripción.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1 página ejecutiva + 1 página de detalle + 1 página de drill-through.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Tema corporativo personalizado (.json).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Workspace publicado con RLS funcional y refresh automático.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Documento técnico de 1 página con arquitectura y supuestos.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Versión .pbip en repo Git privado o público.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6. Stack de Herramientas (todas con licencia community o gratuitas)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4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Desktop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Diseño del modelo y reportes.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Service (Pro)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Publicación, RLS, sharing.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$10 USD/mes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DAX Studio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Análisis de performance y query plan.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Tabular Editor 2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Calculation Groups, BPA, scripting.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ALM Toolkit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Comparar y desplegar modelos (Git diff).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BI Project (.pbip)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Versionado de modelo + reporte con Git.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VS Code + Git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Versionar TMDL del modelo.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30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Power Automate</w:t>
            </w:r>
          </w:p>
        </w:tc>
        <w:tc>
          <w:tcPr>
            <w:tcW w:type="dxa" w:w="44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Alertas y automatización.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Incluido en M365</w:t>
            </w:r>
          </w:p>
        </w:tc>
      </w:tr>
    </w:tbl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7. Compromiso Mutuo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2BI se compromete a entregar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Llegar puntual a cada sesión con material listo y demo funcional.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Responder dudas por WhatsApp en menos de 24 horas hábiles durante el programa y los 30 días de soporte WhatsApp + revisión de 1 dashboard.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todos los archivos fuente: .pbix, .pbit, .json, .pbip, scripts.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Adaptar el currículo si el alumno avanza más rápido o necesita reforzar algún tema.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Entregar certificado digital firmado al cierre.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Lo que se espera del alumno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Asistir puntualmente y con cámara prendida (sesiones 1 a 1 en línea).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Realizar la práctica guiada antes de la siguiente sesión.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Compartir un dataset propio (anonimizado si es necesario) para el proyecto final.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Avisar con 24h de anticipación si no puede asistir.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Compromiso de no compartir el material del curso a terceros (incluido en contrato).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A — Hacks Profesionales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Esta lista de 50 hacks se entrega impresa al alumno y representa el valor condensado de años de trabajo en producción.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Power Query (1-10)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Apaga 'Background data' para evitar previews infinitos.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'Disable load' en queries staging — no inflan el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Convierte queries repetidas en funciones (fxLimpiarColumnas).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Cambia tipos de datos al final, no al principio.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Folders de queries '01_Origen / 02_Staging / 03_Producción'.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Reemplaza errores con null al inicio del flujo.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Parametriza la ruta de archivos para que el .pbix sea portable.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Activa Query Diagnostics para detectar pasos lentos.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Table.Buffer() solo si vas a mergear N veces la misma tabla.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Anota cada paso renombrando 'Removed Columns' → '#Eliminar columnas técnicas'.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Modelado (11-20)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Star schema siempre. Snowflake solo si la dimensión es enorme y compartida.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Una sola tabla calendario, marcada como tabla de fecha.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13. </w:t>
      </w:r>
      <w:r>
        <w:rPr>
          <w:rFonts w:ascii="Calibri" w:cs="Calibri" w:eastAsia="Calibri" w:hAnsi="Calibri"/>
          <w:sz w:val="22"/>
          <w:szCs w:val="22"/>
        </w:rPr>
        <w:t xml:space="preserve">Apaga Auto Date/Time en Options — ahorra hasta 30% memoria.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14. </w:t>
      </w:r>
      <w:r>
        <w:rPr>
          <w:rFonts w:ascii="Calibri" w:cs="Calibri" w:eastAsia="Calibri" w:hAnsi="Calibri"/>
          <w:sz w:val="22"/>
          <w:szCs w:val="22"/>
        </w:rPr>
        <w:t xml:space="preserve">Oculta columnas técnicas (IDs) de la vista de reporte.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15. </w:t>
      </w:r>
      <w:r>
        <w:rPr>
          <w:rFonts w:ascii="Calibri" w:cs="Calibri" w:eastAsia="Calibri" w:hAnsi="Calibri"/>
          <w:sz w:val="22"/>
          <w:szCs w:val="22"/>
        </w:rPr>
        <w:t xml:space="preserve">Carpetas '_Medidas', '_KPIs' (subrayado al inicio).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16. </w:t>
      </w:r>
      <w:r>
        <w:rPr>
          <w:rFonts w:ascii="Calibri" w:cs="Calibri" w:eastAsia="Calibri" w:hAnsi="Calibri"/>
          <w:sz w:val="22"/>
          <w:szCs w:val="22"/>
        </w:rPr>
        <w:t xml:space="preserve">Cardinalidades 1:* siempre que puedas.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17. </w:t>
      </w:r>
      <w:r>
        <w:rPr>
          <w:rFonts w:ascii="Calibri" w:cs="Calibri" w:eastAsia="Calibri" w:hAnsi="Calibri"/>
          <w:sz w:val="22"/>
          <w:szCs w:val="22"/>
        </w:rPr>
        <w:t xml:space="preserve">Direccionalidad simple, no bidireccional, salvo bridge tables.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18. </w:t>
      </w:r>
      <w:r>
        <w:rPr>
          <w:rFonts w:ascii="Calibri" w:cs="Calibri" w:eastAsia="Calibri" w:hAnsi="Calibri"/>
          <w:sz w:val="22"/>
          <w:szCs w:val="22"/>
        </w:rPr>
        <w:t xml:space="preserve">Mide tu modelo con DAX Studio → View Metrics.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19. </w:t>
      </w:r>
      <w:r>
        <w:rPr>
          <w:rFonts w:ascii="Calibri" w:cs="Calibri" w:eastAsia="Calibri" w:hAnsi="Calibri"/>
          <w:sz w:val="22"/>
          <w:szCs w:val="22"/>
        </w:rPr>
        <w:t xml:space="preserve">Reduce columnas con alta cardinalidad (separar en 2).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20. </w:t>
      </w:r>
      <w:r>
        <w:rPr>
          <w:rFonts w:ascii="Calibri" w:cs="Calibri" w:eastAsia="Calibri" w:hAnsi="Calibri"/>
          <w:sz w:val="22"/>
          <w:szCs w:val="22"/>
        </w:rPr>
        <w:t xml:space="preserve">Crea una tabla 'Medidas' vacía para agruparlas todas.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DAX (21-32)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21. </w:t>
      </w:r>
      <w:r>
        <w:rPr>
          <w:rFonts w:ascii="Calibri" w:cs="Calibri" w:eastAsia="Calibri" w:hAnsi="Calibri"/>
          <w:sz w:val="22"/>
          <w:szCs w:val="22"/>
        </w:rPr>
        <w:t xml:space="preserve">VAR + RETURN siempre — legibilidad y a veces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22. </w:t>
      </w:r>
      <w:r>
        <w:rPr>
          <w:rFonts w:ascii="Calibri" w:cs="Calibri" w:eastAsia="Calibri" w:hAnsi="Calibri"/>
          <w:sz w:val="22"/>
          <w:szCs w:val="22"/>
        </w:rPr>
        <w:t xml:space="preserve">DIVIDE() para evitar errores de división por cero.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23. </w:t>
      </w:r>
      <w:r>
        <w:rPr>
          <w:rFonts w:ascii="Calibri" w:cs="Calibri" w:eastAsia="Calibri" w:hAnsi="Calibri"/>
          <w:sz w:val="22"/>
          <w:szCs w:val="22"/>
        </w:rPr>
        <w:t xml:space="preserve">REMOVEFILTERS más explícito que 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24. </w:t>
      </w:r>
      <w:r>
        <w:rPr>
          <w:rFonts w:ascii="Calibri" w:cs="Calibri" w:eastAsia="Calibri" w:hAnsi="Calibri"/>
          <w:sz w:val="22"/>
          <w:szCs w:val="22"/>
        </w:rPr>
        <w:t xml:space="preserve">SELECTEDVALUE en vez de IF(HASONEVALUE...VALUES(...)).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25. </w:t>
      </w:r>
      <w:r>
        <w:rPr>
          <w:rFonts w:ascii="Calibri" w:cs="Calibri" w:eastAsia="Calibri" w:hAnsi="Calibri"/>
          <w:sz w:val="22"/>
          <w:szCs w:val="22"/>
        </w:rPr>
        <w:t xml:space="preserve">USERELATIONSHIP para relaciones inactivas en una sola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26. </w:t>
      </w:r>
      <w:r>
        <w:rPr>
          <w:rFonts w:ascii="Calibri" w:cs="Calibri" w:eastAsia="Calibri" w:hAnsi="Calibri"/>
          <w:sz w:val="22"/>
          <w:szCs w:val="22"/>
        </w:rPr>
        <w:t xml:space="preserve">Calculation Groups: 1 grupo reemplaza 30 medidas.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27. </w:t>
      </w:r>
      <w:r>
        <w:rPr>
          <w:rFonts w:ascii="Calibri" w:cs="Calibri" w:eastAsia="Calibri" w:hAnsi="Calibri"/>
          <w:sz w:val="22"/>
          <w:szCs w:val="22"/>
        </w:rPr>
        <w:t xml:space="preserve">Field Parameters: deja que el usuario elija dimensión Y medida.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28. </w:t>
      </w:r>
      <w:r>
        <w:rPr>
          <w:rFonts w:ascii="Calibri" w:cs="Calibri" w:eastAsia="Calibri" w:hAnsi="Calibri"/>
          <w:sz w:val="22"/>
          <w:szCs w:val="22"/>
        </w:rPr>
        <w:t xml:space="preserve">Time Intelligence: TOTALYTD requiere tabla calendario marcada.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29. </w:t>
      </w:r>
      <w:r>
        <w:rPr>
          <w:rFonts w:ascii="Calibri" w:cs="Calibri" w:eastAsia="Calibri" w:hAnsi="Calibri"/>
          <w:sz w:val="22"/>
          <w:szCs w:val="22"/>
        </w:rPr>
        <w:t xml:space="preserve">RANKX con DENSE para rankings sin saltos.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30. </w:t>
      </w:r>
      <w:r>
        <w:rPr>
          <w:rFonts w:ascii="Calibri" w:cs="Calibri" w:eastAsia="Calibri" w:hAnsi="Calibri"/>
          <w:sz w:val="22"/>
          <w:szCs w:val="22"/>
        </w:rPr>
        <w:t xml:space="preserve">COALESCE() en lugar de IF(ISBLANK(...), 0, ...).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31. </w:t>
      </w:r>
      <w:r>
        <w:rPr>
          <w:rFonts w:ascii="Calibri" w:cs="Calibri" w:eastAsia="Calibri" w:hAnsi="Calibri"/>
          <w:sz w:val="22"/>
          <w:szCs w:val="22"/>
        </w:rPr>
        <w:t xml:space="preserve">Visual Calculations para running totals.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32. </w:t>
      </w:r>
      <w:r>
        <w:rPr>
          <w:rFonts w:ascii="Calibri" w:cs="Calibri" w:eastAsia="Calibri" w:hAnsi="Calibri"/>
          <w:sz w:val="22"/>
          <w:szCs w:val="22"/>
        </w:rPr>
        <w:t xml:space="preserve">Documenta cada medida en el campo Description.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Visualización &amp; UX (33-40)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33. </w:t>
      </w:r>
      <w:r>
        <w:rPr>
          <w:rFonts w:ascii="Calibri" w:cs="Calibri" w:eastAsia="Calibri" w:hAnsi="Calibri"/>
          <w:sz w:val="22"/>
          <w:szCs w:val="22"/>
        </w:rPr>
        <w:t xml:space="preserve">Regla 60-30-10 de color (dominante / soporte / acento).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34. </w:t>
      </w:r>
      <w:r>
        <w:rPr>
          <w:rFonts w:ascii="Calibri" w:cs="Calibri" w:eastAsia="Calibri" w:hAnsi="Calibri"/>
          <w:sz w:val="22"/>
          <w:szCs w:val="22"/>
        </w:rPr>
        <w:t xml:space="preserve">Máximo 5 KPIs visibles en una página ejecutiva.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35. </w:t>
      </w:r>
      <w:r>
        <w:rPr>
          <w:rFonts w:ascii="Calibri" w:cs="Calibri" w:eastAsia="Calibri" w:hAnsi="Calibri"/>
          <w:sz w:val="22"/>
          <w:szCs w:val="22"/>
        </w:rPr>
        <w:t xml:space="preserve">Tooltips ricos con páginas tooltip — no texto plano.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36. </w:t>
      </w:r>
      <w:r>
        <w:rPr>
          <w:rFonts w:ascii="Calibri" w:cs="Calibri" w:eastAsia="Calibri" w:hAnsi="Calibri"/>
          <w:sz w:val="22"/>
          <w:szCs w:val="22"/>
        </w:rPr>
        <w:t xml:space="preserve">Bookmarks asignados a botones con etiquetas claras.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37. </w:t>
      </w:r>
      <w:r>
        <w:rPr>
          <w:rFonts w:ascii="Calibri" w:cs="Calibri" w:eastAsia="Calibri" w:hAnsi="Calibri"/>
          <w:sz w:val="22"/>
          <w:szCs w:val="22"/>
        </w:rPr>
        <w:t xml:space="preserve">Drill-through bidireccional cuando el negocio lo justifica.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38. </w:t>
      </w:r>
      <w:r>
        <w:rPr>
          <w:rFonts w:ascii="Calibri" w:cs="Calibri" w:eastAsia="Calibri" w:hAnsi="Calibri"/>
          <w:sz w:val="22"/>
          <w:szCs w:val="22"/>
        </w:rPr>
        <w:t xml:space="preserve">Tema JSON corporativo — no uses default Power BI nunca.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39. </w:t>
      </w:r>
      <w:r>
        <w:rPr>
          <w:rFonts w:ascii="Calibri" w:cs="Calibri" w:eastAsia="Calibri" w:hAnsi="Calibri"/>
          <w:sz w:val="22"/>
          <w:szCs w:val="22"/>
        </w:rPr>
        <w:t xml:space="preserve">Custom visuals AppSource: revisa rating + última actualización.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40. </w:t>
      </w:r>
      <w:r>
        <w:rPr>
          <w:rFonts w:ascii="Calibri" w:cs="Calibri" w:eastAsia="Calibri" w:hAnsi="Calibri"/>
          <w:sz w:val="22"/>
          <w:szCs w:val="22"/>
        </w:rPr>
        <w:t xml:space="preserve">Page background con gradiente sutil para dar profundidad.</w:t>
      </w:r>
    </w:p>
    <w:p>
      <w:pPr>
        <w:pStyle w:val="Heading3"/>
        <w:spacing w:after="100" w:before="220"/>
      </w:pPr>
      <w:r>
        <w:rPr>
          <w:rFonts w:ascii="Calibri" w:cs="Calibri" w:eastAsia="Calibri" w:hAnsi="Calibri"/>
          <w:b/>
          <w:bCs/>
          <w:color w:val="2D3748"/>
          <w:sz w:val="24"/>
          <w:szCs w:val="24"/>
        </w:rPr>
        <w:t xml:space="preserve">Service &amp; Automatización (41-50)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41. </w:t>
      </w:r>
      <w:r>
        <w:rPr>
          <w:rFonts w:ascii="Calibri" w:cs="Calibri" w:eastAsia="Calibri" w:hAnsi="Calibri"/>
          <w:sz w:val="22"/>
          <w:szCs w:val="22"/>
        </w:rPr>
        <w:t xml:space="preserve">RLS dinámica con tabla bridge Usuarios → Filtros.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42. </w:t>
      </w:r>
      <w:r>
        <w:rPr>
          <w:rFonts w:ascii="Calibri" w:cs="Calibri" w:eastAsia="Calibri" w:hAnsi="Calibri"/>
          <w:sz w:val="22"/>
          <w:szCs w:val="22"/>
        </w:rPr>
        <w:t xml:space="preserve">Dataflows Gen2: ETL centralizado entre múltiples reportes.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43. </w:t>
      </w:r>
      <w:r>
        <w:rPr>
          <w:rFonts w:ascii="Calibri" w:cs="Calibri" w:eastAsia="Calibri" w:hAnsi="Calibri"/>
          <w:sz w:val="22"/>
          <w:szCs w:val="22"/>
        </w:rPr>
        <w:t xml:space="preserve">Deployment Pipelines + REST API + GitHub Actions = CI/CD real.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44. </w:t>
      </w:r>
      <w:r>
        <w:rPr>
          <w:rFonts w:ascii="Calibri" w:cs="Calibri" w:eastAsia="Calibri" w:hAnsi="Calibri"/>
          <w:sz w:val="22"/>
          <w:szCs w:val="22"/>
        </w:rPr>
        <w:t xml:space="preserve">.pbip + TMDL: los PRs al modelo se leen como código.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45. </w:t>
      </w:r>
      <w:r>
        <w:rPr>
          <w:rFonts w:ascii="Calibri" w:cs="Calibri" w:eastAsia="Calibri" w:hAnsi="Calibri"/>
          <w:sz w:val="22"/>
          <w:szCs w:val="22"/>
        </w:rPr>
        <w:t xml:space="preserve">Direct Lake mode (Fabric): velocidad de Import sin recargas.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46. </w:t>
      </w:r>
      <w:r>
        <w:rPr>
          <w:rFonts w:ascii="Calibri" w:cs="Calibri" w:eastAsia="Calibri" w:hAnsi="Calibri"/>
          <w:sz w:val="22"/>
          <w:szCs w:val="22"/>
        </w:rPr>
        <w:t xml:space="preserve">Copilot funciona mejor con nombres semánticos.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47. </w:t>
      </w:r>
      <w:r>
        <w:rPr>
          <w:rFonts w:ascii="Calibri" w:cs="Calibri" w:eastAsia="Calibri" w:hAnsi="Calibri"/>
          <w:sz w:val="22"/>
          <w:szCs w:val="22"/>
        </w:rPr>
        <w:t xml:space="preserve">Power Automate: 'Run a query against a dataset' para alertas DAX.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48. </w:t>
      </w:r>
      <w:r>
        <w:rPr>
          <w:rFonts w:ascii="Calibri" w:cs="Calibri" w:eastAsia="Calibri" w:hAnsi="Calibri"/>
          <w:sz w:val="22"/>
          <w:szCs w:val="22"/>
        </w:rPr>
        <w:t xml:space="preserve">n8n + Webhook = orquestación open-source flexible.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49. </w:t>
      </w:r>
      <w:r>
        <w:rPr>
          <w:rFonts w:ascii="Calibri" w:cs="Calibri" w:eastAsia="Calibri" w:hAnsi="Calibri"/>
          <w:sz w:val="22"/>
          <w:szCs w:val="22"/>
        </w:rPr>
        <w:t xml:space="preserve">Semantic Link en notebooks Python.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color w:val="D4AC4C"/>
          <w:sz w:val="22"/>
          <w:szCs w:val="22"/>
        </w:rPr>
        <w:t xml:space="preserve">50. </w:t>
      </w:r>
      <w:r>
        <w:rPr>
          <w:rFonts w:ascii="Calibri" w:cs="Calibri" w:eastAsia="Calibri" w:hAnsi="Calibri"/>
          <w:sz w:val="22"/>
          <w:szCs w:val="22"/>
        </w:rPr>
        <w:t xml:space="preserve">Capacidades dedicadas (P1/F2+): permite Direct Lake.</w:t>
      </w:r>
    </w:p>
    <w:p>
      <w:r>
        <w:br w:type="page"/>
      </w:r>
    </w:p>
    <w:p>
      <w:pPr>
        <w:pStyle w:val="Heading1"/>
        <w:pBdr>
          <w:bottom w:val="single" w:color="D4AC4C" w:sz="12" w:space="4"/>
        </w:pBdr>
        <w:spacing w:after="200" w:before="360"/>
      </w:pPr>
      <w:r>
        <w:rPr>
          <w:rFonts w:ascii="Calibri" w:cs="Calibri" w:eastAsia="Calibri" w:hAnsi="Calibri"/>
          <w:b/>
          <w:bCs/>
          <w:color w:val="0F1B2D"/>
          <w:sz w:val="36"/>
          <w:szCs w:val="36"/>
        </w:rPr>
        <w:t xml:space="preserve">Anexo B — Plantillas y Recursos Incluidos</w:t>
      </w:r>
    </w:p>
    <w:p>
      <w:pPr>
        <w:spacing w:after="140" w:line="320"/>
        <w:jc w:val="both"/>
      </w:pPr>
      <w:r>
        <w:rPr>
          <w:rFonts w:ascii="Calibri" w:cs="Calibri" w:eastAsia="Calibri" w:hAnsi="Calibri"/>
          <w:color w:val="2D3748"/>
          <w:sz w:val="22"/>
          <w:szCs w:val="22"/>
        </w:rPr>
        <w:t xml:space="preserve">El alumno (o equipo) recibe en una carpeta compartida (Google Drive / OneDrive) todos los siguientes activos digitales editables y reutilizables.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1960"/>
      </w:tblGrid>
      <w:tr>
        <w:trPr>
          <w:tblHeader/>
        </w:trP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0F1B2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Formato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Star Schema completa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 hecho + 4 dimensiones + calendario.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Pack 30 Medidas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Documentadas con caso de uso.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.dax / .pbix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Calculation Group Tiempo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YTD, MTD, YoY, MoM, vs Target listos.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.bim / TE script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Tema Corporativo Premium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Tema JSON editable con paleta profesional.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.json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KPIs Ejecutivos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4 KPIs + tendencia + ranking.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.pbit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Script Tabular Editor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BPA + 'Remove unused columns'.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.cs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Plantilla Documentación Cliente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1-pager técnico profesional.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.docx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Cheat Sheet DAX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30 patrones DAX en producción.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.pdf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Repositorio Git ejemplo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Estructura .pbip + TMDL + GitHub Actions.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3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D3748"/>
                <w:sz w:val="20"/>
                <w:szCs w:val="20"/>
              </w:rPr>
              <w:t xml:space="preserve">Bonus: Flow n8n Lead → CRM</w:t>
            </w:r>
          </w:p>
        </w:tc>
        <w:tc>
          <w:tcPr>
            <w:tcW w:type="dxa" w:w="420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2D3748"/>
                <w:sz w:val="20"/>
                <w:szCs w:val="20"/>
              </w:rPr>
              <w:t xml:space="preserve">Captura leads y registra en Notion.</w:t>
            </w:r>
          </w:p>
        </w:tc>
        <w:tc>
          <w:tcPr>
            <w:tcW w:type="dxa" w:w="1960"/>
            <w:tcBorders>
              <w:top w:val="single" w:color="D5C9A8" w:sz="4"/>
              <w:left w:val="single" w:color="D5C9A8" w:sz="4"/>
              <w:bottom w:val="single" w:color="D5C9A8" w:sz="4"/>
              <w:right w:val="single" w:color="D5C9A8" w:sz="4"/>
            </w:tcBorders>
            <w:shd w:fill="F0EBD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4AC4C"/>
                <w:sz w:val="20"/>
                <w:szCs w:val="20"/>
              </w:rPr>
              <w:t xml:space="preserve">JSON n8n</w:t>
            </w:r>
          </w:p>
        </w:tc>
      </w:tr>
    </w:tbl>
    <w:p>
      <w:pPr>
        <w:spacing w:before="600"/>
      </w:pPr>
    </w:p>
    <w:p>
      <w:pPr>
        <w:pBdr>
          <w:top w:val="single" w:color="D4AC4C" w:sz="24" w:space="8"/>
        </w:pBdr>
        <w:spacing w:after="200" w:before="400"/>
        <w:jc w:val="center"/>
      </w:pPr>
      <w:r>
        <w:rPr>
          <w:rFonts w:ascii="Calibri" w:cs="Calibri" w:eastAsia="Calibri" w:hAnsi="Calibri"/>
          <w:b/>
          <w:bCs/>
          <w:color w:val="0F1B2D"/>
          <w:sz w:val="28"/>
          <w:szCs w:val="28"/>
        </w:rPr>
        <w:t xml:space="preserve">2BI  ·  Business Intelligence Studio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D4AC4C"/>
          <w:sz w:val="20"/>
          <w:szCs w:val="20"/>
        </w:rPr>
        <w:t xml:space="preserve">Inteligencia que multiplica tu negocio.</w:t>
      </w:r>
    </w:p>
    <w:p>
      <w:pPr>
        <w:jc w:val="center"/>
      </w:pPr>
      <w:r>
        <w:rPr>
          <w:rFonts w:ascii="Calibri" w:cs="Calibri" w:eastAsia="Calibri" w:hAnsi="Calibri"/>
          <w:color w:val="718096"/>
          <w:sz w:val="18"/>
          <w:szCs w:val="18"/>
        </w:rPr>
        <w:t xml:space="preserve">guillermorc44@gmail.com  · 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18096"/>
        <w:sz w:val="16"/>
        <w:szCs w:val="16"/>
      </w:rPr>
      <w:t xml:space="preserve">Confidencial · 2BI · </w:t>
    </w:r>
    <w:r>
      <w:rPr>
        <w:rFonts w:ascii="Calibri" w:cs="Calibri" w:eastAsia="Calibri" w:hAnsi="Calibri"/>
        <w:color w:val="718096"/>
        <w:sz w:val="16"/>
        <w:szCs w:val="16"/>
      </w:rPr>
      <w:t xml:space="preserve">Página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18096"/>
        <w:sz w:val="16"/>
        <w:szCs w:val="16"/>
      </w:rPr>
      <w:t xml:space="preserve"> de </w:t>
    </w:r>
    <w:r>
      <w:rPr>
        <w:rFonts w:ascii="Calibri" w:cs="Calibri" w:eastAsia="Calibri" w:hAnsi="Calibri"/>
        <w:color w:val="71809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b/>
        <w:bCs/>
        <w:color w:val="0F1B2D"/>
        <w:sz w:val="18"/>
        <w:szCs w:val="18"/>
      </w:rPr>
      <w:t xml:space="preserve">2BI  ·  </w:t>
    </w:r>
    <w:r>
      <w:rPr>
        <w:rFonts w:ascii="Calibri" w:cs="Calibri" w:eastAsia="Calibri" w:hAnsi="Calibri"/>
        <w:i/>
        <w:iCs/>
        <w:color w:val="718096"/>
        <w:sz w:val="18"/>
        <w:szCs w:val="18"/>
      </w:rPr>
      <w:t xml:space="preserve">Programa Flagship  ·  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F1B2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F1B2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Calibri" w:cs="Calibri" w:eastAsia="Calibri" w:hAnsi="Calibr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7225d5dc0360efa3ef2b34758e77a5c780b1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2BI — Programa Flagship — Plan de Trabajo</dc:title>
  <dc:creator>2BI</dc:creator>
  <dc:description>Plan de trabajo del programa 2BI ESTÁNDAR</dc:description>
  <cp:lastModifiedBy>Un-named</cp:lastModifiedBy>
  <cp:revision>1</cp:revision>
  <dcterms:created xsi:type="dcterms:W3CDTF">2026-05-07T19:53:59.300Z</dcterms:created>
  <dcterms:modified xsi:type="dcterms:W3CDTF">2026-05-07T19:53:59.300Z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