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60" w:lineRule="auto" w:after="0"/>
        <w:jc w:val="center"/>
      </w:pPr>
      <w:r>
        <w:rPr>
          <w:rFonts w:ascii="Times New Roman" w:hAnsi="Times New Roman" w:eastAsia="黑体"/>
          <w:b/>
          <w:sz w:val="32"/>
        </w:rPr>
        <w:t>美韩同盟角色调整新动向及对策建议</w:t>
      </w:r>
    </w:p>
    <w:p>
      <w:pPr>
        <w:spacing w:line="360" w:lineRule="auto" w:after="0"/>
        <w:ind w:firstLine="480"/>
      </w:pPr>
      <w:r>
        <w:rPr>
          <w:rFonts w:ascii="Times New Roman" w:hAnsi="Times New Roman" w:eastAsia="楷体"/>
          <w:b w:val="0"/>
          <w:sz w:val="24"/>
        </w:rPr>
        <w:t>【内容摘要】2025年下半年以来，美方以新版《国防战略》为标志，推动美韩同盟由“半岛防卫”向“区域同盟”加速转型，要求韩方承担威慑朝鲜的“主要责任”，推动驻韩美军职能“区域化”和“战略灵活性”扩权，并以“东上地图”造势。韩方“借势”与“设限”并举：一面加速收回战时作战指挥权、推进核动力潜艇建设，一面划出“不介入战争”等底线。美日韩、日菲、韩菲联动加强，相关动向已进入“文本落实”阶段，对东北亚安全环境的影响正在累积。建议统筹做好稳定中韩关系、加强战略沟通、稳固经贸纽带、强化风险防控等工作。</w:t>
      </w:r>
    </w:p>
    <w:p>
      <w:pPr>
        <w:spacing w:line="360" w:lineRule="auto" w:after="0"/>
      </w:pPr>
      <w:r>
        <w:rPr>
          <w:rFonts w:ascii="Times New Roman" w:hAnsi="Times New Roman" w:eastAsia="黑体"/>
          <w:b/>
          <w:sz w:val="28"/>
        </w:rPr>
        <w:t>一、事件基本情况</w:t>
      </w:r>
    </w:p>
    <w:p>
      <w:pPr>
        <w:spacing w:line="360" w:lineRule="auto" w:after="0"/>
        <w:ind w:firstLine="480"/>
      </w:pPr>
      <w:r>
        <w:rPr>
          <w:rFonts w:ascii="Times New Roman" w:hAnsi="Times New Roman" w:eastAsia="宋体"/>
          <w:b w:val="0"/>
          <w:sz w:val="24"/>
        </w:rPr>
        <w:t>（一）同盟转型的文本化进程加快。2025年10月29日美韩首脑庆州会谈后，双方于11月14日发表共同说明资料，写入美方同意韩方建造核动力潜艇、支持民用铀浓缩与乏燃料后处理相关程序等内容，并涵盖关税、投资等经贸安排，明确韩方在半岛常规防务中的“主导作用”。2026年1月23日，美方发布新版《国防战略》，正式提出韩国“能够以‘关键但更有限’的美方支援，承担威慑朝鲜的‘主要责任’”，称这与“升级驻韩美军态势”方向一致；文件还提出“模范盟友”标准，推动盟国军费向国内生产总值5%的水平看齐。韩方已承诺将国防开支提升至3.5%。总体看，安全承诺与经贸、产业利益直接挂钩，同盟“安全—经济捆绑”特征进一步显性化。</w:t>
      </w:r>
    </w:p>
    <w:p>
      <w:pPr>
        <w:spacing w:line="360" w:lineRule="auto" w:after="0"/>
        <w:ind w:firstLine="480"/>
      </w:pPr>
      <w:r>
        <w:rPr>
          <w:rFonts w:ascii="Times New Roman" w:hAnsi="Times New Roman" w:eastAsia="宋体"/>
          <w:b w:val="0"/>
          <w:sz w:val="24"/>
        </w:rPr>
        <w:t>（二）“东上地图”等认知造势先行。2025年11月，驻韩美军公开宣介由美国国家地理空间情报局（NGA）制作、以汉弗莱斯营为投影中心的“东上地图”，该图改变常规制图朝向，突出朝鲜半岛的“中枢”区位。驻韩美军司令布伦森同步发表署名文章，提出韩国应从“半岛前哨”转向面向更广区域的“战略锚点”，并持续在军校教学、国际论坛等场合宣介上述观点。美方还将其归入“信息环境机动”范畴。相关图版与表述此后进入美军院校课程，为本轮同盟调整营造了先行舆论氛围。同时，相关宣介在美韩内部解读不一，尚未下沉至正式教范与演习材料。</w:t>
      </w:r>
    </w:p>
    <w:p>
      <w:pPr>
        <w:spacing w:line="360" w:lineRule="auto" w:after="0"/>
        <w:ind w:firstLine="480"/>
      </w:pPr>
      <w:r>
        <w:rPr>
          <w:rFonts w:ascii="Times New Roman" w:hAnsi="Times New Roman" w:eastAsia="宋体"/>
          <w:b w:val="0"/>
          <w:sz w:val="24"/>
        </w:rPr>
        <w:t>（三）驻韩美军职能“区域化”同步展开。2026年4月，驻韩美军司令在国会证词中称正依托韩国产业能力建设“区域保障枢纽”、推进舰船维修保养合作；美方还以“能力优先于数量”为由酝酿调整驻韩美军兵力结构，并持续要求韩方扩大“战略灵活性”适用范围、向霍尔木兹海峡方向派遣军事资产。目前驻韩美军规模约2.85万人，任何兵力结构调整都将牵动同盟内部及韩方敏感神经；韩方企业已开始承接美军舰艇维修业务，防务产业合作成为同盟新纽带。上述动向表明，美方正试图把驻韩美军由“半岛威慑资产”转型为“区域运用资产”。</w:t>
      </w:r>
    </w:p>
    <w:p>
      <w:pPr>
        <w:spacing w:line="360" w:lineRule="auto" w:after="0"/>
        <w:ind w:firstLine="480"/>
      </w:pPr>
      <w:r>
        <w:rPr>
          <w:rFonts w:ascii="Times New Roman" w:hAnsi="Times New Roman" w:eastAsia="宋体"/>
          <w:b w:val="0"/>
          <w:sz w:val="24"/>
        </w:rPr>
        <w:t>（四）韩方应对呈现“借势”与“设限”双轨特征。借势方面：加快收回战时作战指挥权，2026年9月韩美联合国防协商机制（KIDD）第29次会议联合声明写入“加速推进”表述，双方计划在11月韩美安保会议（SCM）上完成未来联合司令部“完全运用能力”验证并确定移交年份；核动力潜艇项目进入政策化轨道，7月公布基本计划、推进特别立法，9月向国际原子能机构通报启动相关保障监督磋商。设限方面：李在明总统就“战略灵活性”表示“难以轻易同意”，同时承认“难以完全按韩方意愿阻止”的现实；9月18日公开表态“不进行介入或参与战争性质的派兵”；并以缩减联合演习规模等方式管控风险。分析认为，韩方希望在“承担更多责任”与“避免卷入域外冲突”之间维持平衡，其效果取决于美方施压力度与韩国国内政治生态。韩国国内围绕对美政策取向的争论持续发酵：保守阵营批评现政府“实用、均衡外交”实为“对华低姿态”，进步阵营则担忧韩国被更深卷入中美博弈。</w:t>
      </w:r>
    </w:p>
    <w:p>
      <w:pPr>
        <w:spacing w:line="360" w:lineRule="auto" w:after="0"/>
        <w:ind w:firstLine="480"/>
      </w:pPr>
      <w:r>
        <w:rPr>
          <w:rFonts w:ascii="Times New Roman" w:hAnsi="Times New Roman" w:eastAsia="宋体"/>
          <w:b w:val="0"/>
          <w:sz w:val="24"/>
        </w:rPr>
        <w:t>（五）多边防务联动同步加强。美日韩合作持续制度化，9月21日三国外长在纽约发表联合声明，扩展经济安全、供应链等领域合作，三边联合演习实现升级；日菲防务合作实体化提速，日方作战部队二战后首次踏上菲领土参演，并首次从菲领土发射导弹；韩菲防务关系升温，双方首脑会谈后推进军工、联演合作。值得注意的是，美国内围绕“第一岛链”前沿投入问题存在明显争论：一派主张“前推”驻韩美军、深度嵌入第一岛链布局，另一派主张适度后撤至第二岛链，分歧已公开化。同时，日本年内将修订国家安全保障战略等三份安保文件，其防卫政策走向及日韩协调动向值得密切关注。</w:t>
      </w:r>
    </w:p>
    <w:p>
      <w:pPr>
        <w:spacing w:line="360" w:lineRule="auto" w:after="0"/>
      </w:pPr>
      <w:r>
        <w:rPr>
          <w:rFonts w:ascii="Times New Roman" w:hAnsi="Times New Roman" w:eastAsia="黑体"/>
          <w:b/>
          <w:sz w:val="28"/>
        </w:rPr>
        <w:t>二、影响评估与基本研判</w:t>
      </w:r>
    </w:p>
    <w:p>
      <w:pPr>
        <w:spacing w:line="360" w:lineRule="auto" w:after="0"/>
        <w:ind w:firstLine="480"/>
      </w:pPr>
      <w:r>
        <w:rPr>
          <w:rFonts w:ascii="Times New Roman" w:hAnsi="Times New Roman" w:eastAsia="宋体"/>
          <w:b w:val="0"/>
          <w:sz w:val="24"/>
        </w:rPr>
        <w:t>（一）地区安全层面。美韩同盟职能调整与“第一岛链”叙事抬头相互叠加，推动东北亚与东南亚安全议题联动，阵营化、网络化倾向上升，对我周边安全环境构成新的压力。同时，韩方底线约束、日韩历史遗留问题、韩菲合作基础薄弱等因素，将限制相关进程的速度与深度，短期内难以形成针对第三方的完整军事网络。此外，同盟调整与朝鲜半岛局势相互牵动，若朝核态势出现新变化，各方博弈将更趋复杂。</w:t>
      </w:r>
    </w:p>
    <w:p>
      <w:pPr>
        <w:spacing w:line="360" w:lineRule="auto" w:after="0"/>
        <w:ind w:firstLine="480"/>
      </w:pPr>
      <w:r>
        <w:rPr>
          <w:rFonts w:ascii="Times New Roman" w:hAnsi="Times New Roman" w:eastAsia="宋体"/>
          <w:b w:val="0"/>
          <w:sz w:val="24"/>
        </w:rPr>
        <w:t>（二）中韩关系层面。韩方“不介入战争”等表态与我在半岛问题上“不生战、不生乱”的关切存在交集，构成双边关系稳定的现实基础；但随着同盟职能外溢，韩方在涉我敏感议题上面临的配合压力将逐步增大，相关影响具有渐进性、累积性特征，需及早关注、主动塑造。同时，中韩经贸相互依存度依然较高，“经济靠华、安全靠美”的结构性矛盾短期内难以根本改变，构成我稳定双边关系的现实抓手。</w:t>
      </w:r>
    </w:p>
    <w:p>
      <w:pPr>
        <w:spacing w:line="360" w:lineRule="auto" w:after="0"/>
        <w:ind w:firstLine="480"/>
      </w:pPr>
      <w:r>
        <w:rPr>
          <w:rFonts w:ascii="Times New Roman" w:hAnsi="Times New Roman" w:eastAsia="宋体"/>
          <w:b w:val="0"/>
          <w:sz w:val="24"/>
        </w:rPr>
        <w:t>（三）同盟内部层面。韩方“以承担换自主”的策略取向将长期化，与我稳定周边、深化合作的目标存在一定兼容空间；美方内部对前沿投入与力量后撤仍有分歧，加之政权更迭、朝核态势等变量，同盟调整进程存在回摆反复可能。韩国国内政治周期与同盟议题深度交织，后续走向需结合其政局变化动态评估。</w:t>
      </w:r>
    </w:p>
    <w:p>
      <w:pPr>
        <w:spacing w:line="360" w:lineRule="auto" w:after="0"/>
        <w:ind w:firstLine="480"/>
      </w:pPr>
      <w:r>
        <w:rPr>
          <w:rFonts w:ascii="Times New Roman" w:hAnsi="Times New Roman" w:eastAsia="宋体"/>
          <w:b w:val="0"/>
          <w:sz w:val="24"/>
        </w:rPr>
        <w:t>（四）总体研判。一是同盟调整已从“政策讨论”进入“文本落实”阶段，指挥权移交、核动力潜艇、产业捆绑是三大关键抓手，其中指挥权移交可能赋予驻韩美军更大的区域运用弹性，落实节奏将决定同盟“区域化”的深度；二是韩方底线约束仍然有效，但回旋空间受到同盟惯性和美方压力的持续挤压；三是美日韩、日菲方向进展较快，韩菲方向仍在起步，后者是下一步观察重点；四是相关动向对我影响总体可控，但需防止其与地区其他热点问题形成联动共振；五是“东上地图”等认知造势领先于演习、资源层面，其能否“下沉”至演习、教材等环节，是判断同盟调整深度的重要观察点。</w:t>
      </w:r>
    </w:p>
    <w:p>
      <w:pPr>
        <w:spacing w:line="360" w:lineRule="auto" w:after="0"/>
      </w:pPr>
      <w:r>
        <w:rPr>
          <w:rFonts w:ascii="Times New Roman" w:hAnsi="Times New Roman" w:eastAsia="黑体"/>
          <w:b/>
          <w:sz w:val="28"/>
        </w:rPr>
        <w:t>三、对策建议</w:t>
      </w:r>
    </w:p>
    <w:p>
      <w:pPr>
        <w:spacing w:line="360" w:lineRule="auto" w:after="0"/>
      </w:pPr>
      <w:r>
        <w:rPr>
          <w:rFonts w:ascii="Times New Roman" w:hAnsi="Times New Roman" w:eastAsia="黑体"/>
          <w:b/>
          <w:sz w:val="24"/>
        </w:rPr>
        <w:t>（一）主线：稳定中韩关系，推动韩方守住“不介入”底线</w:t>
      </w:r>
    </w:p>
    <w:p>
      <w:pPr>
        <w:spacing w:line="360" w:lineRule="auto" w:after="0"/>
        <w:ind w:firstLine="480"/>
      </w:pPr>
      <w:r>
        <w:rPr>
          <w:rFonts w:ascii="Times New Roman" w:hAnsi="Times New Roman" w:eastAsia="宋体"/>
          <w:b w:val="0"/>
          <w:sz w:val="24"/>
        </w:rPr>
        <w:t>1.保持高层战略沟通势头。建议外交、国防等部门用好既有对话渠道，在年内重要节点前，就“战略灵活性”、同盟职能外溢等涉我关切及时、清晰表明立场，推动韩方坚持将半岛事务与域外事务相区分的基本取向，确保重大关切传递及时、对方反应掌握到位。</w:t>
      </w:r>
    </w:p>
    <w:p>
      <w:pPr>
        <w:spacing w:line="360" w:lineRule="auto" w:after="0"/>
        <w:ind w:firstLine="480"/>
      </w:pPr>
      <w:r>
        <w:rPr>
          <w:rFonts w:ascii="Times New Roman" w:hAnsi="Times New Roman" w:eastAsia="宋体"/>
          <w:b w:val="0"/>
          <w:sz w:val="24"/>
        </w:rPr>
        <w:t>2.深化半岛事务协调。支持半岛和平稳定，以韩方“不介入战争”等表态为对话基础，推动双方在“不生战、不生乱”上形成更明确的共同认知，防止同盟调整冲击半岛局势，适时用好多层次、多领域交流机制，增进相互理解。</w:t>
      </w:r>
    </w:p>
    <w:p>
      <w:pPr>
        <w:spacing w:line="360" w:lineRule="auto" w:after="0"/>
        <w:ind w:firstLine="480"/>
      </w:pPr>
      <w:r>
        <w:rPr>
          <w:rFonts w:ascii="Times New Roman" w:hAnsi="Times New Roman" w:eastAsia="宋体"/>
          <w:b w:val="0"/>
          <w:sz w:val="24"/>
        </w:rPr>
        <w:t>3.明确核心利益红线。在台湾等问题上重申一个中国原则等既有立场，要求韩方恪守承诺、谨言慎行，不参与任何损害我主权和安全利益的行动。</w:t>
      </w:r>
    </w:p>
    <w:p>
      <w:pPr>
        <w:spacing w:line="360" w:lineRule="auto" w:after="0"/>
      </w:pPr>
      <w:r>
        <w:rPr>
          <w:rFonts w:ascii="Times New Roman" w:hAnsi="Times New Roman" w:eastAsia="黑体"/>
          <w:b/>
          <w:sz w:val="24"/>
        </w:rPr>
        <w:t>（二）两翼：稳固经贸纽带，加强叙事塑造</w:t>
      </w:r>
    </w:p>
    <w:p>
      <w:pPr>
        <w:spacing w:line="360" w:lineRule="auto" w:after="0"/>
        <w:ind w:firstLine="480"/>
      </w:pPr>
      <w:r>
        <w:rPr>
          <w:rFonts w:ascii="Times New Roman" w:hAnsi="Times New Roman" w:eastAsia="宋体"/>
          <w:b w:val="0"/>
          <w:sz w:val="24"/>
        </w:rPr>
        <w:t>1.稳固经贸合作基本盘。稳定供应链合作预期，深化半导体、新能源、生物医药等领域互利合作，做好在华韩资企业服务保障，支持双方地方、行业、企业间机制性交流，以扎实的共同利益锚定双边关系基本面。</w:t>
      </w:r>
    </w:p>
    <w:p>
      <w:pPr>
        <w:spacing w:line="360" w:lineRule="auto" w:after="0"/>
        <w:ind w:firstLine="480"/>
      </w:pPr>
      <w:r>
        <w:rPr>
          <w:rFonts w:ascii="Times New Roman" w:hAnsi="Times New Roman" w:eastAsia="宋体"/>
          <w:b w:val="0"/>
          <w:sz w:val="24"/>
        </w:rPr>
        <w:t>2.加强国际叙事塑造。以我为主倡导共同、综合、合作、可持续的安全观，加强与韩国智库、媒体、地方及青年交流，客观介绍我内外政策，防止“阵营对抗”叙事在半岛舆论场固化。</w:t>
      </w:r>
    </w:p>
    <w:p>
      <w:pPr>
        <w:spacing w:line="360" w:lineRule="auto" w:after="0"/>
      </w:pPr>
      <w:r>
        <w:rPr>
          <w:rFonts w:ascii="Times New Roman" w:hAnsi="Times New Roman" w:eastAsia="黑体"/>
          <w:b/>
          <w:sz w:val="24"/>
        </w:rPr>
        <w:t>（三）备选杠杆：审慎运用，留有弹性</w:t>
      </w:r>
    </w:p>
    <w:p>
      <w:pPr>
        <w:spacing w:line="360" w:lineRule="auto" w:after="0"/>
        <w:ind w:firstLine="480"/>
      </w:pPr>
      <w:r>
        <w:rPr>
          <w:rFonts w:ascii="Times New Roman" w:hAnsi="Times New Roman" w:eastAsia="宋体"/>
          <w:b w:val="0"/>
          <w:sz w:val="24"/>
        </w:rPr>
        <w:t>1.保留半岛多边协调空间，视情发挥建设性斡旋作用，增强我在地区安全议题上的话语权。</w:t>
      </w:r>
    </w:p>
    <w:p>
      <w:pPr>
        <w:spacing w:line="360" w:lineRule="auto" w:after="0"/>
        <w:ind w:firstLine="480"/>
      </w:pPr>
      <w:r>
        <w:rPr>
          <w:rFonts w:ascii="Times New Roman" w:hAnsi="Times New Roman" w:eastAsia="宋体"/>
          <w:b w:val="0"/>
          <w:sz w:val="24"/>
        </w:rPr>
        <w:t>2.完善涉我核心利益问题的对等反应预案，对越线言行及时、有度回应，形成清晰稳定的行为预期。</w:t>
      </w:r>
    </w:p>
    <w:p>
      <w:pPr>
        <w:spacing w:line="360" w:lineRule="auto" w:after="0"/>
        <w:ind w:firstLine="480"/>
      </w:pPr>
      <w:r>
        <w:rPr>
          <w:rFonts w:ascii="Times New Roman" w:hAnsi="Times New Roman" w:eastAsia="宋体"/>
          <w:b w:val="0"/>
          <w:sz w:val="24"/>
        </w:rPr>
        <w:t>3.梳理关键矿产、文化合作等领域政策工具箱，坚持备而不用、留有弹性，防止过度工具化损害双边关系大局。</w:t>
      </w:r>
    </w:p>
    <w:p>
      <w:pPr>
        <w:spacing w:line="360" w:lineRule="auto" w:after="0"/>
      </w:pPr>
      <w:r>
        <w:rPr>
          <w:rFonts w:ascii="Times New Roman" w:hAnsi="Times New Roman" w:eastAsia="黑体"/>
          <w:b/>
          <w:sz w:val="24"/>
        </w:rPr>
        <w:t>（四）保障：动态跟踪与风险防控</w:t>
      </w:r>
    </w:p>
    <w:p>
      <w:pPr>
        <w:spacing w:line="360" w:lineRule="auto" w:after="0"/>
        <w:ind w:firstLine="480"/>
      </w:pPr>
      <w:r>
        <w:rPr>
          <w:rFonts w:ascii="Times New Roman" w:hAnsi="Times New Roman" w:eastAsia="宋体"/>
          <w:b w:val="0"/>
          <w:sz w:val="24"/>
        </w:rPr>
        <w:t>1.建立对美韩同盟动态的常态化评估机制，重点跟踪11月韩美安保会议成果、霍尔木兹方向动向、核动力潜艇磋商进展、韩菲军事合作走向等关键节点，力争在会议前形成阶段性研判；在此基础上，健全常态化、滚动式报告机制。</w:t>
      </w:r>
    </w:p>
    <w:p>
      <w:pPr>
        <w:spacing w:line="360" w:lineRule="auto" w:after="0"/>
        <w:ind w:firstLine="480"/>
      </w:pPr>
      <w:r>
        <w:rPr>
          <w:rFonts w:ascii="Times New Roman" w:hAnsi="Times New Roman" w:eastAsia="宋体"/>
          <w:b w:val="0"/>
          <w:sz w:val="24"/>
        </w:rPr>
        <w:t>2.完善涉海、涉我核心利益突发情况处置预案，统一对外表态口径，确保处置及时稳妥、快速有效。</w:t>
      </w:r>
    </w:p>
    <w:p>
      <w:pPr>
        <w:spacing w:line="360" w:lineRule="auto" w:after="0"/>
        <w:ind w:firstLine="480"/>
      </w:pPr>
      <w:r>
        <w:rPr>
          <w:rFonts w:ascii="Times New Roman" w:hAnsi="Times New Roman" w:eastAsia="宋体"/>
          <w:b w:val="0"/>
          <w:sz w:val="24"/>
        </w:rPr>
        <w:t>3.加强国内舆论引导，坚持客观理性解读，防止情绪化炒作消耗我战略资源、干扰外交运筹。</w:t>
      </w:r>
    </w:p>
    <w:p>
      <w:pPr>
        <w:spacing w:line="360" w:lineRule="auto" w:after="0"/>
      </w:pPr>
      <w:r>
        <w:rPr>
          <w:rFonts w:ascii="Times New Roman" w:hAnsi="Times New Roman" w:eastAsia="黑体"/>
          <w:b/>
          <w:sz w:val="28"/>
        </w:rPr>
        <w:t>四、结语</w:t>
      </w:r>
    </w:p>
    <w:p>
      <w:pPr>
        <w:spacing w:line="360" w:lineRule="auto" w:after="0"/>
        <w:ind w:firstLine="480"/>
      </w:pPr>
      <w:r>
        <w:rPr>
          <w:rFonts w:ascii="Times New Roman" w:hAnsi="Times New Roman" w:eastAsia="宋体"/>
          <w:b w:val="0"/>
          <w:sz w:val="24"/>
        </w:rPr>
        <w:t>当前，美韩同盟调整正处于“文本落实”的关键窗口期，11月韩美安保会议及后续军事动向是最重要的观察节点。我方宜把握半岛和平稳定与中韩共同利益的交汇点，以稳定对话和务实合作引导同盟调整的边界与走向，切实维护我周边战略环境总体稳定。</w:t>
      </w:r>
    </w:p>
    <w:p>
      <w:pPr>
        <w:spacing w:line="360" w:lineRule="auto" w:after="0"/>
      </w:pPr>
      <w:r>
        <w:rPr>
          <w:rFonts w:ascii="Times New Roman" w:hAnsi="Times New Roman" w:eastAsia="楷体"/>
          <w:b w:val="0"/>
          <w:sz w:val="21"/>
        </w:rPr>
        <w:t>附注：本报告事实与数据截至2026年9月22日。主要来源：美国《国防战略》（2026年1月）、美韩首脑会谈共同说明资料（韩国外交部，2025年11月14日）、韩美联合国防协商机制第29次会议联合声明（韩联社，2026年9月19日）、美日韩外长联合声明（美国国务院，2026年9月21日）、驻韩美军“东上地图”相关宣介材料、日本2026年版《防卫白皮书》及美国智库公开报告等，均可公开查证。</w:t>
      </w:r>
    </w:p>
    <w:sectPr w:rsidR="00FC693F" w:rsidRPr="0006063C" w:rsidSect="00034616">
      <w:pgSz w:w="12240" w:h="15840"/>
      <w:pgMar w:top="1440" w:right="1474" w:bottom="1440" w:left="158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