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A6" w:rsidRPr="00B53DBC" w:rsidRDefault="00D05459" w:rsidP="002B3036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B53DBC">
        <w:rPr>
          <w:rFonts w:ascii="Times New Roman" w:hAnsi="Times New Roman" w:cs="Times New Roman"/>
          <w:b/>
          <w:sz w:val="40"/>
          <w:szCs w:val="40"/>
        </w:rPr>
        <w:t>Лабораторная работа</w:t>
      </w:r>
    </w:p>
    <w:p w:rsidR="00182EB3" w:rsidRDefault="00182EB3" w:rsidP="002B303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B53DBC">
        <w:rPr>
          <w:rFonts w:ascii="Times New Roman" w:hAnsi="Times New Roman" w:cs="Times New Roman"/>
          <w:b/>
          <w:sz w:val="36"/>
          <w:szCs w:val="36"/>
        </w:rPr>
        <w:t>Тема</w:t>
      </w:r>
      <w:r w:rsidR="00B53DBC" w:rsidRPr="00B53DBC">
        <w:rPr>
          <w:rFonts w:ascii="Times New Roman" w:hAnsi="Times New Roman" w:cs="Times New Roman"/>
          <w:b/>
          <w:sz w:val="36"/>
          <w:szCs w:val="36"/>
        </w:rPr>
        <w:t>:</w:t>
      </w:r>
      <w:r w:rsidR="00401A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01A81" w:rsidRPr="00401A81">
        <w:rPr>
          <w:rFonts w:ascii="Times New Roman" w:hAnsi="Times New Roman" w:cs="Times New Roman"/>
          <w:sz w:val="32"/>
          <w:szCs w:val="32"/>
        </w:rPr>
        <w:t xml:space="preserve">Обследование объекта автоматизации: </w:t>
      </w:r>
      <w:r w:rsidR="003E2DC7">
        <w:rPr>
          <w:rFonts w:ascii="Times New Roman" w:hAnsi="Times New Roman" w:cs="Times New Roman"/>
          <w:sz w:val="32"/>
          <w:szCs w:val="32"/>
        </w:rPr>
        <w:t xml:space="preserve">построение </w:t>
      </w:r>
      <w:r w:rsidR="002F2D99">
        <w:rPr>
          <w:rFonts w:ascii="Times New Roman" w:hAnsi="Times New Roman" w:cs="Times New Roman"/>
          <w:sz w:val="32"/>
          <w:szCs w:val="32"/>
        </w:rPr>
        <w:t>процессной</w:t>
      </w:r>
      <w:r w:rsidR="003E2DC7">
        <w:rPr>
          <w:rFonts w:ascii="Times New Roman" w:hAnsi="Times New Roman" w:cs="Times New Roman"/>
          <w:sz w:val="32"/>
          <w:szCs w:val="32"/>
        </w:rPr>
        <w:t xml:space="preserve"> модели</w:t>
      </w:r>
      <w:r w:rsidR="00C271F1" w:rsidRPr="00401A8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94EDC" w:rsidRPr="00401A81" w:rsidRDefault="00594EDC" w:rsidP="002B303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C271F1" w:rsidRDefault="00182EB3" w:rsidP="002B303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B53DBC">
        <w:rPr>
          <w:rFonts w:ascii="Times New Roman" w:hAnsi="Times New Roman" w:cs="Times New Roman"/>
          <w:b/>
          <w:sz w:val="36"/>
          <w:szCs w:val="36"/>
        </w:rPr>
        <w:t>Цель работы:</w:t>
      </w:r>
      <w:r w:rsidRPr="00182EB3">
        <w:rPr>
          <w:rFonts w:ascii="Times New Roman" w:hAnsi="Times New Roman" w:cs="Times New Roman"/>
          <w:sz w:val="32"/>
          <w:szCs w:val="32"/>
        </w:rPr>
        <w:t xml:space="preserve"> </w:t>
      </w:r>
      <w:r w:rsidR="00756637">
        <w:rPr>
          <w:rFonts w:ascii="Times New Roman" w:hAnsi="Times New Roman" w:cs="Times New Roman"/>
          <w:sz w:val="32"/>
          <w:szCs w:val="32"/>
        </w:rPr>
        <w:t xml:space="preserve">Построение </w:t>
      </w:r>
      <w:r w:rsidR="002F2D99">
        <w:rPr>
          <w:rFonts w:ascii="Times New Roman" w:hAnsi="Times New Roman" w:cs="Times New Roman"/>
          <w:sz w:val="32"/>
          <w:szCs w:val="32"/>
        </w:rPr>
        <w:t>процессной</w:t>
      </w:r>
      <w:r w:rsidR="00756637">
        <w:rPr>
          <w:rFonts w:ascii="Times New Roman" w:hAnsi="Times New Roman" w:cs="Times New Roman"/>
          <w:sz w:val="32"/>
          <w:szCs w:val="32"/>
        </w:rPr>
        <w:t xml:space="preserve"> модели объекта автоматизации</w:t>
      </w:r>
    </w:p>
    <w:p w:rsidR="003E2DC7" w:rsidRPr="00C271F1" w:rsidRDefault="003E2DC7" w:rsidP="002B303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00EF0" w:rsidRPr="00B53DBC" w:rsidRDefault="00182EB3" w:rsidP="002B3036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B53DBC">
        <w:rPr>
          <w:rFonts w:ascii="Times New Roman" w:hAnsi="Times New Roman" w:cs="Times New Roman"/>
          <w:b/>
          <w:sz w:val="36"/>
          <w:szCs w:val="36"/>
        </w:rPr>
        <w:t xml:space="preserve">Теоретический </w:t>
      </w:r>
      <w:r w:rsidR="004227FE" w:rsidRPr="00B53DBC">
        <w:rPr>
          <w:rFonts w:ascii="Times New Roman" w:hAnsi="Times New Roman" w:cs="Times New Roman"/>
          <w:b/>
          <w:sz w:val="36"/>
          <w:szCs w:val="36"/>
        </w:rPr>
        <w:t>материал</w:t>
      </w:r>
      <w:r w:rsidR="004227FE" w:rsidRPr="00B53DBC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B53DBC" w:rsidRDefault="00B53DBC" w:rsidP="002B3036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2B3036" w:rsidRDefault="002B3036" w:rsidP="002B303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6E2F">
        <w:rPr>
          <w:rFonts w:ascii="Times New Roman" w:hAnsi="Times New Roman" w:cs="Times New Roman"/>
          <w:b/>
          <w:sz w:val="28"/>
          <w:szCs w:val="28"/>
        </w:rPr>
        <w:t xml:space="preserve">Бизнес-процесс и его </w:t>
      </w:r>
      <w:r>
        <w:rPr>
          <w:rFonts w:ascii="Times New Roman" w:hAnsi="Times New Roman" w:cs="Times New Roman"/>
          <w:b/>
          <w:sz w:val="28"/>
          <w:szCs w:val="28"/>
        </w:rPr>
        <w:t>элементы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3626E">
        <w:rPr>
          <w:rFonts w:ascii="Times New Roman" w:hAnsi="Times New Roman" w:cs="Times New Roman"/>
          <w:sz w:val="28"/>
          <w:szCs w:val="28"/>
        </w:rPr>
        <w:t>Любая современная компания является сложной организационной структурой с большим объемом документов, циркулирующих как внутри компании, так и между компанией и другими физическими и юридическими лицами.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626E">
        <w:rPr>
          <w:rFonts w:ascii="Times New Roman" w:hAnsi="Times New Roman" w:cs="Times New Roman"/>
          <w:sz w:val="28"/>
          <w:szCs w:val="28"/>
        </w:rPr>
        <w:t>Процессный подход позволяет рассматривать деятельность учреждения как связанную систему деловых процессов, каждый из которых протекает во взаимосвязи с другими процессами или внешней средой.</w:t>
      </w:r>
      <w:r>
        <w:rPr>
          <w:rFonts w:ascii="Times New Roman" w:hAnsi="Times New Roman" w:cs="Times New Roman"/>
          <w:sz w:val="28"/>
          <w:szCs w:val="28"/>
        </w:rPr>
        <w:t xml:space="preserve"> В основе процессного подхода лежит понятие бизнес-процесса.</w:t>
      </w:r>
    </w:p>
    <w:p w:rsidR="002B3036" w:rsidRDefault="002B3036" w:rsidP="002B3036">
      <w:pPr>
        <w:jc w:val="both"/>
        <w:rPr>
          <w:rFonts w:ascii="Times New Roman" w:hAnsi="Times New Roman" w:cs="Times New Roman"/>
          <w:sz w:val="28"/>
          <w:szCs w:val="28"/>
        </w:rPr>
      </w:pPr>
      <w:r w:rsidRPr="00D93B42">
        <w:rPr>
          <w:rFonts w:ascii="Times New Roman" w:hAnsi="Times New Roman" w:cs="Times New Roman"/>
          <w:b/>
          <w:sz w:val="28"/>
          <w:szCs w:val="28"/>
        </w:rPr>
        <w:t>Бизнес-процесс</w:t>
      </w:r>
      <w:r w:rsidRPr="00D93B42">
        <w:rPr>
          <w:rFonts w:ascii="Times New Roman" w:hAnsi="Times New Roman" w:cs="Times New Roman"/>
          <w:sz w:val="28"/>
          <w:szCs w:val="28"/>
        </w:rPr>
        <w:t>— это совокупность взаимосвязанных мероприятий или работ, выполняемых по определенным технологиям,</w:t>
      </w:r>
      <w:r>
        <w:rPr>
          <w:rFonts w:ascii="Times New Roman" w:hAnsi="Times New Roman" w:cs="Times New Roman"/>
          <w:sz w:val="28"/>
          <w:szCs w:val="28"/>
        </w:rPr>
        <w:t xml:space="preserve"> преобразующим входной поток бизнес-процесса в выходной поток и направленным</w:t>
      </w:r>
      <w:r w:rsidRPr="00D93B42">
        <w:rPr>
          <w:rFonts w:ascii="Times New Roman" w:hAnsi="Times New Roman" w:cs="Times New Roman"/>
          <w:sz w:val="28"/>
          <w:szCs w:val="28"/>
        </w:rPr>
        <w:t xml:space="preserve"> на создание определённого ценного продукта или услуги для потребителей</w:t>
      </w:r>
      <w:r w:rsidR="00E90D26">
        <w:rPr>
          <w:rFonts w:ascii="Times New Roman" w:hAnsi="Times New Roman" w:cs="Times New Roman"/>
          <w:sz w:val="28"/>
          <w:szCs w:val="28"/>
        </w:rPr>
        <w:t xml:space="preserve"> (Рис.1)</w:t>
      </w:r>
      <w:r w:rsidRPr="00D93B42">
        <w:rPr>
          <w:rFonts w:ascii="Times New Roman" w:hAnsi="Times New Roman" w:cs="Times New Roman"/>
          <w:sz w:val="28"/>
          <w:szCs w:val="28"/>
        </w:rPr>
        <w:t>.</w:t>
      </w:r>
    </w:p>
    <w:p w:rsidR="002B3036" w:rsidRDefault="002B3036" w:rsidP="002B30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бизнес-процесса позволяет целостно описать ОА как сложную систему т.к. в нем представлены все составляющие ОА, их функции и взаимосвязи между ними.</w:t>
      </w:r>
    </w:p>
    <w:p w:rsidR="002B3036" w:rsidRDefault="002B3036" w:rsidP="002B3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76E9AC" wp14:editId="51EF3BBB">
            <wp:extent cx="5276850" cy="2980621"/>
            <wp:effectExtent l="0" t="0" r="0" b="0"/>
            <wp:docPr id="1" name="Рисунок 1" descr="https://ktovdele.ru/wp-content/uploads/2015/09/biznes-process1-825x466-1521118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tovdele.ru/wp-content/uploads/2015/09/biznes-process1-825x466-15211186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972" cy="298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D26" w:rsidRDefault="00E90D26" w:rsidP="002B3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Схема бизнес-процесса верхнего уровня</w:t>
      </w:r>
    </w:p>
    <w:p w:rsidR="002B3036" w:rsidRPr="00E84034" w:rsidRDefault="002B3036" w:rsidP="002B3036">
      <w:pPr>
        <w:jc w:val="both"/>
        <w:rPr>
          <w:rFonts w:ascii="Times New Roman" w:hAnsi="Times New Roman" w:cs="Times New Roman"/>
          <w:sz w:val="28"/>
          <w:szCs w:val="28"/>
        </w:rPr>
      </w:pPr>
      <w:r w:rsidRPr="00E84034">
        <w:rPr>
          <w:rFonts w:ascii="Times New Roman" w:hAnsi="Times New Roman" w:cs="Times New Roman"/>
          <w:sz w:val="28"/>
          <w:szCs w:val="28"/>
        </w:rPr>
        <w:lastRenderedPageBreak/>
        <w:t xml:space="preserve">Вход </w:t>
      </w:r>
      <w:r>
        <w:rPr>
          <w:rFonts w:ascii="Times New Roman" w:hAnsi="Times New Roman" w:cs="Times New Roman"/>
          <w:sz w:val="28"/>
          <w:szCs w:val="28"/>
        </w:rPr>
        <w:t>бизнес-процесса</w:t>
      </w:r>
      <w:r w:rsidRPr="00E84034">
        <w:rPr>
          <w:rFonts w:ascii="Times New Roman" w:hAnsi="Times New Roman" w:cs="Times New Roman"/>
          <w:sz w:val="28"/>
          <w:szCs w:val="28"/>
        </w:rPr>
        <w:t xml:space="preserve"> –продукт, который в ходе выполнения </w:t>
      </w:r>
      <w:r>
        <w:rPr>
          <w:rFonts w:ascii="Times New Roman" w:hAnsi="Times New Roman" w:cs="Times New Roman"/>
          <w:sz w:val="28"/>
          <w:szCs w:val="28"/>
        </w:rPr>
        <w:t>бизнес-</w:t>
      </w:r>
      <w:r w:rsidRPr="00E84034">
        <w:rPr>
          <w:rFonts w:ascii="Times New Roman" w:hAnsi="Times New Roman" w:cs="Times New Roman"/>
          <w:sz w:val="28"/>
          <w:szCs w:val="28"/>
        </w:rPr>
        <w:t>процесса преобразуется в выход. Входы проц</w:t>
      </w:r>
      <w:r>
        <w:rPr>
          <w:rFonts w:ascii="Times New Roman" w:hAnsi="Times New Roman" w:cs="Times New Roman"/>
          <w:sz w:val="28"/>
          <w:szCs w:val="28"/>
        </w:rPr>
        <w:t>есса поступают в процесс извне (</w:t>
      </w:r>
      <w:r w:rsidRPr="00E84034">
        <w:rPr>
          <w:rFonts w:ascii="Times New Roman" w:hAnsi="Times New Roman" w:cs="Times New Roman"/>
          <w:sz w:val="28"/>
          <w:szCs w:val="28"/>
        </w:rPr>
        <w:t>сырье, материалы, полуфабрикаты, документация, информация, персонал, услуги и т.д.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B3036" w:rsidRPr="00E84034" w:rsidRDefault="002B3036" w:rsidP="002B3036">
      <w:pPr>
        <w:jc w:val="both"/>
        <w:rPr>
          <w:rFonts w:ascii="Times New Roman" w:hAnsi="Times New Roman" w:cs="Times New Roman"/>
          <w:sz w:val="28"/>
          <w:szCs w:val="28"/>
        </w:rPr>
      </w:pPr>
      <w:r w:rsidRPr="00E84034">
        <w:rPr>
          <w:rFonts w:ascii="Times New Roman" w:hAnsi="Times New Roman" w:cs="Times New Roman"/>
          <w:sz w:val="28"/>
          <w:szCs w:val="28"/>
        </w:rPr>
        <w:t xml:space="preserve">Выход </w:t>
      </w:r>
      <w:r>
        <w:rPr>
          <w:rFonts w:ascii="Times New Roman" w:hAnsi="Times New Roman" w:cs="Times New Roman"/>
          <w:sz w:val="28"/>
          <w:szCs w:val="28"/>
        </w:rPr>
        <w:t>бизнес-процесса</w:t>
      </w:r>
      <w:r w:rsidRPr="00E84034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(продукт, услуга) выполнения бизнес-процесса (</w:t>
      </w:r>
      <w:r w:rsidRPr="00E84034">
        <w:rPr>
          <w:rFonts w:ascii="Times New Roman" w:hAnsi="Times New Roman" w:cs="Times New Roman"/>
          <w:sz w:val="28"/>
          <w:szCs w:val="28"/>
        </w:rPr>
        <w:t>готовая продукция, документация, информация, персонал, услуги и т.д</w:t>
      </w:r>
      <w:r>
        <w:rPr>
          <w:rFonts w:ascii="Times New Roman" w:hAnsi="Times New Roman" w:cs="Times New Roman"/>
          <w:sz w:val="28"/>
          <w:szCs w:val="28"/>
        </w:rPr>
        <w:t>.)</w:t>
      </w:r>
    </w:p>
    <w:p w:rsidR="002B3036" w:rsidRDefault="002B3036" w:rsidP="002B30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 бизнес-процесса</w:t>
      </w:r>
      <w:r w:rsidRPr="00E84034">
        <w:rPr>
          <w:rFonts w:ascii="Times New Roman" w:hAnsi="Times New Roman" w:cs="Times New Roman"/>
          <w:sz w:val="28"/>
          <w:szCs w:val="28"/>
        </w:rPr>
        <w:t xml:space="preserve"> – материальный или информационный объект, постоянно используемый для выполнения процесса, но</w:t>
      </w:r>
      <w:r>
        <w:rPr>
          <w:rFonts w:ascii="Times New Roman" w:hAnsi="Times New Roman" w:cs="Times New Roman"/>
          <w:sz w:val="28"/>
          <w:szCs w:val="28"/>
        </w:rPr>
        <w:t xml:space="preserve"> не являющийся входом процесса (инструменты, оборудование, информационные ресурсы, персонал и т.д.)</w:t>
      </w:r>
    </w:p>
    <w:p w:rsidR="002B3036" w:rsidRDefault="002B3036" w:rsidP="002B30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бизнес-процесса – ответственное лицо (владелец бизнес-процесса), которое отвечает за слаженное функционирование бизнес-процесса, управляет ходом бизнес-процесса и несет ответственность за результаты бизнес-процесса, а также методики, инструкции, правила, законодательство, согласно которым протекает бизнес-процесс.</w:t>
      </w:r>
    </w:p>
    <w:p w:rsidR="002B3036" w:rsidRDefault="002B3036" w:rsidP="002B3036">
      <w:pPr>
        <w:jc w:val="both"/>
        <w:rPr>
          <w:rFonts w:ascii="Times New Roman" w:hAnsi="Times New Roman" w:cs="Times New Roman"/>
          <w:sz w:val="28"/>
          <w:szCs w:val="28"/>
        </w:rPr>
      </w:pPr>
      <w:r w:rsidRPr="0053626E">
        <w:rPr>
          <w:rFonts w:ascii="Times New Roman" w:hAnsi="Times New Roman" w:cs="Times New Roman"/>
          <w:b/>
          <w:sz w:val="28"/>
          <w:szCs w:val="28"/>
        </w:rPr>
        <w:t>Проектирование процессной модели ОА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F6F9B">
        <w:rPr>
          <w:rFonts w:ascii="Times New Roman" w:hAnsi="Times New Roman" w:cs="Times New Roman"/>
          <w:b/>
          <w:sz w:val="28"/>
          <w:szCs w:val="28"/>
        </w:rPr>
        <w:t>Нотация</w:t>
      </w:r>
      <w:r w:rsidRPr="007C32D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6F9B">
        <w:rPr>
          <w:rFonts w:ascii="Times New Roman" w:hAnsi="Times New Roman" w:cs="Times New Roman"/>
          <w:b/>
          <w:sz w:val="28"/>
          <w:szCs w:val="28"/>
          <w:lang w:val="en-US"/>
        </w:rPr>
        <w:t>eEPC</w:t>
      </w:r>
      <w:proofErr w:type="spellEnd"/>
      <w:r w:rsidRPr="007C32D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F6F9B">
        <w:rPr>
          <w:rFonts w:ascii="Times New Roman" w:hAnsi="Times New Roman" w:cs="Times New Roman"/>
          <w:b/>
          <w:sz w:val="28"/>
          <w:szCs w:val="28"/>
          <w:lang w:val="en-US"/>
        </w:rPr>
        <w:t>Extended</w:t>
      </w:r>
      <w:r w:rsidRPr="007C32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6F9B">
        <w:rPr>
          <w:rFonts w:ascii="Times New Roman" w:hAnsi="Times New Roman" w:cs="Times New Roman"/>
          <w:b/>
          <w:sz w:val="28"/>
          <w:szCs w:val="28"/>
          <w:lang w:val="en-US"/>
        </w:rPr>
        <w:t>Events</w:t>
      </w:r>
      <w:r w:rsidRPr="007C32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6F9B"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7C32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6F9B">
        <w:rPr>
          <w:rFonts w:ascii="Times New Roman" w:hAnsi="Times New Roman" w:cs="Times New Roman"/>
          <w:b/>
          <w:sz w:val="28"/>
          <w:szCs w:val="28"/>
          <w:lang w:val="en-US"/>
        </w:rPr>
        <w:t>Chain</w:t>
      </w:r>
      <w:r w:rsidRPr="007C32DF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для проектирования процессной модели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Процессная модель</w:t>
      </w:r>
      <w:r w:rsidRPr="0053626E">
        <w:rPr>
          <w:rFonts w:ascii="Times New Roman" w:hAnsi="Times New Roman" w:cs="Times New Roman"/>
          <w:sz w:val="28"/>
          <w:szCs w:val="28"/>
        </w:rPr>
        <w:t xml:space="preserve"> - описание деятельности предприятия в виде</w:t>
      </w:r>
      <w:r>
        <w:rPr>
          <w:rFonts w:ascii="Times New Roman" w:hAnsi="Times New Roman" w:cs="Times New Roman"/>
          <w:sz w:val="28"/>
          <w:szCs w:val="28"/>
        </w:rPr>
        <w:t xml:space="preserve"> совокупности</w:t>
      </w:r>
      <w:r w:rsidRPr="0053626E">
        <w:rPr>
          <w:rFonts w:ascii="Times New Roman" w:hAnsi="Times New Roman" w:cs="Times New Roman"/>
          <w:sz w:val="28"/>
          <w:szCs w:val="28"/>
        </w:rPr>
        <w:t xml:space="preserve"> бизнес-процессов, непрерывных взаимосвязанных функций.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626E">
        <w:rPr>
          <w:rFonts w:ascii="Times New Roman" w:hAnsi="Times New Roman" w:cs="Times New Roman"/>
          <w:sz w:val="28"/>
          <w:szCs w:val="28"/>
        </w:rPr>
        <w:t xml:space="preserve">Процессное моделирование осуществляется с помощью графических нотаций, текстового описания процессов и создания структуры процессов (например, дерева бизнес-процессов). </w:t>
      </w:r>
    </w:p>
    <w:p w:rsidR="002B3036" w:rsidRDefault="002B3036" w:rsidP="002B3036">
      <w:pPr>
        <w:jc w:val="both"/>
        <w:rPr>
          <w:rFonts w:ascii="Times New Roman" w:hAnsi="Times New Roman" w:cs="Times New Roman"/>
          <w:sz w:val="28"/>
          <w:szCs w:val="28"/>
        </w:rPr>
      </w:pPr>
      <w:r w:rsidRPr="0053626E">
        <w:rPr>
          <w:rFonts w:ascii="Times New Roman" w:hAnsi="Times New Roman" w:cs="Times New Roman"/>
          <w:sz w:val="28"/>
          <w:szCs w:val="28"/>
        </w:rPr>
        <w:t xml:space="preserve">Процессная модель описывается в виде последовательности функций, реализуемой отдельными элементами организационной структуры. Модель бизнес-процесса связана с информационными, </w:t>
      </w:r>
      <w:r>
        <w:rPr>
          <w:rFonts w:ascii="Times New Roman" w:hAnsi="Times New Roman" w:cs="Times New Roman"/>
          <w:sz w:val="28"/>
          <w:szCs w:val="28"/>
        </w:rPr>
        <w:t>материальными</w:t>
      </w:r>
      <w:r w:rsidRPr="0053626E">
        <w:rPr>
          <w:rFonts w:ascii="Times New Roman" w:hAnsi="Times New Roman" w:cs="Times New Roman"/>
          <w:sz w:val="28"/>
          <w:szCs w:val="28"/>
        </w:rPr>
        <w:t xml:space="preserve"> и/или финансовыми потоками между функциями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3626E">
        <w:rPr>
          <w:rFonts w:ascii="Times New Roman" w:hAnsi="Times New Roman" w:cs="Times New Roman"/>
          <w:sz w:val="28"/>
          <w:szCs w:val="28"/>
        </w:rPr>
        <w:t xml:space="preserve"> Существует ряд нотаций бизнес-процесса, который применяется при моделировании бизнес-процессов. Нотации, как правило, отражают концептуальный подход (и методологию) разработчиков нотации к описанию и моделированию бизнес-процессов.</w:t>
      </w:r>
    </w:p>
    <w:p w:rsidR="002B3036" w:rsidRDefault="002B3036" w:rsidP="002B30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C6B8A">
        <w:rPr>
          <w:rFonts w:ascii="Times New Roman" w:hAnsi="Times New Roman" w:cs="Times New Roman"/>
          <w:sz w:val="28"/>
          <w:szCs w:val="28"/>
        </w:rPr>
        <w:t xml:space="preserve">К числу наиболее практически важных, относится основная нотация архитектуры ARIS — нотация </w:t>
      </w:r>
      <w:proofErr w:type="spellStart"/>
      <w:r w:rsidRPr="009C6B8A">
        <w:rPr>
          <w:rFonts w:ascii="Times New Roman" w:hAnsi="Times New Roman" w:cs="Times New Roman"/>
          <w:sz w:val="28"/>
          <w:szCs w:val="28"/>
        </w:rPr>
        <w:t>eEPC</w:t>
      </w:r>
      <w:proofErr w:type="spellEnd"/>
      <w:r w:rsidRPr="009C6B8A">
        <w:rPr>
          <w:rFonts w:ascii="Times New Roman" w:hAnsi="Times New Roman" w:cs="Times New Roman"/>
          <w:sz w:val="28"/>
          <w:szCs w:val="28"/>
        </w:rPr>
        <w:t>, что означает «расширенная цепочка процесса, управляемого событиями».</w:t>
      </w:r>
    </w:p>
    <w:p w:rsidR="002B3036" w:rsidRPr="008F479A" w:rsidRDefault="002B3036" w:rsidP="002B30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методология проектирования рассматривает бизнес-процесс как последовательность событий и действий. Каждый процесс начинается с некоторого события и порождает некоторое действие, которое также порождает некоторое событие. Цепочка бизнес-процесс должна начинаться и заканчиваться событием. </w:t>
      </w:r>
    </w:p>
    <w:p w:rsidR="002B3036" w:rsidRDefault="002B3036" w:rsidP="002B30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479A">
        <w:rPr>
          <w:rFonts w:ascii="Times New Roman" w:hAnsi="Times New Roman" w:cs="Times New Roman"/>
          <w:sz w:val="28"/>
          <w:szCs w:val="28"/>
        </w:rPr>
        <w:t xml:space="preserve">При построении модели в ARIS </w:t>
      </w:r>
      <w:proofErr w:type="spellStart"/>
      <w:r w:rsidRPr="008F479A">
        <w:rPr>
          <w:rFonts w:ascii="Times New Roman" w:hAnsi="Times New Roman" w:cs="Times New Roman"/>
          <w:sz w:val="28"/>
          <w:szCs w:val="28"/>
        </w:rPr>
        <w:t>eEPC</w:t>
      </w:r>
      <w:proofErr w:type="spellEnd"/>
      <w:r w:rsidRPr="008F479A">
        <w:rPr>
          <w:rFonts w:ascii="Times New Roman" w:hAnsi="Times New Roman" w:cs="Times New Roman"/>
          <w:sz w:val="28"/>
          <w:szCs w:val="28"/>
        </w:rPr>
        <w:t xml:space="preserve"> должны</w:t>
      </w:r>
      <w:r>
        <w:rPr>
          <w:rFonts w:ascii="Times New Roman" w:hAnsi="Times New Roman" w:cs="Times New Roman"/>
          <w:sz w:val="28"/>
          <w:szCs w:val="28"/>
        </w:rPr>
        <w:t xml:space="preserve"> неукоснительно</w:t>
      </w:r>
      <w:r w:rsidRPr="008F479A">
        <w:rPr>
          <w:rFonts w:ascii="Times New Roman" w:hAnsi="Times New Roman" w:cs="Times New Roman"/>
          <w:sz w:val="28"/>
          <w:szCs w:val="28"/>
        </w:rPr>
        <w:t xml:space="preserve"> соблюдаться следующие правила: </w:t>
      </w:r>
    </w:p>
    <w:p w:rsidR="002B3036" w:rsidRPr="008F479A" w:rsidRDefault="002B3036" w:rsidP="002B3036">
      <w:pPr>
        <w:pStyle w:val="a3"/>
        <w:numPr>
          <w:ilvl w:val="0"/>
          <w:numId w:val="10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8F479A">
        <w:rPr>
          <w:rFonts w:ascii="Times New Roman" w:hAnsi="Times New Roman" w:cs="Times New Roman"/>
          <w:sz w:val="28"/>
          <w:szCs w:val="28"/>
        </w:rPr>
        <w:t>каждая функция инициируется и завершается событием;</w:t>
      </w:r>
    </w:p>
    <w:p w:rsidR="002B3036" w:rsidRDefault="002B3036" w:rsidP="002B3036">
      <w:pPr>
        <w:pStyle w:val="a3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8F479A">
        <w:rPr>
          <w:rFonts w:ascii="Times New Roman" w:hAnsi="Times New Roman" w:cs="Times New Roman"/>
          <w:sz w:val="28"/>
          <w:szCs w:val="28"/>
        </w:rPr>
        <w:t>в каждую функцию не может входить более одной стрелки, запускающей выполнение функции, и выходить более одной стрелки, описывающей завершение выполнения функции.</w:t>
      </w:r>
    </w:p>
    <w:p w:rsidR="002B3036" w:rsidRPr="00B778CE" w:rsidRDefault="007379EA" w:rsidP="002B3036">
      <w:pPr>
        <w:ind w:left="-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</w:t>
      </w:r>
      <w:r w:rsidR="002B3036">
        <w:rPr>
          <w:rFonts w:ascii="Times New Roman" w:hAnsi="Times New Roman" w:cs="Times New Roman"/>
          <w:sz w:val="28"/>
          <w:szCs w:val="28"/>
        </w:rPr>
        <w:t xml:space="preserve">1 представлены элементы нотации </w:t>
      </w:r>
      <w:proofErr w:type="spellStart"/>
      <w:r w:rsidR="002B3036">
        <w:rPr>
          <w:rFonts w:ascii="Times New Roman" w:hAnsi="Times New Roman" w:cs="Times New Roman"/>
          <w:sz w:val="28"/>
          <w:szCs w:val="28"/>
          <w:lang w:val="en-US"/>
        </w:rPr>
        <w:t>eEPC</w:t>
      </w:r>
      <w:proofErr w:type="spellEnd"/>
    </w:p>
    <w:p w:rsidR="00171D32" w:rsidRDefault="00171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3036" w:rsidRPr="00B778CE" w:rsidRDefault="007379EA" w:rsidP="002B3036">
      <w:pPr>
        <w:ind w:left="-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2B3036">
        <w:rPr>
          <w:rFonts w:ascii="Times New Roman" w:hAnsi="Times New Roman" w:cs="Times New Roman"/>
          <w:sz w:val="28"/>
          <w:szCs w:val="28"/>
        </w:rPr>
        <w:t xml:space="preserve">1 – Элементы нотации </w:t>
      </w:r>
      <w:proofErr w:type="spellStart"/>
      <w:r w:rsidR="002B3036">
        <w:rPr>
          <w:rFonts w:ascii="Times New Roman" w:hAnsi="Times New Roman" w:cs="Times New Roman"/>
          <w:sz w:val="28"/>
          <w:szCs w:val="28"/>
          <w:lang w:val="en-US"/>
        </w:rPr>
        <w:t>eEPC</w:t>
      </w:r>
      <w:proofErr w:type="spellEnd"/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3402"/>
        <w:gridCol w:w="6379"/>
      </w:tblGrid>
      <w:tr w:rsidR="002B3036" w:rsidTr="007A603E">
        <w:tc>
          <w:tcPr>
            <w:tcW w:w="3402" w:type="dxa"/>
            <w:vAlign w:val="center"/>
          </w:tcPr>
          <w:p w:rsidR="002B3036" w:rsidRDefault="002B3036" w:rsidP="002B30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B4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D36360" wp14:editId="0598500A">
                  <wp:extent cx="1533525" cy="100268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835" cy="1013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2B3036" w:rsidRPr="007F403D" w:rsidRDefault="002B3036" w:rsidP="002B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2368">
              <w:rPr>
                <w:rFonts w:ascii="Times New Roman" w:hAnsi="Times New Roman" w:cs="Times New Roman"/>
                <w:b/>
                <w:sz w:val="24"/>
                <w:szCs w:val="24"/>
              </w:rPr>
              <w:t>Event</w:t>
            </w:r>
            <w:proofErr w:type="spellEnd"/>
            <w:r w:rsidRPr="00622368">
              <w:rPr>
                <w:rFonts w:ascii="Times New Roman" w:hAnsi="Times New Roman" w:cs="Times New Roman"/>
                <w:sz w:val="24"/>
                <w:szCs w:val="24"/>
              </w:rPr>
              <w:t>- состояние, которое является существенным для целей управления бизнесом и оказывает влияние или контролирует дальнейшее развитие одного или более бизнес-процессов. Элемент отображает события, активизирующие функции или порождаемые функциями. Внутри блока помещается наименование события.</w:t>
            </w:r>
            <w:r w:rsidRPr="002B3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Событие именуется отглагольным существительным.</w:t>
            </w:r>
          </w:p>
          <w:p w:rsidR="002B3036" w:rsidRPr="00622368" w:rsidRDefault="002B3036" w:rsidP="002B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3036" w:rsidTr="007A603E">
        <w:tc>
          <w:tcPr>
            <w:tcW w:w="3402" w:type="dxa"/>
            <w:vAlign w:val="center"/>
          </w:tcPr>
          <w:p w:rsidR="002B3036" w:rsidRDefault="002B3036" w:rsidP="002B30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B4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F435444" wp14:editId="15049D3B">
                  <wp:extent cx="1466850" cy="95909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773" cy="96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2B3036" w:rsidRPr="00622368" w:rsidRDefault="002B3036" w:rsidP="002B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2368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proofErr w:type="spellEnd"/>
            <w:r w:rsidRPr="00622368">
              <w:rPr>
                <w:rFonts w:ascii="Times New Roman" w:hAnsi="Times New Roman" w:cs="Times New Roman"/>
                <w:sz w:val="24"/>
                <w:szCs w:val="24"/>
              </w:rPr>
              <w:t xml:space="preserve"> - действие или набор действий, выполняемых над исходным объектом с целью получения заданного результата. Внутри блока помещается наименование функции</w:t>
            </w:r>
            <w:r w:rsidRPr="007F40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22368">
              <w:rPr>
                <w:rFonts w:ascii="Times New Roman" w:hAnsi="Times New Roman" w:cs="Times New Roman"/>
                <w:sz w:val="24"/>
                <w:szCs w:val="24"/>
              </w:rPr>
              <w:t>глагол или отглагольное существительное</w:t>
            </w:r>
            <w:r w:rsidRPr="007F40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22368">
              <w:rPr>
                <w:rFonts w:ascii="Times New Roman" w:hAnsi="Times New Roman" w:cs="Times New Roman"/>
                <w:sz w:val="24"/>
                <w:szCs w:val="24"/>
              </w:rPr>
              <w:t>. Временная последовательность выполнения функций задается расположением функций на диаграмме процесса сверху вниз.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Функция именуется глаголом или отглагольным существительным.</w:t>
            </w:r>
          </w:p>
        </w:tc>
      </w:tr>
      <w:tr w:rsidR="002B3036" w:rsidTr="007A603E">
        <w:tc>
          <w:tcPr>
            <w:tcW w:w="3402" w:type="dxa"/>
            <w:vAlign w:val="center"/>
          </w:tcPr>
          <w:p w:rsidR="002B3036" w:rsidRDefault="002B3036" w:rsidP="002B30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B4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D10A2D1" wp14:editId="32432995">
                  <wp:extent cx="1485900" cy="971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vMerge w:val="restart"/>
            <w:vAlign w:val="center"/>
          </w:tcPr>
          <w:p w:rsidR="002B3036" w:rsidRPr="00622368" w:rsidRDefault="002B3036" w:rsidP="002B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368">
              <w:rPr>
                <w:rFonts w:ascii="Times New Roman" w:hAnsi="Times New Roman" w:cs="Times New Roman"/>
                <w:sz w:val="24"/>
                <w:szCs w:val="24"/>
              </w:rPr>
              <w:t>См. «Организационная модель ОА»</w:t>
            </w:r>
          </w:p>
        </w:tc>
      </w:tr>
      <w:tr w:rsidR="002B3036" w:rsidTr="007A603E">
        <w:tc>
          <w:tcPr>
            <w:tcW w:w="3402" w:type="dxa"/>
            <w:vAlign w:val="center"/>
          </w:tcPr>
          <w:p w:rsidR="002B3036" w:rsidRDefault="002B3036" w:rsidP="002B30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B4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9F0422" wp14:editId="506E5F5F">
                  <wp:extent cx="1485900" cy="971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vMerge/>
          </w:tcPr>
          <w:p w:rsidR="002B3036" w:rsidRDefault="002B3036" w:rsidP="002B30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036" w:rsidTr="007A603E">
        <w:tc>
          <w:tcPr>
            <w:tcW w:w="3402" w:type="dxa"/>
            <w:vAlign w:val="center"/>
          </w:tcPr>
          <w:p w:rsidR="002B3036" w:rsidRDefault="002B3036" w:rsidP="002B30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B4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54DA33E" wp14:editId="7E7C524B">
                  <wp:extent cx="1485900" cy="971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vMerge/>
          </w:tcPr>
          <w:p w:rsidR="002B3036" w:rsidRDefault="002B3036" w:rsidP="002B30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036" w:rsidTr="007A603E">
        <w:tc>
          <w:tcPr>
            <w:tcW w:w="3402" w:type="dxa"/>
            <w:vAlign w:val="center"/>
          </w:tcPr>
          <w:p w:rsidR="002B3036" w:rsidRDefault="002B3036" w:rsidP="002B30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B4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6E001C" wp14:editId="5106E533">
                  <wp:extent cx="1466850" cy="971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vMerge/>
          </w:tcPr>
          <w:p w:rsidR="002B3036" w:rsidRDefault="002B3036" w:rsidP="002B30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036" w:rsidTr="007A603E">
        <w:tc>
          <w:tcPr>
            <w:tcW w:w="3402" w:type="dxa"/>
          </w:tcPr>
          <w:p w:rsidR="002B3036" w:rsidRDefault="002B3036" w:rsidP="002B30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B4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093A3C2" wp14:editId="0AFE05DF">
                  <wp:extent cx="1485900" cy="9715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vAlign w:val="center"/>
          </w:tcPr>
          <w:p w:rsidR="002B3036" w:rsidRPr="00622368" w:rsidRDefault="002B3036" w:rsidP="002B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3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Entity</w:t>
            </w:r>
            <w:r w:rsidRPr="006223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22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Pr="00622368">
              <w:rPr>
                <w:rFonts w:ascii="Times New Roman" w:hAnsi="Times New Roman" w:cs="Times New Roman"/>
                <w:sz w:val="24"/>
                <w:szCs w:val="24"/>
              </w:rPr>
              <w:t>ущность</w:t>
            </w:r>
            <w:proofErr w:type="spellEnd"/>
            <w:r w:rsidRPr="00622368">
              <w:rPr>
                <w:rFonts w:ascii="Times New Roman" w:hAnsi="Times New Roman" w:cs="Times New Roman"/>
                <w:sz w:val="24"/>
                <w:szCs w:val="24"/>
              </w:rPr>
              <w:t xml:space="preserve">) – смысловая единица </w:t>
            </w:r>
            <w:proofErr w:type="spellStart"/>
            <w:r w:rsidRPr="00622368">
              <w:rPr>
                <w:rFonts w:ascii="Times New Roman" w:hAnsi="Times New Roman" w:cs="Times New Roman"/>
                <w:sz w:val="24"/>
                <w:szCs w:val="24"/>
              </w:rPr>
              <w:t>даталогической</w:t>
            </w:r>
            <w:proofErr w:type="spellEnd"/>
            <w:r w:rsidRPr="00622368">
              <w:rPr>
                <w:rFonts w:ascii="Times New Roman" w:hAnsi="Times New Roman" w:cs="Times New Roman"/>
                <w:sz w:val="24"/>
                <w:szCs w:val="24"/>
              </w:rPr>
              <w:t xml:space="preserve"> модели (</w:t>
            </w:r>
            <w:r w:rsidRPr="00622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 w:rsidRPr="006223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22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  <w:r w:rsidRPr="00622368">
              <w:rPr>
                <w:rFonts w:ascii="Times New Roman" w:hAnsi="Times New Roman" w:cs="Times New Roman"/>
                <w:sz w:val="24"/>
                <w:szCs w:val="24"/>
              </w:rPr>
              <w:t>, модель «сущность - связь»)</w:t>
            </w:r>
          </w:p>
        </w:tc>
      </w:tr>
      <w:tr w:rsidR="002B3036" w:rsidTr="007A603E">
        <w:tc>
          <w:tcPr>
            <w:tcW w:w="3402" w:type="dxa"/>
          </w:tcPr>
          <w:p w:rsidR="002B3036" w:rsidRDefault="002B3036" w:rsidP="002B30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B4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33FEEC" wp14:editId="3BC78571">
                  <wp:extent cx="1466850" cy="971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vAlign w:val="center"/>
          </w:tcPr>
          <w:p w:rsidR="002B3036" w:rsidRPr="00622368" w:rsidRDefault="002B3036" w:rsidP="002B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3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Database</w:t>
            </w:r>
            <w:r w:rsidRPr="00622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622368">
              <w:rPr>
                <w:rFonts w:ascii="Times New Roman" w:hAnsi="Times New Roman" w:cs="Times New Roman"/>
                <w:sz w:val="24"/>
                <w:szCs w:val="24"/>
              </w:rPr>
              <w:t>источник данных</w:t>
            </w:r>
          </w:p>
        </w:tc>
      </w:tr>
      <w:tr w:rsidR="002B3036" w:rsidTr="007A603E">
        <w:trPr>
          <w:trHeight w:val="1743"/>
        </w:trPr>
        <w:tc>
          <w:tcPr>
            <w:tcW w:w="3402" w:type="dxa"/>
          </w:tcPr>
          <w:p w:rsidR="002B3036" w:rsidRPr="00A00B45" w:rsidRDefault="002B3036" w:rsidP="002B3036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00B4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057147E" wp14:editId="57BA1ACF">
                  <wp:extent cx="1485900" cy="9715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vAlign w:val="center"/>
          </w:tcPr>
          <w:p w:rsidR="002B3036" w:rsidRPr="00622368" w:rsidRDefault="002B3036" w:rsidP="002B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3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Document</w:t>
            </w:r>
            <w:r w:rsidRPr="00622368">
              <w:rPr>
                <w:rFonts w:ascii="Times New Roman" w:hAnsi="Times New Roman" w:cs="Times New Roman"/>
                <w:sz w:val="24"/>
                <w:szCs w:val="24"/>
              </w:rPr>
              <w:t xml:space="preserve"> – бумажный или электронный носитель информации</w:t>
            </w:r>
          </w:p>
        </w:tc>
      </w:tr>
      <w:tr w:rsidR="002B3036" w:rsidTr="007A603E">
        <w:trPr>
          <w:trHeight w:val="148"/>
        </w:trPr>
        <w:tc>
          <w:tcPr>
            <w:tcW w:w="3402" w:type="dxa"/>
          </w:tcPr>
          <w:p w:rsidR="002B3036" w:rsidRPr="00A00B45" w:rsidRDefault="002B3036" w:rsidP="002B3036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00B4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9A36CEA" wp14:editId="2D960E32">
                  <wp:extent cx="1485900" cy="9715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vAlign w:val="center"/>
          </w:tcPr>
          <w:p w:rsidR="002B3036" w:rsidRPr="00622368" w:rsidRDefault="002B3036" w:rsidP="002B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3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IT system – </w:t>
            </w:r>
            <w:r w:rsidRPr="00622368"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</w:t>
            </w:r>
          </w:p>
        </w:tc>
      </w:tr>
      <w:tr w:rsidR="002B3036" w:rsidTr="007A603E">
        <w:trPr>
          <w:trHeight w:val="148"/>
        </w:trPr>
        <w:tc>
          <w:tcPr>
            <w:tcW w:w="3402" w:type="dxa"/>
          </w:tcPr>
          <w:p w:rsidR="002B3036" w:rsidRPr="00A00B45" w:rsidRDefault="002B3036" w:rsidP="002B3036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00B4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0AB6F0D" wp14:editId="7BD02C39">
                  <wp:extent cx="1466850" cy="9715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vAlign w:val="center"/>
          </w:tcPr>
          <w:p w:rsidR="002B3036" w:rsidRPr="00622368" w:rsidRDefault="002B3036" w:rsidP="002B30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3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Product</w:t>
            </w:r>
            <w:r w:rsidRPr="006223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Pr="00622368">
              <w:rPr>
                <w:rFonts w:ascii="Times New Roman" w:hAnsi="Times New Roman" w:cs="Times New Roman"/>
                <w:sz w:val="24"/>
                <w:szCs w:val="24"/>
              </w:rPr>
              <w:t>ресурс или услуга, используемый как для входа в функцию, так и как результат ее выполнения</w:t>
            </w:r>
          </w:p>
        </w:tc>
      </w:tr>
      <w:tr w:rsidR="002B3036" w:rsidTr="007A603E">
        <w:trPr>
          <w:trHeight w:val="148"/>
        </w:trPr>
        <w:tc>
          <w:tcPr>
            <w:tcW w:w="3402" w:type="dxa"/>
          </w:tcPr>
          <w:p w:rsidR="002B3036" w:rsidRPr="00A00B45" w:rsidRDefault="002B3036" w:rsidP="002B3036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00B4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C3D7320" wp14:editId="5C768C88">
                  <wp:extent cx="1476375" cy="96202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vAlign w:val="center"/>
          </w:tcPr>
          <w:p w:rsidR="002B3036" w:rsidRPr="00622368" w:rsidRDefault="002B3036" w:rsidP="002B30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3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Risk</w:t>
            </w:r>
            <w:r w:rsidRPr="0062236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622368">
              <w:rPr>
                <w:sz w:val="24"/>
                <w:szCs w:val="24"/>
              </w:rPr>
              <w:t xml:space="preserve"> </w:t>
            </w:r>
            <w:r w:rsidRPr="00622368">
              <w:rPr>
                <w:rFonts w:ascii="Times New Roman" w:hAnsi="Times New Roman" w:cs="Times New Roman"/>
                <w:sz w:val="24"/>
                <w:szCs w:val="24"/>
              </w:rPr>
              <w:t>возможная опасность того, что процесс не достигнет цели</w:t>
            </w:r>
          </w:p>
        </w:tc>
      </w:tr>
      <w:tr w:rsidR="002B3036" w:rsidTr="007A603E">
        <w:trPr>
          <w:trHeight w:val="148"/>
        </w:trPr>
        <w:tc>
          <w:tcPr>
            <w:tcW w:w="3402" w:type="dxa"/>
          </w:tcPr>
          <w:p w:rsidR="002B3036" w:rsidRDefault="002B3036" w:rsidP="002B3036">
            <w:pPr>
              <w:jc w:val="both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43050" cy="100965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vAlign w:val="center"/>
          </w:tcPr>
          <w:p w:rsidR="002B3036" w:rsidRPr="00622368" w:rsidRDefault="002B3036" w:rsidP="002B30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3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Process</w:t>
            </w:r>
            <w:r w:rsidRPr="006223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223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interface</w:t>
            </w:r>
            <w:r w:rsidRPr="006223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Pr="00622368">
              <w:rPr>
                <w:rFonts w:ascii="Times New Roman" w:hAnsi="Times New Roman" w:cs="Times New Roman"/>
                <w:sz w:val="24"/>
                <w:szCs w:val="24"/>
              </w:rPr>
              <w:t>элемент, обозначающий внешний (по отношению к текущей диаграмме) процесс или функцию. Используется для указания взаимосвязи процессов. Обозначает предыдущий или следующий процесс по отношению к диаграмме рассматриваемого процесса; обозначает процесс, откуда поступил или куда передается объект. Внутри блока помещается наименование внешнего процесса.</w:t>
            </w:r>
          </w:p>
        </w:tc>
      </w:tr>
      <w:tr w:rsidR="002B3036" w:rsidTr="007A603E">
        <w:trPr>
          <w:trHeight w:val="148"/>
        </w:trPr>
        <w:tc>
          <w:tcPr>
            <w:tcW w:w="3402" w:type="dxa"/>
          </w:tcPr>
          <w:p w:rsidR="002B3036" w:rsidRPr="009C7828" w:rsidRDefault="002B3036" w:rsidP="002B3036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00B4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AFA2BA0" wp14:editId="7A687A61">
                  <wp:extent cx="676275" cy="676275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2B3036" w:rsidRPr="00622368" w:rsidRDefault="002B3036" w:rsidP="002B30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223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AND</w:t>
            </w:r>
            <w:proofErr w:type="gramEnd"/>
            <w:r w:rsidRPr="006223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(И) – </w:t>
            </w:r>
            <w:r w:rsidRPr="00622368">
              <w:rPr>
                <w:rFonts w:ascii="Times New Roman" w:hAnsi="Times New Roman" w:cs="Times New Roman"/>
                <w:sz w:val="24"/>
                <w:szCs w:val="24"/>
              </w:rPr>
              <w:t>логический оператор, определяющий, что все события (или функции), объединенные данным оператором должны выполняться одновременно.</w:t>
            </w:r>
          </w:p>
        </w:tc>
      </w:tr>
      <w:tr w:rsidR="002B3036" w:rsidTr="007A603E">
        <w:trPr>
          <w:trHeight w:val="148"/>
        </w:trPr>
        <w:tc>
          <w:tcPr>
            <w:tcW w:w="3402" w:type="dxa"/>
          </w:tcPr>
          <w:p w:rsidR="002B3036" w:rsidRPr="009C7828" w:rsidRDefault="002B3036" w:rsidP="002B3036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00B4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52BD29A" wp14:editId="4D3B1F0F">
                  <wp:extent cx="676275" cy="676275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2B3036" w:rsidRPr="00862B28" w:rsidRDefault="002B3036" w:rsidP="002B303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6E5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XOR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F6B62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Исключающее ИЛИ</w:t>
            </w:r>
            <w:proofErr w:type="gramStart"/>
            <w:r w:rsidRPr="005F6B62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62B28">
              <w:rPr>
                <w:rFonts w:ascii="Times New Roman" w:hAnsi="Times New Roman" w:cs="Times New Roman"/>
                <w:sz w:val="28"/>
                <w:szCs w:val="28"/>
              </w:rPr>
              <w:t>ло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гический оператор, определяющий, что должно выполняться только одно из событий (или функций), объединенных данным оператором</w:t>
            </w:r>
            <w:r w:rsidRPr="00862B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B3036" w:rsidTr="007A603E">
        <w:trPr>
          <w:trHeight w:val="148"/>
        </w:trPr>
        <w:tc>
          <w:tcPr>
            <w:tcW w:w="3402" w:type="dxa"/>
          </w:tcPr>
          <w:p w:rsidR="002B3036" w:rsidRPr="009C7828" w:rsidRDefault="002B3036" w:rsidP="002B3036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00B4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023565E" wp14:editId="16B53EC6">
                  <wp:extent cx="676275" cy="676275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2B3036" w:rsidRPr="005F6B62" w:rsidRDefault="002B3036" w:rsidP="002B303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6E5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(ИЛИ) - </w:t>
            </w:r>
            <w:r w:rsidRPr="00862B28">
              <w:rPr>
                <w:rFonts w:ascii="Times New Roman" w:hAnsi="Times New Roman" w:cs="Times New Roman"/>
                <w:sz w:val="28"/>
                <w:szCs w:val="28"/>
              </w:rPr>
              <w:t>ло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гический оператор, определяющий, что должно выполняться хотя бы одно из событий (или функций), объединенных данным оператором</w:t>
            </w:r>
          </w:p>
        </w:tc>
      </w:tr>
    </w:tbl>
    <w:p w:rsidR="006C58FE" w:rsidRDefault="006C58FE" w:rsidP="002B3036">
      <w:pPr>
        <w:ind w:left="-11"/>
        <w:jc w:val="both"/>
        <w:rPr>
          <w:rFonts w:ascii="Times New Roman" w:hAnsi="Times New Roman" w:cs="Times New Roman"/>
          <w:sz w:val="28"/>
          <w:szCs w:val="28"/>
        </w:rPr>
      </w:pPr>
    </w:p>
    <w:p w:rsidR="007A603E" w:rsidRDefault="006C58FE" w:rsidP="002B3036">
      <w:pPr>
        <w:ind w:left="-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2B3036">
        <w:rPr>
          <w:rFonts w:ascii="Times New Roman" w:hAnsi="Times New Roman" w:cs="Times New Roman"/>
          <w:sz w:val="28"/>
          <w:szCs w:val="28"/>
        </w:rPr>
        <w:t xml:space="preserve">2 представлены типы ветвлений и соединений функций и событий в нотации </w:t>
      </w:r>
      <w:proofErr w:type="spellStart"/>
      <w:r w:rsidR="002B3036">
        <w:rPr>
          <w:rFonts w:ascii="Times New Roman" w:hAnsi="Times New Roman" w:cs="Times New Roman"/>
          <w:sz w:val="28"/>
          <w:szCs w:val="28"/>
          <w:lang w:val="en-US"/>
        </w:rPr>
        <w:t>eEPC</w:t>
      </w:r>
      <w:proofErr w:type="spellEnd"/>
    </w:p>
    <w:p w:rsidR="007A603E" w:rsidRDefault="007A60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C58FE" w:rsidRPr="00502E4E" w:rsidRDefault="006C58FE" w:rsidP="002B3036">
      <w:pPr>
        <w:ind w:left="-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Типы ветвлений и соединений в нотации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eEPC</w:t>
      </w:r>
      <w:proofErr w:type="spellEnd"/>
    </w:p>
    <w:p w:rsidR="002B3036" w:rsidRDefault="002B3036" w:rsidP="009B18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35F7B0" wp14:editId="2B6BF8E6">
            <wp:extent cx="6724650" cy="7143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26048" cy="71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36" w:rsidRDefault="002B3036" w:rsidP="002B3036">
      <w:pPr>
        <w:ind w:left="-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3860DA" wp14:editId="55E8681B">
            <wp:extent cx="6610350" cy="65424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5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4E" w:rsidRPr="00FD1BAD" w:rsidRDefault="00502E4E" w:rsidP="002B3036">
      <w:pPr>
        <w:ind w:left="-11"/>
        <w:jc w:val="both"/>
        <w:rPr>
          <w:rFonts w:ascii="Times New Roman" w:hAnsi="Times New Roman" w:cs="Times New Roman"/>
          <w:sz w:val="28"/>
          <w:szCs w:val="28"/>
        </w:rPr>
      </w:pPr>
    </w:p>
    <w:p w:rsidR="002B3036" w:rsidRDefault="002B3036" w:rsidP="002B3036">
      <w:pPr>
        <w:ind w:left="-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Получение товара от поставщика осуществляется визуальным контролем и сопоставлением с сопроводительными документами (ТТН). Данные ТТН вносятся в ИС «СКЛАД». Данную операцию осуществляет менеджер. Далее товар на основании сопроводительной ТМЦ приходуется на склад с внесением сведений о нем в документ «Карточка ТМЦ». Операцию выполняют совместно менеджер и кладовщик.</w:t>
      </w:r>
    </w:p>
    <w:p w:rsidR="00960CD4" w:rsidRDefault="002B3036" w:rsidP="007217C0">
      <w:pPr>
        <w:ind w:left="-11"/>
        <w:jc w:val="both"/>
        <w:rPr>
          <w:rFonts w:ascii="Times New Roman" w:hAnsi="Times New Roman" w:cs="Times New Roman"/>
          <w:sz w:val="28"/>
          <w:szCs w:val="28"/>
        </w:rPr>
      </w:pPr>
      <w:r w:rsidRPr="00B778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EEB6A3" wp14:editId="13E17B76">
            <wp:extent cx="6562725" cy="10039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959" cy="1003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D1D" w:rsidRPr="007A1BD1" w:rsidRDefault="00A93D1D" w:rsidP="002B3036">
      <w:pPr>
        <w:tabs>
          <w:tab w:val="left" w:pos="3190"/>
          <w:tab w:val="left" w:pos="4536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A93D1D">
        <w:rPr>
          <w:rFonts w:ascii="Times New Roman" w:hAnsi="Times New Roman" w:cs="Times New Roman"/>
          <w:b/>
          <w:sz w:val="32"/>
          <w:szCs w:val="32"/>
        </w:rPr>
        <w:lastRenderedPageBreak/>
        <w:t>Ход</w:t>
      </w:r>
      <w:r w:rsidRPr="007A1BD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93D1D">
        <w:rPr>
          <w:rFonts w:ascii="Times New Roman" w:hAnsi="Times New Roman" w:cs="Times New Roman"/>
          <w:b/>
          <w:sz w:val="32"/>
          <w:szCs w:val="32"/>
        </w:rPr>
        <w:t>работы</w:t>
      </w:r>
      <w:r w:rsidR="00647D06" w:rsidRPr="007A1BD1">
        <w:rPr>
          <w:rFonts w:ascii="Times New Roman" w:hAnsi="Times New Roman" w:cs="Times New Roman"/>
          <w:b/>
          <w:sz w:val="32"/>
          <w:szCs w:val="32"/>
        </w:rPr>
        <w:tab/>
      </w:r>
    </w:p>
    <w:p w:rsidR="00C25A1D" w:rsidRDefault="003376A8" w:rsidP="002B3036">
      <w:pPr>
        <w:pStyle w:val="a3"/>
        <w:numPr>
          <w:ilvl w:val="0"/>
          <w:numId w:val="8"/>
        </w:numPr>
        <w:tabs>
          <w:tab w:val="left" w:pos="709"/>
        </w:tabs>
        <w:ind w:left="0" w:hanging="2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Используя </w:t>
      </w:r>
      <w:r w:rsidR="007A1BD1">
        <w:rPr>
          <w:rFonts w:ascii="Times New Roman" w:hAnsi="Times New Roman" w:cs="Times New Roman"/>
          <w:sz w:val="32"/>
          <w:szCs w:val="32"/>
        </w:rPr>
        <w:t>нотацию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ARIS</w:t>
      </w:r>
      <w:r w:rsidRPr="003376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E7BC4">
        <w:rPr>
          <w:rFonts w:ascii="Times New Roman" w:hAnsi="Times New Roman" w:cs="Times New Roman"/>
          <w:sz w:val="32"/>
          <w:szCs w:val="32"/>
          <w:lang w:val="en-US"/>
        </w:rPr>
        <w:t>eEPC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спроектировать </w:t>
      </w:r>
      <w:r w:rsidR="00FE7BC4" w:rsidRPr="00FE7BC4">
        <w:rPr>
          <w:rFonts w:ascii="Times New Roman" w:hAnsi="Times New Roman" w:cs="Times New Roman"/>
          <w:sz w:val="32"/>
          <w:szCs w:val="32"/>
        </w:rPr>
        <w:t>процессную</w:t>
      </w:r>
      <w:r w:rsidR="00960CD4">
        <w:rPr>
          <w:rFonts w:ascii="Times New Roman" w:hAnsi="Times New Roman" w:cs="Times New Roman"/>
          <w:sz w:val="32"/>
          <w:szCs w:val="32"/>
        </w:rPr>
        <w:t xml:space="preserve"> модель </w:t>
      </w:r>
      <w:r>
        <w:rPr>
          <w:rFonts w:ascii="Times New Roman" w:hAnsi="Times New Roman" w:cs="Times New Roman"/>
          <w:sz w:val="32"/>
          <w:szCs w:val="32"/>
        </w:rPr>
        <w:t>объекта</w:t>
      </w:r>
      <w:r w:rsidR="00DC2F80" w:rsidRPr="00DC2F80">
        <w:rPr>
          <w:rFonts w:ascii="Times New Roman" w:hAnsi="Times New Roman" w:cs="Times New Roman"/>
          <w:sz w:val="32"/>
          <w:szCs w:val="32"/>
        </w:rPr>
        <w:t xml:space="preserve"> </w:t>
      </w:r>
      <w:r w:rsidR="00DC2F80">
        <w:rPr>
          <w:rFonts w:ascii="Times New Roman" w:hAnsi="Times New Roman" w:cs="Times New Roman"/>
          <w:sz w:val="32"/>
          <w:szCs w:val="32"/>
        </w:rPr>
        <w:t>автоматизации</w:t>
      </w:r>
      <w:r w:rsidR="00FE7BC4">
        <w:rPr>
          <w:rFonts w:ascii="Times New Roman" w:hAnsi="Times New Roman" w:cs="Times New Roman"/>
          <w:sz w:val="32"/>
          <w:szCs w:val="32"/>
        </w:rPr>
        <w:t>.</w:t>
      </w:r>
    </w:p>
    <w:p w:rsidR="003376A8" w:rsidRPr="00960CD4" w:rsidRDefault="00960CD4" w:rsidP="002B3036">
      <w:pPr>
        <w:pStyle w:val="a3"/>
        <w:numPr>
          <w:ilvl w:val="0"/>
          <w:numId w:val="8"/>
        </w:numPr>
        <w:tabs>
          <w:tab w:val="left" w:pos="709"/>
        </w:tabs>
        <w:ind w:left="0" w:hanging="2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Результаты работы отразить в отчете о ходе выполнения лабораторной работы. Подготовить ответы на контрольные вопросы.</w:t>
      </w:r>
    </w:p>
    <w:p w:rsidR="001B2253" w:rsidRDefault="001B2253" w:rsidP="002B3036">
      <w:pPr>
        <w:tabs>
          <w:tab w:val="left" w:pos="319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Контрольные вопро</w:t>
      </w:r>
      <w:r w:rsidRPr="001B2253">
        <w:rPr>
          <w:rFonts w:ascii="Times New Roman" w:hAnsi="Times New Roman" w:cs="Times New Roman"/>
          <w:b/>
          <w:sz w:val="32"/>
          <w:szCs w:val="32"/>
        </w:rPr>
        <w:t>сы</w:t>
      </w:r>
    </w:p>
    <w:p w:rsidR="00923EEF" w:rsidRPr="00F638E9" w:rsidRDefault="007A1BD1" w:rsidP="00F638E9">
      <w:pPr>
        <w:pStyle w:val="a3"/>
        <w:numPr>
          <w:ilvl w:val="0"/>
          <w:numId w:val="8"/>
        </w:numPr>
        <w:tabs>
          <w:tab w:val="left" w:pos="709"/>
        </w:tabs>
        <w:ind w:left="0" w:hanging="2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Что такое </w:t>
      </w:r>
      <w:r w:rsidR="00B12C3D">
        <w:rPr>
          <w:rFonts w:ascii="Times New Roman" w:hAnsi="Times New Roman" w:cs="Times New Roman"/>
          <w:sz w:val="32"/>
          <w:szCs w:val="32"/>
        </w:rPr>
        <w:t>бизнес-процесс</w:t>
      </w:r>
      <w:r w:rsidR="00960CD4" w:rsidRPr="00960CD4">
        <w:rPr>
          <w:rFonts w:ascii="Times New Roman" w:hAnsi="Times New Roman" w:cs="Times New Roman"/>
          <w:sz w:val="32"/>
          <w:szCs w:val="32"/>
        </w:rPr>
        <w:t xml:space="preserve">? </w:t>
      </w:r>
    </w:p>
    <w:p w:rsidR="00960CD4" w:rsidRPr="00F638E9" w:rsidRDefault="00B12C3D" w:rsidP="00F638E9">
      <w:pPr>
        <w:pStyle w:val="a3"/>
        <w:numPr>
          <w:ilvl w:val="0"/>
          <w:numId w:val="8"/>
        </w:numPr>
        <w:tabs>
          <w:tab w:val="left" w:pos="709"/>
        </w:tabs>
        <w:ind w:left="0" w:hanging="2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Зачем необходимо проектировать процессную модель объекта автоматизации</w:t>
      </w:r>
      <w:r w:rsidR="00960CD4" w:rsidRPr="00960CD4">
        <w:rPr>
          <w:rFonts w:ascii="Times New Roman" w:hAnsi="Times New Roman" w:cs="Times New Roman"/>
          <w:sz w:val="32"/>
          <w:szCs w:val="32"/>
        </w:rPr>
        <w:t>?</w:t>
      </w:r>
    </w:p>
    <w:p w:rsidR="00F507D7" w:rsidRPr="00F638E9" w:rsidRDefault="007F1286" w:rsidP="00F638E9">
      <w:pPr>
        <w:pStyle w:val="a3"/>
        <w:numPr>
          <w:ilvl w:val="0"/>
          <w:numId w:val="8"/>
        </w:numPr>
        <w:tabs>
          <w:tab w:val="left" w:pos="709"/>
        </w:tabs>
        <w:ind w:left="0" w:hanging="2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Какие нотации в среде </w:t>
      </w:r>
      <w:r w:rsidRPr="00F638E9">
        <w:rPr>
          <w:rFonts w:ascii="Times New Roman" w:hAnsi="Times New Roman" w:cs="Times New Roman"/>
          <w:sz w:val="32"/>
          <w:szCs w:val="32"/>
        </w:rPr>
        <w:t>ARIS</w:t>
      </w:r>
      <w:r>
        <w:rPr>
          <w:rFonts w:ascii="Times New Roman" w:hAnsi="Times New Roman" w:cs="Times New Roman"/>
          <w:sz w:val="32"/>
          <w:szCs w:val="32"/>
        </w:rPr>
        <w:t xml:space="preserve"> используются для проектирования процессной модели</w:t>
      </w:r>
      <w:r w:rsidRPr="007F1286">
        <w:rPr>
          <w:rFonts w:ascii="Times New Roman" w:hAnsi="Times New Roman" w:cs="Times New Roman"/>
          <w:sz w:val="32"/>
          <w:szCs w:val="32"/>
        </w:rPr>
        <w:t>?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286" w:rsidRPr="00F638E9" w:rsidRDefault="007F1286" w:rsidP="00F638E9">
      <w:pPr>
        <w:pStyle w:val="a3"/>
        <w:numPr>
          <w:ilvl w:val="0"/>
          <w:numId w:val="8"/>
        </w:numPr>
        <w:tabs>
          <w:tab w:val="left" w:pos="709"/>
        </w:tabs>
        <w:ind w:left="0" w:hanging="2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Расскажите о нотации </w:t>
      </w:r>
      <w:proofErr w:type="spellStart"/>
      <w:r w:rsidRPr="00F638E9">
        <w:rPr>
          <w:rFonts w:ascii="Times New Roman" w:hAnsi="Times New Roman" w:cs="Times New Roman"/>
          <w:sz w:val="32"/>
          <w:szCs w:val="32"/>
        </w:rPr>
        <w:t>eEPC</w:t>
      </w:r>
      <w:proofErr w:type="spellEnd"/>
      <w:r w:rsidR="00C2209E">
        <w:rPr>
          <w:rFonts w:ascii="Times New Roman" w:hAnsi="Times New Roman" w:cs="Times New Roman"/>
          <w:sz w:val="32"/>
          <w:szCs w:val="32"/>
        </w:rPr>
        <w:t>, о ее назначении и основных требованиях к построению моделей в этой нотации.</w:t>
      </w:r>
    </w:p>
    <w:p w:rsidR="007F1286" w:rsidRDefault="007F1286" w:rsidP="00F638E9">
      <w:pPr>
        <w:pStyle w:val="a3"/>
        <w:numPr>
          <w:ilvl w:val="0"/>
          <w:numId w:val="8"/>
        </w:numPr>
        <w:tabs>
          <w:tab w:val="left" w:pos="709"/>
        </w:tabs>
        <w:ind w:left="0" w:hanging="2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Расскажите о элементах нотации </w:t>
      </w:r>
      <w:proofErr w:type="spellStart"/>
      <w:r w:rsidRPr="00F638E9">
        <w:rPr>
          <w:rFonts w:ascii="Times New Roman" w:hAnsi="Times New Roman" w:cs="Times New Roman"/>
          <w:sz w:val="32"/>
          <w:szCs w:val="32"/>
        </w:rPr>
        <w:t>eEPC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их назначении.</w:t>
      </w:r>
    </w:p>
    <w:p w:rsidR="007F1286" w:rsidRDefault="007F1286" w:rsidP="00F638E9">
      <w:pPr>
        <w:pStyle w:val="a3"/>
        <w:numPr>
          <w:ilvl w:val="0"/>
          <w:numId w:val="8"/>
        </w:numPr>
        <w:tabs>
          <w:tab w:val="left" w:pos="709"/>
        </w:tabs>
        <w:ind w:left="0" w:hanging="2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Расскажите о вариантах ветвлений и соединений событий и функций в нотации </w:t>
      </w:r>
      <w:proofErr w:type="spellStart"/>
      <w:r w:rsidRPr="00F638E9">
        <w:rPr>
          <w:rFonts w:ascii="Times New Roman" w:hAnsi="Times New Roman" w:cs="Times New Roman"/>
          <w:sz w:val="32"/>
          <w:szCs w:val="32"/>
        </w:rPr>
        <w:t>eEPC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sectPr w:rsidR="007F1286" w:rsidSect="009B1830">
      <w:pgSz w:w="11906" w:h="16838"/>
      <w:pgMar w:top="56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7E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F7169E"/>
    <w:multiLevelType w:val="hybridMultilevel"/>
    <w:tmpl w:val="A0E2A7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647A20"/>
    <w:multiLevelType w:val="hybridMultilevel"/>
    <w:tmpl w:val="C8E489FC"/>
    <w:lvl w:ilvl="0" w:tplc="31585E7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7EA959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80C64D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5AA502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C369BB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348BE5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ADCE3C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A88E8C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838086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186A52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911733"/>
    <w:multiLevelType w:val="hybridMultilevel"/>
    <w:tmpl w:val="53766494"/>
    <w:lvl w:ilvl="0" w:tplc="4BFC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72563"/>
    <w:multiLevelType w:val="hybridMultilevel"/>
    <w:tmpl w:val="04E2AF86"/>
    <w:lvl w:ilvl="0" w:tplc="4BFC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82FE0"/>
    <w:multiLevelType w:val="hybridMultilevel"/>
    <w:tmpl w:val="C6E028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97220A"/>
    <w:multiLevelType w:val="hybridMultilevel"/>
    <w:tmpl w:val="1BF4EAA0"/>
    <w:lvl w:ilvl="0" w:tplc="4BFC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93E87"/>
    <w:multiLevelType w:val="hybridMultilevel"/>
    <w:tmpl w:val="924622F2"/>
    <w:lvl w:ilvl="0" w:tplc="D6C280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55CD8"/>
    <w:multiLevelType w:val="hybridMultilevel"/>
    <w:tmpl w:val="47283210"/>
    <w:lvl w:ilvl="0" w:tplc="D6C280C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A3"/>
    <w:rsid w:val="000419EC"/>
    <w:rsid w:val="00056051"/>
    <w:rsid w:val="00076B4A"/>
    <w:rsid w:val="000A2660"/>
    <w:rsid w:val="000A28FC"/>
    <w:rsid w:val="000A4333"/>
    <w:rsid w:val="000B5428"/>
    <w:rsid w:val="001154FF"/>
    <w:rsid w:val="00141197"/>
    <w:rsid w:val="00145510"/>
    <w:rsid w:val="00171D32"/>
    <w:rsid w:val="00182EB3"/>
    <w:rsid w:val="00187FCD"/>
    <w:rsid w:val="001967F3"/>
    <w:rsid w:val="001B0DA9"/>
    <w:rsid w:val="001B2253"/>
    <w:rsid w:val="001C6180"/>
    <w:rsid w:val="00222DB4"/>
    <w:rsid w:val="00255436"/>
    <w:rsid w:val="0027174E"/>
    <w:rsid w:val="00272914"/>
    <w:rsid w:val="0027625D"/>
    <w:rsid w:val="00291E76"/>
    <w:rsid w:val="002A5BF1"/>
    <w:rsid w:val="002B3036"/>
    <w:rsid w:val="002C1919"/>
    <w:rsid w:val="002F02F5"/>
    <w:rsid w:val="002F2D99"/>
    <w:rsid w:val="00322CBE"/>
    <w:rsid w:val="003376A8"/>
    <w:rsid w:val="00343A11"/>
    <w:rsid w:val="00372100"/>
    <w:rsid w:val="003C0A4A"/>
    <w:rsid w:val="003E2DC7"/>
    <w:rsid w:val="003E5054"/>
    <w:rsid w:val="00400EF0"/>
    <w:rsid w:val="00401A81"/>
    <w:rsid w:val="0041374A"/>
    <w:rsid w:val="004227FE"/>
    <w:rsid w:val="00440B67"/>
    <w:rsid w:val="00444074"/>
    <w:rsid w:val="004E2C3A"/>
    <w:rsid w:val="004F1EC5"/>
    <w:rsid w:val="00502E4E"/>
    <w:rsid w:val="00587C87"/>
    <w:rsid w:val="00594EDC"/>
    <w:rsid w:val="005C5C84"/>
    <w:rsid w:val="005F2A0A"/>
    <w:rsid w:val="00620C52"/>
    <w:rsid w:val="00642CD0"/>
    <w:rsid w:val="00647D06"/>
    <w:rsid w:val="0066213D"/>
    <w:rsid w:val="00677EA6"/>
    <w:rsid w:val="006B00F0"/>
    <w:rsid w:val="006C2535"/>
    <w:rsid w:val="006C40E9"/>
    <w:rsid w:val="006C58FE"/>
    <w:rsid w:val="007217C0"/>
    <w:rsid w:val="007377CF"/>
    <w:rsid w:val="007379EA"/>
    <w:rsid w:val="00756637"/>
    <w:rsid w:val="0076421C"/>
    <w:rsid w:val="00785CEC"/>
    <w:rsid w:val="007A1BD1"/>
    <w:rsid w:val="007A603E"/>
    <w:rsid w:val="007D63F3"/>
    <w:rsid w:val="007F1286"/>
    <w:rsid w:val="007F3B96"/>
    <w:rsid w:val="00802EB6"/>
    <w:rsid w:val="00846EEA"/>
    <w:rsid w:val="008767D3"/>
    <w:rsid w:val="008956AF"/>
    <w:rsid w:val="00923EEF"/>
    <w:rsid w:val="0092591E"/>
    <w:rsid w:val="00935C43"/>
    <w:rsid w:val="00960CD4"/>
    <w:rsid w:val="009A0461"/>
    <w:rsid w:val="009A33D0"/>
    <w:rsid w:val="009B1830"/>
    <w:rsid w:val="009C39E2"/>
    <w:rsid w:val="009E5FDC"/>
    <w:rsid w:val="00A04BC6"/>
    <w:rsid w:val="00A1477D"/>
    <w:rsid w:val="00A422EC"/>
    <w:rsid w:val="00A93D1D"/>
    <w:rsid w:val="00AD6E82"/>
    <w:rsid w:val="00AF23F5"/>
    <w:rsid w:val="00B12C3D"/>
    <w:rsid w:val="00B44138"/>
    <w:rsid w:val="00B53DBC"/>
    <w:rsid w:val="00B62B1A"/>
    <w:rsid w:val="00B90372"/>
    <w:rsid w:val="00B93D2C"/>
    <w:rsid w:val="00BC3F5C"/>
    <w:rsid w:val="00C0310C"/>
    <w:rsid w:val="00C121A3"/>
    <w:rsid w:val="00C2209E"/>
    <w:rsid w:val="00C25A1D"/>
    <w:rsid w:val="00C271F1"/>
    <w:rsid w:val="00C94DAE"/>
    <w:rsid w:val="00CB7FE0"/>
    <w:rsid w:val="00D05459"/>
    <w:rsid w:val="00D12765"/>
    <w:rsid w:val="00D14402"/>
    <w:rsid w:val="00D1560A"/>
    <w:rsid w:val="00D2069C"/>
    <w:rsid w:val="00D21D86"/>
    <w:rsid w:val="00D37E52"/>
    <w:rsid w:val="00D65B0D"/>
    <w:rsid w:val="00D8264B"/>
    <w:rsid w:val="00DB7545"/>
    <w:rsid w:val="00DC2F80"/>
    <w:rsid w:val="00DD3B6C"/>
    <w:rsid w:val="00DE426B"/>
    <w:rsid w:val="00E32F2D"/>
    <w:rsid w:val="00E36745"/>
    <w:rsid w:val="00E7150E"/>
    <w:rsid w:val="00E90D26"/>
    <w:rsid w:val="00ED7BA3"/>
    <w:rsid w:val="00F17B7B"/>
    <w:rsid w:val="00F41290"/>
    <w:rsid w:val="00F507D7"/>
    <w:rsid w:val="00F638E9"/>
    <w:rsid w:val="00FE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0268D-3FAC-463B-9CA8-4218AE5E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D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046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1560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0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6C2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5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2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1036</Words>
  <Characters>5910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53</cp:revision>
  <dcterms:created xsi:type="dcterms:W3CDTF">2021-02-04T10:18:00Z</dcterms:created>
  <dcterms:modified xsi:type="dcterms:W3CDTF">2021-03-01T13:33:00Z</dcterms:modified>
</cp:coreProperties>
</file>